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eastAsia="方正小标宋简体"/>
          <w:sz w:val="72"/>
          <w:szCs w:val="72"/>
        </w:rPr>
      </w:pPr>
      <w:bookmarkStart w:id="0" w:name="_Toc23430"/>
      <w:bookmarkStart w:id="1" w:name="_Toc15378441"/>
      <w:bookmarkStart w:id="2" w:name="_Toc15396597"/>
      <w:bookmarkStart w:id="3" w:name="_Toc15377425"/>
      <w:bookmarkStart w:id="4" w:name="_Toc15396475"/>
      <w:bookmarkStart w:id="5" w:name="_Toc15306267"/>
      <w:bookmarkStart w:id="6" w:name="_Toc15377193"/>
    </w:p>
    <w:p>
      <w:pPr>
        <w:pStyle w:val="3"/>
        <w:spacing w:before="0" w:after="0" w:line="240" w:lineRule="auto"/>
        <w:jc w:val="center"/>
        <w:rPr>
          <w:rFonts w:ascii="Times New Roman" w:hAnsi="Times New Roman" w:eastAsia="方正小标宋简体"/>
          <w:sz w:val="72"/>
          <w:szCs w:val="72"/>
        </w:rPr>
      </w:pPr>
      <w:r>
        <w:rPr>
          <w:rFonts w:ascii="Times New Roman" w:hAnsi="Times New Roman" w:eastAsia="方正小标宋简体"/>
          <w:sz w:val="72"/>
          <w:szCs w:val="72"/>
        </w:rPr>
        <w:t>2022年度</w:t>
      </w:r>
      <w:bookmarkEnd w:id="0"/>
    </w:p>
    <w:p>
      <w:pPr>
        <w:pStyle w:val="3"/>
        <w:spacing w:before="0" w:after="0" w:line="240" w:lineRule="auto"/>
        <w:jc w:val="center"/>
        <w:rPr>
          <w:rFonts w:ascii="Times New Roman" w:hAnsi="Times New Roman" w:eastAsia="方正小标宋简体"/>
          <w:sz w:val="72"/>
          <w:szCs w:val="72"/>
        </w:rPr>
      </w:pPr>
      <w:bookmarkStart w:id="7" w:name="_Toc7094"/>
      <w:r>
        <w:rPr>
          <w:rFonts w:hint="eastAsia" w:ascii="Times New Roman" w:hAnsi="Times New Roman" w:eastAsia="方正小标宋简体"/>
          <w:sz w:val="72"/>
          <w:szCs w:val="72"/>
        </w:rPr>
        <w:t>四川省遂宁市安居区妇女</w:t>
      </w:r>
    </w:p>
    <w:p>
      <w:pPr>
        <w:pStyle w:val="3"/>
        <w:spacing w:before="0" w:after="0" w:line="240" w:lineRule="auto"/>
        <w:jc w:val="center"/>
        <w:rPr>
          <w:rFonts w:ascii="Times New Roman" w:hAnsi="Times New Roman" w:eastAsia="方正小标宋简体"/>
          <w:sz w:val="72"/>
          <w:szCs w:val="72"/>
        </w:rPr>
      </w:pPr>
      <w:r>
        <w:rPr>
          <w:rFonts w:hint="eastAsia" w:ascii="Times New Roman" w:hAnsi="Times New Roman" w:eastAsia="方正小标宋简体"/>
          <w:sz w:val="72"/>
          <w:szCs w:val="72"/>
        </w:rPr>
        <w:t>联合会部门决算</w:t>
      </w:r>
      <w:bookmarkEnd w:id="7"/>
    </w:p>
    <w:p>
      <w:pPr>
        <w:widowControl/>
        <w:jc w:val="left"/>
        <w:rPr>
          <w:rFonts w:ascii="Times New Roman" w:hAnsi="Times New Roman" w:eastAsia="黑体"/>
          <w:sz w:val="48"/>
          <w:szCs w:val="48"/>
        </w:rPr>
      </w:pPr>
      <w:r>
        <w:rPr>
          <w:rFonts w:ascii="Times New Roman" w:hAnsi="Times New Roman" w:eastAsia="黑体"/>
          <w:sz w:val="48"/>
          <w:szCs w:val="48"/>
        </w:rPr>
        <w:br w:type="page"/>
      </w:r>
    </w:p>
    <w:p>
      <w:pPr>
        <w:widowControl/>
        <w:jc w:val="center"/>
        <w:rPr>
          <w:rFonts w:ascii="Times New Roman" w:hAnsi="Times New Roman" w:eastAsia="黑体"/>
          <w:sz w:val="48"/>
          <w:szCs w:val="48"/>
        </w:rPr>
      </w:pPr>
      <w:r>
        <w:rPr>
          <w:rFonts w:hint="eastAsia" w:ascii="Times New Roman" w:hAnsi="Times New Roman" w:eastAsia="方正小标宋简体"/>
          <w:sz w:val="44"/>
          <w:szCs w:val="44"/>
        </w:rPr>
        <w:t>目</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录</w:t>
      </w:r>
    </w:p>
    <w:p>
      <w:pPr>
        <w:pStyle w:val="11"/>
        <w:spacing w:before="0" w:line="560" w:lineRule="exact"/>
        <w:rPr>
          <w:rFonts w:ascii="Times New Roman" w:hAnsi="Times New Roman"/>
          <w:sz w:val="32"/>
          <w:szCs w:val="32"/>
        </w:rPr>
      </w:pPr>
      <w:r>
        <w:rPr>
          <w:rFonts w:hint="eastAsia" w:ascii="Times New Roman" w:hAnsi="Times New Roman"/>
          <w:sz w:val="32"/>
          <w:szCs w:val="32"/>
        </w:rPr>
        <w:t>公开时间：</w:t>
      </w:r>
      <w:r>
        <w:rPr>
          <w:rFonts w:ascii="Times New Roman" w:hAnsi="Times New Roman"/>
          <w:sz w:val="32"/>
          <w:szCs w:val="32"/>
        </w:rPr>
        <w:t>2023年08月25日</w:t>
      </w:r>
    </w:p>
    <w:p>
      <w:pPr>
        <w:pStyle w:val="2"/>
        <w:spacing w:line="560" w:lineRule="exact"/>
        <w:ind w:firstLine="640" w:firstLineChars="200"/>
        <w:rPr>
          <w:rFonts w:ascii="Times New Roman" w:hAnsi="Times New Roman"/>
          <w:sz w:val="32"/>
          <w:szCs w:val="32"/>
        </w:rPr>
      </w:pPr>
    </w:p>
    <w:bookmarkEnd w:id="1"/>
    <w:bookmarkEnd w:id="2"/>
    <w:bookmarkEnd w:id="3"/>
    <w:bookmarkEnd w:id="4"/>
    <w:bookmarkEnd w:id="5"/>
    <w:bookmarkEnd w:id="6"/>
    <w:p>
      <w:pPr>
        <w:pStyle w:val="11"/>
        <w:spacing w:before="0" w:line="560" w:lineRule="exact"/>
        <w:jc w:val="both"/>
        <w:rPr>
          <w:rFonts w:ascii="Times New Roman" w:hAnsi="Times New Roman"/>
          <w:sz w:val="32"/>
          <w:szCs w:val="32"/>
        </w:rPr>
      </w:pPr>
      <w:sdt>
        <w:sdtPr>
          <w:rPr>
            <w:rFonts w:ascii="Times New Roman" w:hAnsi="Times New Roman" w:eastAsia="宋体"/>
            <w:sz w:val="32"/>
            <w:szCs w:val="32"/>
          </w:rPr>
          <w:id w:val="147453032"/>
          <w:showingPlcHdr/>
          <w:docPartObj>
            <w:docPartGallery w:val="Table of Contents"/>
            <w:docPartUnique/>
          </w:docPartObj>
        </w:sdtPr>
        <w:sdtEndPr>
          <w:rPr>
            <w:rFonts w:ascii="Times New Roman" w:hAnsi="Times New Roman" w:eastAsia="仿宋"/>
            <w:b/>
            <w:sz w:val="32"/>
            <w:szCs w:val="32"/>
          </w:rPr>
        </w:sdtEndPr>
        <w:sdtContent/>
      </w:sdt>
      <w:r>
        <w:rPr>
          <w:rFonts w:hint="eastAsia" w:ascii="Times New Roman" w:hAnsi="Times New Roman"/>
          <w:sz w:val="32"/>
          <w:szCs w:val="32"/>
        </w:rPr>
        <w:t>第一部分</w:t>
      </w:r>
      <w:r>
        <w:rPr>
          <w:rFonts w:ascii="Times New Roman" w:hAnsi="Times New Roman"/>
          <w:sz w:val="32"/>
          <w:szCs w:val="32"/>
        </w:rPr>
        <w:t xml:space="preserve"> </w:t>
      </w:r>
      <w:r>
        <w:rPr>
          <w:rFonts w:hint="eastAsia" w:ascii="Times New Roman" w:hAnsi="Times New Roman"/>
          <w:sz w:val="32"/>
          <w:szCs w:val="32"/>
        </w:rPr>
        <w:t>部门概况</w:t>
      </w:r>
      <w:r>
        <w:rPr>
          <w:rFonts w:ascii="Times New Roman" w:hAnsi="Times New Roman"/>
          <w:sz w:val="32"/>
          <w:szCs w:val="32"/>
        </w:rPr>
        <w:tab/>
      </w:r>
      <w:r>
        <w:rPr>
          <w:rFonts w:hint="eastAsia" w:ascii="Times New Roman" w:hAnsi="Times New Roman"/>
          <w:sz w:val="32"/>
          <w:szCs w:val="32"/>
        </w:rPr>
        <w:t>1</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一、基本职能及主要工作</w:t>
      </w:r>
      <w:r>
        <w:rPr>
          <w:rFonts w:ascii="Times New Roman" w:hAnsi="Times New Roman" w:eastAsia="仿宋"/>
          <w:sz w:val="32"/>
          <w:szCs w:val="32"/>
        </w:rPr>
        <w:tab/>
      </w:r>
      <w:r>
        <w:rPr>
          <w:rFonts w:hint="eastAsia" w:ascii="Times New Roman" w:hAnsi="Times New Roman" w:eastAsia="仿宋"/>
          <w:sz w:val="32"/>
          <w:szCs w:val="32"/>
        </w:rPr>
        <w:t>1</w:t>
      </w:r>
      <w:r>
        <w:rPr>
          <w:rFonts w:ascii="Times New Roman" w:hAnsi="Times New Roman" w:eastAsia="仿宋"/>
          <w:sz w:val="32"/>
          <w:szCs w:val="32"/>
        </w:rPr>
        <w:t xml:space="preserve"> </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二、机构设置</w:t>
      </w:r>
      <w:r>
        <w:rPr>
          <w:rFonts w:ascii="Times New Roman" w:hAnsi="Times New Roman" w:eastAsia="仿宋"/>
          <w:sz w:val="32"/>
          <w:szCs w:val="32"/>
        </w:rPr>
        <w:tab/>
      </w:r>
      <w:r>
        <w:rPr>
          <w:rFonts w:hint="eastAsia" w:ascii="Times New Roman" w:hAnsi="Times New Roman" w:eastAsia="仿宋"/>
          <w:sz w:val="32"/>
          <w:szCs w:val="32"/>
        </w:rPr>
        <w:t>2</w:t>
      </w:r>
    </w:p>
    <w:p>
      <w:pPr>
        <w:pStyle w:val="11"/>
        <w:spacing w:before="0" w:line="560" w:lineRule="exact"/>
        <w:jc w:val="both"/>
        <w:rPr>
          <w:rFonts w:ascii="Times New Roman" w:hAnsi="Times New Roman"/>
          <w:sz w:val="32"/>
          <w:szCs w:val="32"/>
        </w:rPr>
      </w:pPr>
      <w:r>
        <w:rPr>
          <w:rFonts w:hint="eastAsia" w:ascii="Times New Roman" w:hAnsi="Times New Roman"/>
          <w:sz w:val="32"/>
          <w:szCs w:val="32"/>
        </w:rPr>
        <w:t>第二部分</w:t>
      </w:r>
      <w:r>
        <w:rPr>
          <w:rFonts w:ascii="Times New Roman" w:hAnsi="Times New Roman"/>
          <w:sz w:val="32"/>
          <w:szCs w:val="32"/>
        </w:rPr>
        <w:t xml:space="preserve"> 2021年度部门决算情况说明</w:t>
      </w:r>
      <w:r>
        <w:rPr>
          <w:rFonts w:ascii="Times New Roman" w:hAnsi="Times New Roman"/>
          <w:sz w:val="32"/>
          <w:szCs w:val="32"/>
        </w:rPr>
        <w:tab/>
      </w:r>
      <w:r>
        <w:rPr>
          <w:rFonts w:hint="eastAsia" w:ascii="Times New Roman" w:hAnsi="Times New Roman"/>
          <w:sz w:val="32"/>
          <w:szCs w:val="32"/>
        </w:rPr>
        <w:t>2</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bCs/>
          <w:sz w:val="32"/>
          <w:szCs w:val="32"/>
        </w:rPr>
        <w:t>一、</w:t>
      </w:r>
      <w:r>
        <w:rPr>
          <w:rFonts w:hint="eastAsia" w:ascii="Times New Roman" w:hAnsi="Times New Roman" w:eastAsia="仿宋"/>
          <w:sz w:val="32"/>
          <w:szCs w:val="32"/>
        </w:rPr>
        <w:t>收</w:t>
      </w:r>
      <w:r>
        <w:rPr>
          <w:rFonts w:hint="eastAsia" w:ascii="Times New Roman" w:hAnsi="Times New Roman" w:eastAsia="仿宋"/>
          <w:bCs/>
          <w:sz w:val="32"/>
          <w:szCs w:val="32"/>
        </w:rPr>
        <w:t>入支出决算总体情况说明</w:t>
      </w:r>
      <w:r>
        <w:rPr>
          <w:rFonts w:ascii="Times New Roman" w:hAnsi="Times New Roman" w:eastAsia="仿宋"/>
          <w:sz w:val="32"/>
          <w:szCs w:val="32"/>
        </w:rPr>
        <w:tab/>
      </w:r>
      <w:r>
        <w:rPr>
          <w:rFonts w:hint="eastAsia" w:ascii="Times New Roman" w:hAnsi="Times New Roman" w:eastAsia="仿宋"/>
          <w:sz w:val="32"/>
          <w:szCs w:val="32"/>
        </w:rPr>
        <w:t>2</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bCs/>
          <w:sz w:val="32"/>
          <w:szCs w:val="32"/>
        </w:rPr>
        <w:t>二、</w:t>
      </w:r>
      <w:r>
        <w:rPr>
          <w:rFonts w:hint="eastAsia" w:ascii="Times New Roman" w:hAnsi="Times New Roman" w:eastAsia="仿宋"/>
          <w:sz w:val="32"/>
          <w:szCs w:val="32"/>
        </w:rPr>
        <w:t>收</w:t>
      </w:r>
      <w:r>
        <w:rPr>
          <w:rFonts w:hint="eastAsia" w:ascii="Times New Roman" w:hAnsi="Times New Roman" w:eastAsia="仿宋"/>
          <w:bCs/>
          <w:sz w:val="32"/>
          <w:szCs w:val="32"/>
        </w:rPr>
        <w:t>入决算情况说明</w:t>
      </w:r>
      <w:r>
        <w:rPr>
          <w:rFonts w:ascii="Times New Roman" w:hAnsi="Times New Roman" w:eastAsia="仿宋"/>
          <w:sz w:val="32"/>
          <w:szCs w:val="32"/>
        </w:rPr>
        <w:tab/>
      </w:r>
      <w:r>
        <w:rPr>
          <w:rFonts w:hint="eastAsia" w:ascii="Times New Roman" w:hAnsi="Times New Roman" w:eastAsia="仿宋"/>
          <w:sz w:val="32"/>
          <w:szCs w:val="32"/>
        </w:rPr>
        <w:t>3</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bCs/>
          <w:sz w:val="32"/>
          <w:szCs w:val="32"/>
        </w:rPr>
        <w:t>三、</w:t>
      </w:r>
      <w:r>
        <w:rPr>
          <w:rFonts w:hint="eastAsia" w:ascii="Times New Roman" w:hAnsi="Times New Roman" w:eastAsia="仿宋"/>
          <w:sz w:val="32"/>
          <w:szCs w:val="32"/>
        </w:rPr>
        <w:t>支</w:t>
      </w:r>
      <w:r>
        <w:rPr>
          <w:rFonts w:hint="eastAsia" w:ascii="Times New Roman" w:hAnsi="Times New Roman" w:eastAsia="仿宋"/>
          <w:bCs/>
          <w:sz w:val="32"/>
          <w:szCs w:val="32"/>
        </w:rPr>
        <w:t>出决算情况说明</w:t>
      </w:r>
      <w:r>
        <w:rPr>
          <w:rFonts w:ascii="Times New Roman" w:hAnsi="Times New Roman" w:eastAsia="仿宋"/>
          <w:sz w:val="32"/>
          <w:szCs w:val="32"/>
        </w:rPr>
        <w:tab/>
      </w:r>
      <w:r>
        <w:rPr>
          <w:rFonts w:hint="eastAsia" w:ascii="Times New Roman" w:hAnsi="Times New Roman" w:eastAsia="仿宋"/>
          <w:sz w:val="32"/>
          <w:szCs w:val="32"/>
        </w:rPr>
        <w:t>4</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四、财</w:t>
      </w:r>
      <w:r>
        <w:rPr>
          <w:rFonts w:hint="eastAsia" w:ascii="Times New Roman" w:hAnsi="Times New Roman" w:eastAsia="仿宋"/>
          <w:bCs/>
          <w:sz w:val="32"/>
          <w:szCs w:val="32"/>
        </w:rPr>
        <w:t>政拨款收入支出决算总体情况说明</w:t>
      </w:r>
      <w:r>
        <w:rPr>
          <w:rFonts w:ascii="Times New Roman" w:hAnsi="Times New Roman" w:eastAsia="仿宋"/>
          <w:sz w:val="32"/>
          <w:szCs w:val="32"/>
        </w:rPr>
        <w:tab/>
      </w:r>
      <w:r>
        <w:rPr>
          <w:rFonts w:hint="eastAsia" w:ascii="Times New Roman" w:hAnsi="Times New Roman" w:eastAsia="仿宋"/>
          <w:sz w:val="32"/>
          <w:szCs w:val="32"/>
        </w:rPr>
        <w:t>4</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五、一</w:t>
      </w:r>
      <w:r>
        <w:rPr>
          <w:rFonts w:hint="eastAsia" w:ascii="Times New Roman" w:hAnsi="Times New Roman" w:eastAsia="仿宋"/>
          <w:bCs/>
          <w:sz w:val="32"/>
          <w:szCs w:val="32"/>
        </w:rPr>
        <w:t>般公共预算财政拨款支出决算情况说明</w:t>
      </w:r>
      <w:r>
        <w:rPr>
          <w:rFonts w:ascii="Times New Roman" w:hAnsi="Times New Roman" w:eastAsia="仿宋"/>
          <w:sz w:val="32"/>
          <w:szCs w:val="32"/>
        </w:rPr>
        <w:tab/>
      </w:r>
      <w:r>
        <w:rPr>
          <w:rFonts w:hint="eastAsia" w:ascii="Times New Roman" w:hAnsi="Times New Roman" w:eastAsia="仿宋"/>
          <w:sz w:val="32"/>
          <w:szCs w:val="32"/>
        </w:rPr>
        <w:t>5</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六、一</w:t>
      </w:r>
      <w:r>
        <w:rPr>
          <w:rFonts w:hint="eastAsia" w:ascii="Times New Roman" w:hAnsi="Times New Roman" w:eastAsia="仿宋"/>
          <w:bCs/>
          <w:sz w:val="32"/>
          <w:szCs w:val="32"/>
        </w:rPr>
        <w:t>般公共预算财政拨款基本支出决算情况说明</w:t>
      </w:r>
      <w:r>
        <w:rPr>
          <w:rFonts w:ascii="Times New Roman" w:hAnsi="Times New Roman" w:eastAsia="仿宋"/>
          <w:sz w:val="32"/>
          <w:szCs w:val="32"/>
        </w:rPr>
        <w:tab/>
      </w:r>
      <w:r>
        <w:rPr>
          <w:rFonts w:hint="eastAsia" w:ascii="Times New Roman" w:hAnsi="Times New Roman" w:eastAsia="仿宋"/>
          <w:sz w:val="32"/>
          <w:szCs w:val="32"/>
        </w:rPr>
        <w:t>7</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七、</w:t>
      </w:r>
      <w:r>
        <w:rPr>
          <w:rFonts w:ascii="Times New Roman" w:hAnsi="Times New Roman" w:eastAsia="仿宋"/>
          <w:sz w:val="32"/>
          <w:szCs w:val="32"/>
        </w:rPr>
        <w:t>“</w:t>
      </w:r>
      <w:r>
        <w:rPr>
          <w:rFonts w:hint="eastAsia" w:ascii="Times New Roman" w:hAnsi="Times New Roman" w:eastAsia="仿宋"/>
          <w:bCs/>
          <w:sz w:val="32"/>
          <w:szCs w:val="32"/>
        </w:rPr>
        <w:t>三公”经费财政拨款支出决算情况说明</w:t>
      </w:r>
      <w:r>
        <w:rPr>
          <w:rFonts w:ascii="Times New Roman" w:hAnsi="Times New Roman" w:eastAsia="仿宋"/>
          <w:sz w:val="32"/>
          <w:szCs w:val="32"/>
        </w:rPr>
        <w:tab/>
      </w:r>
      <w:r>
        <w:rPr>
          <w:rFonts w:hint="eastAsia" w:ascii="Times New Roman" w:hAnsi="Times New Roman" w:eastAsia="仿宋"/>
          <w:sz w:val="32"/>
          <w:szCs w:val="32"/>
        </w:rPr>
        <w:t>8</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八、</w:t>
      </w:r>
      <w:r>
        <w:rPr>
          <w:rFonts w:hint="eastAsia" w:ascii="Times New Roman" w:hAnsi="Times New Roman" w:eastAsia="仿宋"/>
          <w:bCs/>
          <w:sz w:val="32"/>
          <w:szCs w:val="32"/>
        </w:rPr>
        <w:t>政府性基金预算支出决算情况说明</w:t>
      </w:r>
      <w:r>
        <w:rPr>
          <w:rFonts w:ascii="Times New Roman" w:hAnsi="Times New Roman" w:eastAsia="仿宋"/>
          <w:sz w:val="32"/>
          <w:szCs w:val="32"/>
        </w:rPr>
        <w:tab/>
      </w:r>
      <w:r>
        <w:rPr>
          <w:rFonts w:hint="eastAsia" w:ascii="Times New Roman" w:hAnsi="Times New Roman" w:eastAsia="仿宋"/>
          <w:sz w:val="32"/>
          <w:szCs w:val="32"/>
        </w:rPr>
        <w:t>9</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bCs/>
          <w:sz w:val="32"/>
          <w:szCs w:val="32"/>
        </w:rPr>
        <w:t>九、</w:t>
      </w:r>
      <w:r>
        <w:rPr>
          <w:rFonts w:hint="eastAsia" w:ascii="Times New Roman" w:hAnsi="Times New Roman" w:eastAsia="仿宋"/>
          <w:sz w:val="32"/>
          <w:szCs w:val="32"/>
        </w:rPr>
        <w:t>国</w:t>
      </w:r>
      <w:r>
        <w:rPr>
          <w:rFonts w:hint="eastAsia" w:ascii="Times New Roman" w:hAnsi="Times New Roman" w:eastAsia="仿宋"/>
          <w:bCs/>
          <w:sz w:val="32"/>
          <w:szCs w:val="32"/>
        </w:rPr>
        <w:t>有资本经营预算支出决算情况说明</w:t>
      </w:r>
      <w:r>
        <w:rPr>
          <w:rFonts w:ascii="Times New Roman" w:hAnsi="Times New Roman" w:eastAsia="仿宋"/>
          <w:sz w:val="32"/>
          <w:szCs w:val="32"/>
        </w:rPr>
        <w:tab/>
      </w:r>
      <w:r>
        <w:rPr>
          <w:rFonts w:hint="eastAsia" w:ascii="Times New Roman" w:hAnsi="Times New Roman" w:eastAsia="仿宋"/>
          <w:sz w:val="32"/>
          <w:szCs w:val="32"/>
        </w:rPr>
        <w:t>9</w:t>
      </w:r>
    </w:p>
    <w:p>
      <w:pPr>
        <w:pStyle w:val="12"/>
        <w:spacing w:line="560" w:lineRule="exact"/>
        <w:ind w:left="0" w:leftChars="0" w:firstLine="640" w:firstLineChars="200"/>
        <w:rPr>
          <w:rFonts w:ascii="Times New Roman" w:hAnsi="Times New Roman" w:eastAsia="仿宋"/>
          <w:b/>
          <w:bCs/>
          <w:sz w:val="32"/>
          <w:szCs w:val="32"/>
        </w:rPr>
      </w:pPr>
      <w:r>
        <w:rPr>
          <w:rFonts w:hint="eastAsia" w:ascii="Times New Roman" w:hAnsi="Times New Roman" w:eastAsia="仿宋" w:cs="仿宋"/>
          <w:color w:val="000000"/>
          <w:kern w:val="0"/>
          <w:sz w:val="32"/>
          <w:szCs w:val="32"/>
        </w:rPr>
        <w:t>十、预算绩效情况说明</w:t>
      </w:r>
      <w:r>
        <w:rPr>
          <w:rFonts w:ascii="Times New Roman" w:hAnsi="Times New Roman" w:eastAsia="仿宋"/>
          <w:bCs/>
          <w:sz w:val="32"/>
          <w:szCs w:val="32"/>
        </w:rPr>
        <w:tab/>
      </w:r>
      <w:r>
        <w:rPr>
          <w:rFonts w:hint="eastAsia" w:ascii="Times New Roman" w:hAnsi="Times New Roman" w:eastAsia="仿宋"/>
          <w:sz w:val="32"/>
          <w:szCs w:val="32"/>
        </w:rPr>
        <w:t>9</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十</w:t>
      </w:r>
      <w:r>
        <w:rPr>
          <w:rFonts w:hint="eastAsia" w:ascii="Times New Roman" w:hAnsi="Times New Roman" w:eastAsia="仿宋"/>
          <w:bCs/>
          <w:sz w:val="32"/>
          <w:szCs w:val="32"/>
        </w:rPr>
        <w:t>一、其他重要事项的情况说明</w:t>
      </w:r>
      <w:r>
        <w:rPr>
          <w:rFonts w:ascii="Times New Roman" w:hAnsi="Times New Roman" w:eastAsia="仿宋"/>
          <w:sz w:val="32"/>
          <w:szCs w:val="32"/>
        </w:rPr>
        <w:tab/>
      </w:r>
      <w:r>
        <w:rPr>
          <w:rFonts w:hint="eastAsia" w:ascii="Times New Roman" w:hAnsi="Times New Roman" w:eastAsia="仿宋"/>
          <w:sz w:val="32"/>
          <w:szCs w:val="32"/>
        </w:rPr>
        <w:t>13</w:t>
      </w:r>
    </w:p>
    <w:p>
      <w:pPr>
        <w:pStyle w:val="11"/>
        <w:spacing w:before="0" w:line="560" w:lineRule="exact"/>
        <w:jc w:val="both"/>
        <w:rPr>
          <w:rFonts w:ascii="Times New Roman" w:hAnsi="Times New Roman"/>
          <w:sz w:val="32"/>
          <w:szCs w:val="32"/>
        </w:rPr>
      </w:pPr>
      <w:r>
        <w:rPr>
          <w:rFonts w:hint="eastAsia" w:ascii="Times New Roman" w:hAnsi="Times New Roman"/>
          <w:bCs/>
          <w:kern w:val="44"/>
          <w:sz w:val="32"/>
          <w:szCs w:val="32"/>
        </w:rPr>
        <w:t>第三部分</w:t>
      </w:r>
      <w:r>
        <w:rPr>
          <w:rFonts w:ascii="Times New Roman" w:hAnsi="Times New Roman"/>
          <w:sz w:val="32"/>
          <w:szCs w:val="32"/>
        </w:rPr>
        <w:t xml:space="preserve"> 名</w:t>
      </w:r>
      <w:r>
        <w:rPr>
          <w:rFonts w:hint="eastAsia" w:ascii="Times New Roman" w:hAnsi="Times New Roman"/>
          <w:bCs/>
          <w:kern w:val="44"/>
          <w:sz w:val="32"/>
          <w:szCs w:val="32"/>
        </w:rPr>
        <w:t>词解释</w:t>
      </w:r>
      <w:r>
        <w:rPr>
          <w:rFonts w:ascii="Times New Roman" w:hAnsi="Times New Roman"/>
          <w:sz w:val="32"/>
          <w:szCs w:val="32"/>
        </w:rPr>
        <w:tab/>
      </w:r>
      <w:r>
        <w:rPr>
          <w:rFonts w:hint="eastAsia" w:ascii="Times New Roman" w:hAnsi="Times New Roman"/>
          <w:sz w:val="32"/>
          <w:szCs w:val="32"/>
        </w:rPr>
        <w:t>14</w:t>
      </w:r>
    </w:p>
    <w:p>
      <w:pPr>
        <w:pStyle w:val="11"/>
        <w:spacing w:before="0" w:line="560" w:lineRule="exact"/>
        <w:jc w:val="both"/>
        <w:rPr>
          <w:rFonts w:ascii="Times New Roman" w:hAnsi="Times New Roman"/>
          <w:sz w:val="32"/>
          <w:szCs w:val="32"/>
        </w:rPr>
      </w:pPr>
      <w:r>
        <w:rPr>
          <w:rFonts w:hint="eastAsia" w:ascii="Times New Roman" w:hAnsi="Times New Roman"/>
          <w:sz w:val="32"/>
          <w:szCs w:val="32"/>
        </w:rPr>
        <w:t>第</w:t>
      </w:r>
      <w:r>
        <w:rPr>
          <w:rFonts w:hint="eastAsia" w:ascii="Times New Roman" w:hAnsi="Times New Roman"/>
          <w:bCs/>
          <w:kern w:val="44"/>
          <w:sz w:val="32"/>
          <w:szCs w:val="32"/>
        </w:rPr>
        <w:t>四部分</w:t>
      </w:r>
      <w:r>
        <w:rPr>
          <w:rFonts w:ascii="Times New Roman" w:hAnsi="Times New Roman"/>
          <w:bCs/>
          <w:kern w:val="44"/>
          <w:sz w:val="32"/>
          <w:szCs w:val="32"/>
        </w:rPr>
        <w:t xml:space="preserve"> </w:t>
      </w:r>
      <w:r>
        <w:rPr>
          <w:rFonts w:hint="eastAsia" w:ascii="Times New Roman" w:hAnsi="Times New Roman"/>
          <w:bCs/>
          <w:kern w:val="44"/>
          <w:sz w:val="32"/>
          <w:szCs w:val="32"/>
        </w:rPr>
        <w:t>附件</w:t>
      </w:r>
      <w:r>
        <w:rPr>
          <w:rFonts w:ascii="Times New Roman" w:hAnsi="Times New Roman"/>
          <w:sz w:val="32"/>
          <w:szCs w:val="32"/>
        </w:rPr>
        <w:tab/>
      </w:r>
      <w:r>
        <w:rPr>
          <w:rFonts w:hint="eastAsia" w:ascii="Times New Roman" w:hAnsi="Times New Roman"/>
          <w:sz w:val="32"/>
          <w:szCs w:val="32"/>
        </w:rPr>
        <w:t>18</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kern w:val="44"/>
          <w:sz w:val="32"/>
          <w:szCs w:val="32"/>
        </w:rPr>
        <w:t>附件</w:t>
      </w:r>
      <w:r>
        <w:rPr>
          <w:rFonts w:ascii="Times New Roman" w:hAnsi="Times New Roman" w:eastAsia="仿宋"/>
          <w:kern w:val="44"/>
          <w:sz w:val="32"/>
          <w:szCs w:val="32"/>
        </w:rPr>
        <w:t>1</w:t>
      </w:r>
      <w:r>
        <w:rPr>
          <w:rFonts w:hint="eastAsia" w:ascii="Times New Roman" w:hAnsi="Times New Roman" w:eastAsia="仿宋"/>
          <w:kern w:val="44"/>
          <w:sz w:val="32"/>
          <w:szCs w:val="32"/>
        </w:rPr>
        <w:t>、</w:t>
      </w:r>
      <w:r>
        <w:rPr>
          <w:rFonts w:ascii="Times New Roman" w:hAnsi="Times New Roman" w:eastAsia="仿宋"/>
          <w:kern w:val="44"/>
          <w:sz w:val="32"/>
          <w:szCs w:val="32"/>
        </w:rPr>
        <w:t>2022年部门整体支出评价报告</w:t>
      </w:r>
      <w:r>
        <w:rPr>
          <w:rFonts w:ascii="Times New Roman" w:hAnsi="Times New Roman" w:eastAsia="仿宋"/>
          <w:sz w:val="32"/>
          <w:szCs w:val="32"/>
        </w:rPr>
        <w:tab/>
      </w:r>
      <w:r>
        <w:rPr>
          <w:rFonts w:hint="eastAsia" w:ascii="Times New Roman" w:hAnsi="Times New Roman" w:eastAsia="仿宋"/>
          <w:sz w:val="32"/>
          <w:szCs w:val="32"/>
        </w:rPr>
        <w:t>18</w:t>
      </w:r>
    </w:p>
    <w:p>
      <w:pPr>
        <w:pStyle w:val="12"/>
        <w:spacing w:line="560" w:lineRule="exact"/>
        <w:ind w:left="0" w:leftChars="0" w:firstLine="640" w:firstLineChars="200"/>
        <w:rPr>
          <w:rFonts w:ascii="Times New Roman" w:hAnsi="Times New Roman"/>
          <w:sz w:val="32"/>
          <w:szCs w:val="32"/>
        </w:rPr>
      </w:pPr>
      <w:r>
        <w:rPr>
          <w:rFonts w:hint="eastAsia" w:ascii="Times New Roman" w:hAnsi="Times New Roman" w:eastAsia="仿宋"/>
          <w:kern w:val="44"/>
          <w:sz w:val="32"/>
          <w:szCs w:val="32"/>
        </w:rPr>
        <w:t>附件</w:t>
      </w:r>
      <w:r>
        <w:rPr>
          <w:rFonts w:ascii="Times New Roman" w:hAnsi="Times New Roman" w:eastAsia="仿宋"/>
          <w:kern w:val="44"/>
          <w:sz w:val="32"/>
          <w:szCs w:val="32"/>
        </w:rPr>
        <w:t>2、2022年两癌救助保险及工作经费</w:t>
      </w:r>
      <w:r>
        <w:rPr>
          <w:rFonts w:ascii="Times New Roman" w:hAnsi="Times New Roman" w:eastAsia="仿宋"/>
          <w:sz w:val="32"/>
          <w:szCs w:val="32"/>
        </w:rPr>
        <w:tab/>
      </w:r>
      <w:r>
        <w:rPr>
          <w:rFonts w:hint="eastAsia" w:ascii="Times New Roman" w:hAnsi="Times New Roman" w:eastAsia="仿宋"/>
          <w:sz w:val="32"/>
          <w:szCs w:val="32"/>
        </w:rPr>
        <w:t>25</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kern w:val="44"/>
          <w:sz w:val="32"/>
          <w:szCs w:val="32"/>
        </w:rPr>
        <w:t>附件</w:t>
      </w:r>
      <w:r>
        <w:rPr>
          <w:rFonts w:ascii="Times New Roman" w:hAnsi="Times New Roman" w:eastAsia="仿宋"/>
          <w:kern w:val="44"/>
          <w:sz w:val="32"/>
          <w:szCs w:val="32"/>
        </w:rPr>
        <w:t>3、人均一元工作经费</w:t>
      </w:r>
      <w:r>
        <w:rPr>
          <w:rFonts w:ascii="Times New Roman" w:hAnsi="Times New Roman" w:eastAsia="仿宋"/>
          <w:sz w:val="32"/>
          <w:szCs w:val="32"/>
        </w:rPr>
        <w:tab/>
      </w:r>
      <w:r>
        <w:rPr>
          <w:rFonts w:hint="eastAsia" w:ascii="Times New Roman" w:hAnsi="Times New Roman" w:eastAsia="仿宋"/>
          <w:sz w:val="32"/>
          <w:szCs w:val="32"/>
        </w:rPr>
        <w:t>30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kern w:val="44"/>
          <w:sz w:val="32"/>
          <w:szCs w:val="32"/>
        </w:rPr>
        <w:t>附件</w:t>
      </w:r>
      <w:r>
        <w:rPr>
          <w:rFonts w:ascii="Times New Roman" w:hAnsi="Times New Roman" w:eastAsia="仿宋"/>
          <w:kern w:val="44"/>
          <w:sz w:val="32"/>
          <w:szCs w:val="32"/>
        </w:rPr>
        <w:t>4、临聘人员工作经费</w:t>
      </w:r>
      <w:r>
        <w:rPr>
          <w:rFonts w:ascii="Times New Roman" w:hAnsi="Times New Roman" w:eastAsia="仿宋"/>
          <w:sz w:val="32"/>
          <w:szCs w:val="32"/>
        </w:rPr>
        <w:tab/>
      </w:r>
      <w:r>
        <w:rPr>
          <w:rFonts w:hint="eastAsia" w:ascii="Times New Roman" w:hAnsi="Times New Roman" w:eastAsia="仿宋"/>
          <w:sz w:val="32"/>
          <w:szCs w:val="32"/>
        </w:rPr>
        <w:t>35</w:t>
      </w:r>
    </w:p>
    <w:p>
      <w:pPr>
        <w:pStyle w:val="11"/>
        <w:spacing w:before="0" w:line="560" w:lineRule="exact"/>
        <w:jc w:val="both"/>
        <w:rPr>
          <w:rFonts w:ascii="Times New Roman" w:hAnsi="Times New Roman"/>
          <w:sz w:val="32"/>
          <w:szCs w:val="32"/>
        </w:rPr>
      </w:pPr>
      <w:r>
        <w:rPr>
          <w:rFonts w:hint="eastAsia" w:ascii="Times New Roman" w:hAnsi="Times New Roman"/>
          <w:sz w:val="32"/>
          <w:szCs w:val="32"/>
        </w:rPr>
        <w:t>第</w:t>
      </w:r>
      <w:r>
        <w:rPr>
          <w:rFonts w:hint="eastAsia" w:ascii="Times New Roman" w:hAnsi="Times New Roman"/>
          <w:bCs/>
          <w:kern w:val="44"/>
          <w:sz w:val="32"/>
          <w:szCs w:val="32"/>
        </w:rPr>
        <w:t>五部分</w:t>
      </w:r>
      <w:r>
        <w:rPr>
          <w:rFonts w:ascii="Times New Roman" w:hAnsi="Times New Roman"/>
          <w:bCs/>
          <w:kern w:val="44"/>
          <w:sz w:val="32"/>
          <w:szCs w:val="32"/>
        </w:rPr>
        <w:t xml:space="preserve"> </w:t>
      </w:r>
      <w:r>
        <w:rPr>
          <w:rFonts w:hint="eastAsia" w:ascii="Times New Roman" w:hAnsi="Times New Roman"/>
          <w:bCs/>
          <w:kern w:val="44"/>
          <w:sz w:val="32"/>
          <w:szCs w:val="32"/>
        </w:rPr>
        <w:t>附表</w:t>
      </w:r>
      <w:r>
        <w:rPr>
          <w:rFonts w:ascii="Times New Roman" w:hAnsi="Times New Roman"/>
          <w:sz w:val="32"/>
          <w:szCs w:val="32"/>
        </w:rPr>
        <w:tab/>
      </w:r>
      <w:r>
        <w:rPr>
          <w:rFonts w:hint="eastAsia" w:ascii="Times New Roman" w:hAnsi="Times New Roman"/>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一、收入支出决算总表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二、收入决算总表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三、支出决算表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四、财政拨款收入支出决算总表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五、财政拨款支出决算明细表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六、一般公共预算财政拨款支出决算表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七、一般公共预算财政拨款支出明细表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八、一般公共预算财政拨款基本支出决算表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九、一般公共预算财政拨款项目支出决算表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十、政府性基金预算财政拨款收入支出决算表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十一、国有资本经营预算财政拨款收入支出决算表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十二、国有资本经营预算财政拨款支出决算表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640" w:firstLineChars="200"/>
        <w:rPr>
          <w:rFonts w:ascii="Times New Roman" w:hAnsi="Times New Roman" w:eastAsia="仿宋"/>
          <w:sz w:val="32"/>
          <w:szCs w:val="32"/>
        </w:rPr>
      </w:pPr>
      <w:r>
        <w:rPr>
          <w:rFonts w:hint="eastAsia" w:ascii="Times New Roman" w:hAnsi="Times New Roman" w:eastAsia="仿宋"/>
          <w:sz w:val="32"/>
          <w:szCs w:val="32"/>
        </w:rPr>
        <w:t>十三、财政拨款“三公”经费支出决算表</w:t>
      </w:r>
      <w:r>
        <w:rPr>
          <w:rFonts w:ascii="Times New Roman" w:hAnsi="Times New Roman" w:eastAsia="仿宋"/>
          <w:sz w:val="32"/>
          <w:szCs w:val="32"/>
        </w:rPr>
        <w:tab/>
      </w:r>
      <w:r>
        <w:rPr>
          <w:rFonts w:hint="eastAsia" w:ascii="Times New Roman" w:hAnsi="Times New Roman" w:eastAsia="仿宋"/>
          <w:sz w:val="32"/>
          <w:szCs w:val="32"/>
        </w:rPr>
        <w:t>40</w:t>
      </w:r>
    </w:p>
    <w:p>
      <w:pPr>
        <w:pStyle w:val="12"/>
        <w:spacing w:line="560" w:lineRule="exact"/>
        <w:ind w:left="0" w:leftChars="0" w:firstLine="960" w:firstLineChars="300"/>
        <w:rPr>
          <w:rFonts w:ascii="Times New Roman" w:hAnsi="Times New Roman" w:eastAsia="仿宋"/>
          <w:sz w:val="32"/>
          <w:szCs w:val="32"/>
        </w:rPr>
      </w:pPr>
    </w:p>
    <w:p>
      <w:pPr>
        <w:pStyle w:val="3"/>
        <w:keepNext w:val="0"/>
        <w:keepLines w:val="0"/>
        <w:spacing w:before="0" w:after="0" w:line="560" w:lineRule="exact"/>
        <w:jc w:val="center"/>
        <w:rPr>
          <w:rFonts w:ascii="Times New Roman" w:hAnsi="Times New Roman" w:eastAsia="方正小标宋简体" w:cs="方正小标宋简体"/>
          <w:b w:val="0"/>
          <w:color w:val="000000"/>
        </w:rPr>
        <w:sectPr>
          <w:footerReference r:id="rId3" w:type="default"/>
          <w:footerReference r:id="rId4" w:type="even"/>
          <w:pgSz w:w="11906" w:h="16838"/>
          <w:pgMar w:top="2098" w:right="1474" w:bottom="1984" w:left="1587" w:header="851" w:footer="1559" w:gutter="0"/>
          <w:cols w:space="0" w:num="1"/>
          <w:docGrid w:type="lines" w:linePitch="312" w:charSpace="0"/>
        </w:sectPr>
      </w:pPr>
      <w:bookmarkStart w:id="8" w:name="_Toc29424"/>
    </w:p>
    <w:p>
      <w:pPr>
        <w:pStyle w:val="3"/>
        <w:keepNext w:val="0"/>
        <w:keepLines w:val="0"/>
        <w:spacing w:before="0" w:after="0" w:line="560" w:lineRule="exact"/>
        <w:jc w:val="center"/>
        <w:rPr>
          <w:rFonts w:ascii="Times New Roman" w:hAnsi="Times New Roman" w:eastAsia="方正小标宋简体"/>
          <w:b w:val="0"/>
        </w:rPr>
      </w:pPr>
      <w:r>
        <w:rPr>
          <w:rFonts w:hint="eastAsia" w:ascii="Times New Roman" w:hAnsi="Times New Roman" w:eastAsia="方正小标宋简体"/>
          <w:b w:val="0"/>
        </w:rPr>
        <w:t>第一部分</w:t>
      </w:r>
      <w:r>
        <w:rPr>
          <w:rFonts w:ascii="Times New Roman" w:hAnsi="Times New Roman" w:eastAsia="方正小标宋简体"/>
          <w:b w:val="0"/>
        </w:rPr>
        <w:t xml:space="preserve">  </w:t>
      </w:r>
      <w:r>
        <w:rPr>
          <w:rFonts w:hint="eastAsia" w:ascii="Times New Roman" w:hAnsi="Times New Roman" w:eastAsia="方正小标宋简体"/>
          <w:b w:val="0"/>
        </w:rPr>
        <w:t>部门概况</w:t>
      </w:r>
      <w:bookmarkEnd w:id="8"/>
    </w:p>
    <w:p>
      <w:pPr>
        <w:pStyle w:val="2"/>
        <w:spacing w:line="560" w:lineRule="exact"/>
        <w:ind w:firstLine="640" w:firstLineChars="200"/>
        <w:rPr>
          <w:rFonts w:ascii="Times New Roman" w:hAnsi="Times New Roman" w:eastAsia="黑体"/>
          <w:sz w:val="32"/>
          <w:szCs w:val="32"/>
        </w:rPr>
      </w:pPr>
    </w:p>
    <w:p>
      <w:pPr>
        <w:pStyle w:val="2"/>
        <w:spacing w:line="560" w:lineRule="exact"/>
        <w:ind w:firstLine="640" w:firstLineChars="200"/>
        <w:rPr>
          <w:rFonts w:ascii="Times New Roman" w:hAnsi="Times New Roman"/>
          <w:sz w:val="32"/>
          <w:szCs w:val="32"/>
        </w:rPr>
      </w:pPr>
      <w:r>
        <w:rPr>
          <w:rFonts w:hint="eastAsia" w:ascii="Times New Roman" w:hAnsi="Times New Roman" w:eastAsia="黑体"/>
          <w:sz w:val="32"/>
          <w:szCs w:val="32"/>
        </w:rPr>
        <w:t>一、部门职责</w:t>
      </w:r>
    </w:p>
    <w:p>
      <w:pPr>
        <w:pStyle w:val="13"/>
        <w:spacing w:before="0" w:beforeAutospacing="0" w:after="0" w:afterAutospacing="0"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安居区妇联是区委领导下的全区各族各界妇女的群众团体，是党和政府联系妇女的桥梁和纽带，是国家政权的重要社会支柱之一。主要职责是：</w:t>
      </w:r>
    </w:p>
    <w:p>
      <w:pPr>
        <w:pStyle w:val="13"/>
        <w:spacing w:before="0" w:beforeAutospacing="0" w:after="0" w:afterAutospacing="0" w:line="560" w:lineRule="exact"/>
        <w:ind w:firstLine="640" w:firstLineChars="200"/>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1）</w:t>
      </w:r>
      <w:r>
        <w:rPr>
          <w:rFonts w:hint="eastAsia" w:ascii="Times New Roman" w:hAnsi="Times New Roman" w:eastAsia="仿宋_GB2312"/>
          <w:sz w:val="32"/>
        </w:rPr>
        <w:t>对全区广大妇女进行自尊、自信、自立、自强的教育；围绕党的中心工作，动员和组织广大妇女投身社会主义两个文明建设；在农村妇女中深入、持久、有效地开展“双学双赛”活动；在城镇妇女中广泛开展“巾帼建功”活动；在妇女中分层次、多渠道地开展妇干培训、职业培训、实用技术培训，努力提高妇女素质。</w:t>
      </w:r>
    </w:p>
    <w:p>
      <w:pPr>
        <w:pStyle w:val="13"/>
        <w:spacing w:before="0" w:beforeAutospacing="0" w:after="0" w:afterAutospacing="0" w:line="560" w:lineRule="exact"/>
        <w:ind w:firstLine="640" w:firstLineChars="200"/>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2）</w:t>
      </w:r>
      <w:r>
        <w:rPr>
          <w:rFonts w:hint="eastAsia" w:ascii="Times New Roman" w:hAnsi="Times New Roman" w:eastAsia="仿宋_GB2312"/>
          <w:sz w:val="32"/>
        </w:rPr>
        <w:t>代表广大妇女参与国家和社会事务的民主管理、监督，参与有关妇女儿童法律、法规、条例、规定的制定，代表妇女的利益，反映妇女的呼声。大力培养、选拔优秀妇女人才，促进女性参政议政水平的提高。</w:t>
      </w:r>
    </w:p>
    <w:p>
      <w:pPr>
        <w:pStyle w:val="13"/>
        <w:spacing w:before="0" w:beforeAutospacing="0" w:after="0" w:afterAutospacing="0" w:line="560" w:lineRule="exact"/>
        <w:ind w:firstLine="640" w:firstLineChars="200"/>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3）</w:t>
      </w:r>
      <w:r>
        <w:rPr>
          <w:rFonts w:hint="eastAsia" w:ascii="Times New Roman" w:hAnsi="Times New Roman" w:eastAsia="仿宋_GB2312"/>
          <w:sz w:val="32"/>
        </w:rPr>
        <w:t>根据《</w:t>
      </w:r>
      <w:r>
        <w:rPr>
          <w:rFonts w:hint="eastAsia" w:ascii="Times New Roman" w:hAnsi="Times New Roman" w:eastAsia="仿宋_GB2312"/>
          <w:sz w:val="32"/>
          <w:lang w:eastAsia="zh-CN"/>
        </w:rPr>
        <w:t>中华人民共和国宪法</w:t>
      </w:r>
      <w:r>
        <w:rPr>
          <w:rFonts w:hint="eastAsia" w:ascii="Times New Roman" w:hAnsi="Times New Roman" w:eastAsia="仿宋_GB2312"/>
          <w:sz w:val="32"/>
        </w:rPr>
        <w:t>》赋予妇女与男子“五平等”的权利，对全区妇女参政、就业、受教育、社会地位及婚姻家庭等方面的问题进行调查，及时向区委、区政府反映情况，提出建议，依法维护妇女儿童权益。</w:t>
      </w:r>
    </w:p>
    <w:p>
      <w:pPr>
        <w:pStyle w:val="13"/>
        <w:spacing w:before="0" w:beforeAutospacing="0" w:after="0" w:afterAutospacing="0" w:line="560" w:lineRule="exact"/>
        <w:ind w:firstLine="640" w:firstLineChars="200"/>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4）</w:t>
      </w:r>
      <w:r>
        <w:rPr>
          <w:rFonts w:hint="eastAsia" w:ascii="Times New Roman" w:hAnsi="Times New Roman" w:eastAsia="仿宋_GB2312"/>
          <w:sz w:val="32"/>
        </w:rPr>
        <w:t>为广大妇女服务，为基层服务，加强调研，指导乡镇妇联开展妇女儿童工作。对基层妇女组织和女工委员会工作给予指导；加强同社会各界的联系，宣传马克思主义妇女观，加快妇女工作社会化进程。</w:t>
      </w:r>
    </w:p>
    <w:p>
      <w:pPr>
        <w:pStyle w:val="13"/>
        <w:spacing w:before="0" w:beforeAutospacing="0" w:after="0" w:afterAutospacing="0"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5）</w:t>
      </w:r>
      <w:r>
        <w:rPr>
          <w:rFonts w:hint="eastAsia" w:ascii="Times New Roman" w:hAnsi="Times New Roman" w:eastAsia="仿宋_GB2312"/>
          <w:sz w:val="32"/>
        </w:rPr>
        <w:t>团结、教育全区各族各界妇女以及各类妇女组织，坚持正确的政治方向；促进全区各族各界妇女的大团结，为维护祖国统一和台湾回归作贡献。</w:t>
      </w:r>
    </w:p>
    <w:p>
      <w:pPr>
        <w:pStyle w:val="13"/>
        <w:spacing w:before="0" w:beforeAutospacing="0" w:after="0" w:afterAutospacing="0"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w:t>
      </w:r>
      <w:r>
        <w:rPr>
          <w:rFonts w:ascii="Times New Roman" w:hAnsi="Times New Roman" w:eastAsia="仿宋_GB2312"/>
          <w:sz w:val="32"/>
        </w:rPr>
        <w:t>6）</w:t>
      </w:r>
      <w:r>
        <w:rPr>
          <w:rFonts w:hint="eastAsia" w:ascii="Times New Roman" w:hAnsi="Times New Roman" w:eastAsia="仿宋_GB2312"/>
          <w:sz w:val="32"/>
        </w:rPr>
        <w:t>承担区政府妇女儿童工作委员会的日常工作。</w:t>
      </w:r>
    </w:p>
    <w:p>
      <w:pPr>
        <w:pStyle w:val="6"/>
        <w:adjustRightInd w:val="0"/>
        <w:snapToGrid w:val="0"/>
        <w:spacing w:beforeLines="0" w:line="560" w:lineRule="exact"/>
        <w:ind w:firstLine="640" w:firstLineChars="200"/>
        <w:outlineLvl w:val="2"/>
        <w:rPr>
          <w:rFonts w:ascii="Times New Roman" w:hAnsi="Times New Roman"/>
          <w:bCs/>
          <w:sz w:val="32"/>
          <w:szCs w:val="32"/>
        </w:rPr>
      </w:pPr>
      <w:r>
        <w:rPr>
          <w:rFonts w:hint="eastAsia" w:ascii="Times New Roman" w:hAnsi="Times New Roman"/>
          <w:sz w:val="32"/>
          <w:szCs w:val="32"/>
        </w:rPr>
        <w:t>（</w:t>
      </w:r>
      <w:r>
        <w:rPr>
          <w:rFonts w:ascii="Times New Roman" w:hAnsi="Times New Roman"/>
          <w:sz w:val="32"/>
          <w:szCs w:val="32"/>
        </w:rPr>
        <w:t>7）</w:t>
      </w:r>
      <w:r>
        <w:rPr>
          <w:rFonts w:hint="eastAsia" w:ascii="Times New Roman" w:hAnsi="Times New Roman"/>
          <w:sz w:val="32"/>
          <w:szCs w:val="32"/>
        </w:rPr>
        <w:t>承办区委、区政府及上级主管部门交办的其它事项。</w:t>
      </w:r>
    </w:p>
    <w:p>
      <w:pPr>
        <w:pStyle w:val="4"/>
        <w:keepNext w:val="0"/>
        <w:keepLines w:val="0"/>
        <w:spacing w:before="0" w:after="0" w:line="560" w:lineRule="exact"/>
        <w:ind w:firstLine="640" w:firstLineChars="200"/>
        <w:rPr>
          <w:rStyle w:val="24"/>
          <w:rFonts w:ascii="Times New Roman" w:hAnsi="Times New Roman" w:eastAsia="仿宋_GB2312"/>
          <w:b/>
          <w:bCs/>
          <w:kern w:val="0"/>
        </w:rPr>
      </w:pPr>
      <w:bookmarkStart w:id="9" w:name="_Toc18583"/>
      <w:r>
        <w:rPr>
          <w:rFonts w:hint="eastAsia" w:ascii="Times New Roman" w:hAnsi="Times New Roman" w:eastAsia="黑体"/>
          <w:b w:val="0"/>
        </w:rPr>
        <w:t>二、机</w:t>
      </w:r>
      <w:r>
        <w:rPr>
          <w:rStyle w:val="24"/>
          <w:rFonts w:hint="eastAsia" w:ascii="Times New Roman" w:hAnsi="Times New Roman" w:eastAsia="黑体"/>
          <w:b w:val="0"/>
          <w:bCs w:val="0"/>
        </w:rPr>
        <w:t>构设置</w:t>
      </w:r>
      <w:bookmarkEnd w:id="9"/>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区妇联下属二级单位</w:t>
      </w:r>
      <w:r>
        <w:rPr>
          <w:rFonts w:ascii="Times New Roman" w:hAnsi="Times New Roman" w:eastAsia="仿宋_GB2312"/>
          <w:sz w:val="32"/>
          <w:szCs w:val="32"/>
        </w:rPr>
        <w:t>0个，其中行政单位0个，参照公务员法管理的事业单位</w:t>
      </w:r>
      <w:r>
        <w:rPr>
          <w:rFonts w:ascii="Times New Roman" w:hAnsi="Times New Roman" w:eastAsia="仿宋_GB2312"/>
          <w:bCs/>
          <w:sz w:val="32"/>
          <w:szCs w:val="32"/>
        </w:rPr>
        <w:t>0</w:t>
      </w:r>
      <w:r>
        <w:rPr>
          <w:rFonts w:hint="eastAsia" w:ascii="Times New Roman" w:hAnsi="Times New Roman" w:eastAsia="仿宋_GB2312"/>
          <w:sz w:val="32"/>
          <w:szCs w:val="32"/>
        </w:rPr>
        <w:t>个，其他事业单位</w:t>
      </w:r>
      <w:r>
        <w:rPr>
          <w:rFonts w:ascii="Times New Roman" w:hAnsi="Times New Roman" w:eastAsia="仿宋_GB2312"/>
          <w:sz w:val="32"/>
          <w:szCs w:val="32"/>
        </w:rPr>
        <w:t>0个。</w:t>
      </w:r>
    </w:p>
    <w:p>
      <w:pPr>
        <w:pStyle w:val="6"/>
        <w:adjustRightInd w:val="0"/>
        <w:snapToGrid w:val="0"/>
        <w:spacing w:beforeLines="0" w:line="560" w:lineRule="exact"/>
        <w:ind w:firstLine="640" w:firstLineChars="200"/>
        <w:rPr>
          <w:rFonts w:ascii="Times New Roman" w:hAnsi="Times New Roman"/>
          <w:sz w:val="32"/>
          <w:szCs w:val="32"/>
        </w:rPr>
      </w:pPr>
      <w:r>
        <w:rPr>
          <w:rFonts w:hint="eastAsia" w:ascii="Times New Roman" w:hAnsi="Times New Roman"/>
          <w:sz w:val="32"/>
          <w:szCs w:val="32"/>
        </w:rPr>
        <w:t>没有纳入区妇联</w:t>
      </w:r>
      <w:r>
        <w:rPr>
          <w:rFonts w:ascii="Times New Roman" w:hAnsi="Times New Roman"/>
          <w:sz w:val="32"/>
          <w:szCs w:val="32"/>
        </w:rPr>
        <w:t xml:space="preserve">2022年度部门决算编制范围的二级预算单位。 </w:t>
      </w:r>
    </w:p>
    <w:p>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人员情况，包括当年变动情况及原因：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区妇联目前有主席一名、副主席一名、科员一名，事业管理一名，聘用人员（含公益性岗位）</w:t>
      </w:r>
      <w:r>
        <w:rPr>
          <w:rFonts w:hint="eastAsia" w:ascii="Times New Roman" w:hAnsi="Times New Roman" w:eastAsia="仿宋_GB2312"/>
          <w:sz w:val="32"/>
          <w:szCs w:val="32"/>
          <w:lang w:eastAsia="zh-CN"/>
        </w:rPr>
        <w:t>两</w:t>
      </w:r>
      <w:r>
        <w:rPr>
          <w:rFonts w:hint="eastAsia" w:ascii="Times New Roman" w:hAnsi="Times New Roman" w:eastAsia="仿宋_GB2312"/>
          <w:sz w:val="32"/>
          <w:szCs w:val="32"/>
        </w:rPr>
        <w:t>名。</w:t>
      </w:r>
      <w:bookmarkStart w:id="10" w:name="_Toc15396602"/>
      <w:bookmarkStart w:id="11" w:name="_Toc15377204"/>
    </w:p>
    <w:p>
      <w:pPr>
        <w:spacing w:line="560" w:lineRule="exact"/>
        <w:ind w:firstLine="640" w:firstLineChars="200"/>
        <w:rPr>
          <w:rFonts w:ascii="Times New Roman" w:hAnsi="Times New Roman" w:eastAsia="仿宋_GB2312"/>
          <w:sz w:val="32"/>
          <w:szCs w:val="32"/>
        </w:rPr>
      </w:pPr>
    </w:p>
    <w:p>
      <w:pPr>
        <w:pStyle w:val="3"/>
        <w:keepNext w:val="0"/>
        <w:keepLines w:val="0"/>
        <w:spacing w:before="0" w:after="0" w:line="560" w:lineRule="exact"/>
        <w:jc w:val="center"/>
        <w:rPr>
          <w:rFonts w:ascii="Times New Roman" w:hAnsi="Times New Roman" w:eastAsia="方正小标宋简体"/>
          <w:sz w:val="32"/>
          <w:szCs w:val="32"/>
        </w:rPr>
      </w:pPr>
      <w:bookmarkStart w:id="12" w:name="_Toc3473"/>
      <w:r>
        <w:rPr>
          <w:rFonts w:hint="eastAsia" w:ascii="Times New Roman" w:hAnsi="Times New Roman" w:eastAsia="方正小标宋简体"/>
          <w:b w:val="0"/>
        </w:rPr>
        <w:t>第二部分</w:t>
      </w:r>
      <w:r>
        <w:rPr>
          <w:rFonts w:ascii="Times New Roman" w:hAnsi="Times New Roman" w:eastAsia="方正小标宋简体"/>
          <w:b w:val="0"/>
        </w:rPr>
        <w:t xml:space="preserve"> </w:t>
      </w:r>
      <w:r>
        <w:rPr>
          <w:rFonts w:ascii="Times New Roman" w:hAnsi="Times New Roman" w:eastAsia="方正小标宋简体"/>
        </w:rPr>
        <w:t xml:space="preserve"> </w:t>
      </w:r>
      <w:r>
        <w:rPr>
          <w:rStyle w:val="21"/>
          <w:rFonts w:ascii="Times New Roman" w:hAnsi="Times New Roman" w:eastAsia="方正小标宋简体"/>
          <w:b w:val="0"/>
          <w:bCs w:val="0"/>
        </w:rPr>
        <w:t>2022年度部门决算情况说明</w:t>
      </w:r>
      <w:bookmarkEnd w:id="10"/>
      <w:bookmarkEnd w:id="11"/>
      <w:bookmarkEnd w:id="12"/>
    </w:p>
    <w:p>
      <w:pPr>
        <w:spacing w:line="560" w:lineRule="exact"/>
        <w:ind w:firstLine="643" w:firstLineChars="200"/>
        <w:rPr>
          <w:rStyle w:val="22"/>
          <w:rFonts w:ascii="Times New Roman" w:hAnsi="Times New Roman" w:eastAsia="黑体"/>
          <w:bCs w:val="0"/>
        </w:rPr>
      </w:pPr>
      <w:bookmarkStart w:id="13" w:name="_Toc15377205"/>
      <w:bookmarkStart w:id="14" w:name="_Toc15396603"/>
      <w:bookmarkStart w:id="15" w:name="_Toc9473"/>
    </w:p>
    <w:p>
      <w:pPr>
        <w:spacing w:line="560" w:lineRule="exact"/>
        <w:ind w:firstLine="640" w:firstLineChars="200"/>
        <w:rPr>
          <w:rStyle w:val="22"/>
          <w:rFonts w:ascii="Times New Roman" w:hAnsi="Times New Roman" w:eastAsia="黑体"/>
          <w:b w:val="0"/>
        </w:rPr>
      </w:pPr>
      <w:r>
        <w:rPr>
          <w:rStyle w:val="22"/>
          <w:rFonts w:hint="eastAsia" w:ascii="Times New Roman" w:hAnsi="Times New Roman" w:eastAsia="黑体"/>
          <w:b w:val="0"/>
        </w:rPr>
        <w:t>一、</w:t>
      </w:r>
      <w:bookmarkEnd w:id="13"/>
      <w:bookmarkEnd w:id="14"/>
      <w:r>
        <w:rPr>
          <w:rStyle w:val="22"/>
          <w:rFonts w:hint="eastAsia" w:ascii="Times New Roman" w:hAnsi="Times New Roman" w:eastAsia="黑体"/>
          <w:b w:val="0"/>
        </w:rPr>
        <w:t>收入支出决算总体情况情况。</w:t>
      </w:r>
    </w:p>
    <w:bookmarkEnd w:id="15"/>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2022年度收、支总计281.53万元。与2021年相比，收、支总计减少73.9万元，下降20.79%。主要变动原因是单位在职人员及项目减少，人员经费与公用经费用减少。</w:t>
      </w:r>
    </w:p>
    <w:p>
      <w:pPr>
        <w:pStyle w:val="20"/>
        <w:spacing w:line="560" w:lineRule="exact"/>
        <w:ind w:firstLine="0" w:firstLineChars="0"/>
        <w:jc w:val="center"/>
        <w:outlineLvl w:val="1"/>
        <w:rPr>
          <w:rFonts w:ascii="Times New Roman" w:hAnsi="Times New Roman" w:eastAsia="仿宋"/>
          <w:sz w:val="32"/>
          <w:szCs w:val="32"/>
        </w:rPr>
      </w:pPr>
      <w:bookmarkStart w:id="16" w:name="_Toc17157"/>
      <w:r>
        <w:rPr>
          <w:rFonts w:hint="eastAsia" w:ascii="Times New Roman" w:hAnsi="Times New Roman" w:eastAsia="仿宋"/>
          <w:sz w:val="32"/>
          <w:szCs w:val="32"/>
        </w:rPr>
        <w:t>（图</w:t>
      </w:r>
      <w:r>
        <w:rPr>
          <w:rFonts w:ascii="Times New Roman" w:hAnsi="Times New Roman" w:eastAsia="仿宋"/>
          <w:sz w:val="32"/>
          <w:szCs w:val="32"/>
        </w:rPr>
        <w:t>1</w:t>
      </w:r>
      <w:r>
        <w:rPr>
          <w:rFonts w:hint="eastAsia" w:ascii="Times New Roman" w:hAnsi="Times New Roman" w:eastAsia="仿宋"/>
          <w:sz w:val="32"/>
          <w:szCs w:val="32"/>
        </w:rPr>
        <w:t>：收、支决算总计变动情况图）（柱状图）</w:t>
      </w:r>
      <w:bookmarkEnd w:id="16"/>
    </w:p>
    <w:p>
      <w:pPr>
        <w:pStyle w:val="20"/>
        <w:ind w:firstLine="0" w:firstLineChars="0"/>
        <w:jc w:val="center"/>
        <w:outlineLvl w:val="1"/>
        <w:rPr>
          <w:rFonts w:ascii="Times New Roman" w:hAnsi="Times New Roman" w:eastAsia="仿宋"/>
          <w:sz w:val="32"/>
          <w:szCs w:val="32"/>
        </w:rPr>
      </w:pPr>
      <w:r>
        <w:rPr>
          <w:rFonts w:ascii="Times New Roman" w:hAnsi="Times New Roman" w:eastAsia="仿宋_GB2312"/>
          <w:sz w:val="32"/>
          <w:szCs w:val="32"/>
        </w:rPr>
        <w:drawing>
          <wp:inline distT="0" distB="0" distL="114300" distR="114300">
            <wp:extent cx="5080000" cy="2637790"/>
            <wp:effectExtent l="4445" t="4445" r="5715"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0"/>
        <w:spacing w:line="560" w:lineRule="exact"/>
        <w:ind w:firstLine="640"/>
        <w:outlineLvl w:val="1"/>
        <w:rPr>
          <w:rFonts w:ascii="Times New Roman" w:hAnsi="Times New Roman" w:eastAsia="仿宋_GB2312"/>
          <w:bCs/>
          <w:sz w:val="32"/>
          <w:szCs w:val="32"/>
        </w:rPr>
      </w:pPr>
      <w:bookmarkStart w:id="17" w:name="_Toc19057"/>
      <w:r>
        <w:rPr>
          <w:rStyle w:val="22"/>
          <w:rFonts w:hint="eastAsia" w:ascii="Times New Roman" w:hAnsi="Times New Roman" w:eastAsia="黑体"/>
          <w:b w:val="0"/>
        </w:rPr>
        <w:t>二、决算</w:t>
      </w:r>
      <w:r>
        <w:rPr>
          <w:rFonts w:hint="eastAsia" w:ascii="Times New Roman" w:hAnsi="Times New Roman" w:eastAsia="黑体"/>
          <w:bCs/>
          <w:sz w:val="32"/>
          <w:szCs w:val="32"/>
        </w:rPr>
        <w:t>收入</w:t>
      </w:r>
      <w:r>
        <w:rPr>
          <w:rStyle w:val="22"/>
          <w:rFonts w:hint="eastAsia" w:ascii="Times New Roman" w:hAnsi="Times New Roman" w:eastAsia="黑体"/>
          <w:b w:val="0"/>
        </w:rPr>
        <w:t>情况说明</w:t>
      </w:r>
      <w:bookmarkEnd w:id="17"/>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妇联本年收入合计281.53万元，其中：一般公共预算财政拨款收入250.73万元，占89.06%；上年结转结余0万元，占0%；政府性基金预算财政拨款收入30.8万元，占10.94%；国有资本经营预算财政拨款收入0万元，占0%；事业收入0万元，占0%；经营收入0万元，占0%；附属单位上缴收入0万元，占0%；其他收入0万元，占0%。</w:t>
      </w:r>
    </w:p>
    <w:p>
      <w:pPr>
        <w:pStyle w:val="2"/>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80000" cy="2353310"/>
            <wp:effectExtent l="4445" t="4445" r="5715" b="1968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0"/>
        <w:spacing w:line="560" w:lineRule="exact"/>
        <w:ind w:firstLine="640"/>
        <w:outlineLvl w:val="1"/>
        <w:rPr>
          <w:rStyle w:val="22"/>
          <w:rFonts w:ascii="Times New Roman" w:hAnsi="Times New Roman" w:eastAsia="黑体"/>
          <w:b w:val="0"/>
        </w:rPr>
      </w:pPr>
      <w:bookmarkStart w:id="18" w:name="_Toc15396605"/>
      <w:bookmarkStart w:id="19" w:name="_Toc3340"/>
      <w:bookmarkStart w:id="20" w:name="_Toc15377207"/>
      <w:r>
        <w:rPr>
          <w:rStyle w:val="22"/>
          <w:rFonts w:hint="eastAsia" w:ascii="Times New Roman" w:hAnsi="Times New Roman" w:eastAsia="黑体"/>
          <w:b w:val="0"/>
        </w:rPr>
        <w:t>三、决算</w:t>
      </w:r>
      <w:r>
        <w:rPr>
          <w:rFonts w:hint="eastAsia" w:ascii="Times New Roman" w:hAnsi="Times New Roman" w:eastAsia="黑体"/>
          <w:bCs/>
          <w:sz w:val="32"/>
          <w:szCs w:val="32"/>
        </w:rPr>
        <w:t>支</w:t>
      </w:r>
      <w:r>
        <w:rPr>
          <w:rStyle w:val="22"/>
          <w:rFonts w:hint="eastAsia" w:ascii="Times New Roman" w:hAnsi="Times New Roman" w:eastAsia="黑体"/>
          <w:b w:val="0"/>
        </w:rPr>
        <w:t>出情况说明</w:t>
      </w:r>
      <w:bookmarkEnd w:id="18"/>
      <w:bookmarkEnd w:id="19"/>
      <w:bookmarkEnd w:id="2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2022年妇联本年支出合计281.53万元，其中：基本支出59.28万元，占16.84%；项目支出222.25万元，占83.16%；上缴上级支出0万元，占0%；经营支出0万元，占0%；对附属单位补助支出0万元，占0%</w:t>
      </w:r>
    </w:p>
    <w:p>
      <w:pPr>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80000" cy="2345055"/>
            <wp:effectExtent l="4445" t="4445" r="571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四、财政拨款收入支出决算总体情况说明</w:t>
      </w:r>
    </w:p>
    <w:p>
      <w:pPr>
        <w:spacing w:line="56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（一）</w:t>
      </w:r>
      <w:r>
        <w:rPr>
          <w:rFonts w:ascii="楷体_GB2312" w:hAnsi="楷体_GB2312" w:eastAsia="楷体_GB2312" w:cs="楷体_GB2312"/>
          <w:b/>
          <w:bCs/>
          <w:sz w:val="32"/>
          <w:szCs w:val="32"/>
        </w:rPr>
        <w:t>2022年度财政拨款收、支总计281.53万元。</w:t>
      </w:r>
      <w:r>
        <w:rPr>
          <w:rFonts w:hint="eastAsia" w:ascii="Times New Roman" w:hAnsi="Times New Roman" w:eastAsia="仿宋_GB2312"/>
          <w:sz w:val="32"/>
          <w:szCs w:val="32"/>
        </w:rPr>
        <w:t>与</w:t>
      </w:r>
      <w:r>
        <w:rPr>
          <w:rFonts w:ascii="Times New Roman" w:hAnsi="Times New Roman" w:eastAsia="仿宋_GB2312"/>
          <w:sz w:val="32"/>
          <w:szCs w:val="32"/>
        </w:rPr>
        <w:t>2021年相比，下降20.79%。主要变动原因是单位在职人员及项目减少，人员经费与公用经费用减少。</w:t>
      </w:r>
    </w:p>
    <w:p>
      <w:pPr>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4727575" cy="2272665"/>
            <wp:effectExtent l="4445" t="4445" r="7620" b="8890"/>
            <wp:docPr id="6" name="图表 6"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（二）一般公共预算财政拨款支出决算结构情况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一般公共预算财政拨款支出281.53万元，主要用于以下方面:一般公共服务支出77.76万元，占27.62%；社会保障和就业支出73.6万元，占26.14%；卫生健康支出89.53万元，占31.8%；农林水支出5万元，占1.78%；住房保障支出4.83万元，占1.72%；城乡社区支出30.8万元，占10.94%。</w:t>
      </w:r>
    </w:p>
    <w:p>
      <w:pPr>
        <w:pStyle w:val="17"/>
        <w:spacing w:line="240" w:lineRule="auto"/>
        <w:ind w:firstLine="0" w:firstLineChars="0"/>
        <w:jc w:val="center"/>
        <w:rPr>
          <w:rFonts w:ascii="Times New Roman" w:hAnsi="Times New Roman" w:eastAsia="仿宋_GB2312"/>
          <w:szCs w:val="32"/>
        </w:rPr>
      </w:pPr>
      <w:r>
        <w:rPr>
          <w:rFonts w:ascii="Times New Roman" w:hAnsi="Times New Roman" w:eastAsia="仿宋_GB2312"/>
          <w:szCs w:val="32"/>
        </w:rPr>
        <w:drawing>
          <wp:inline distT="0" distB="0" distL="114300" distR="114300">
            <wp:extent cx="5080000" cy="3030220"/>
            <wp:effectExtent l="4445" t="4445" r="5715" b="43815"/>
            <wp:docPr id="8" name="图表 8"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五、一般公共预算财政拨款支出决算具体情况</w:t>
      </w:r>
    </w:p>
    <w:p>
      <w:pPr>
        <w:spacing w:line="560" w:lineRule="exact"/>
        <w:ind w:firstLine="643" w:firstLineChars="200"/>
        <w:outlineLvl w:val="2"/>
        <w:rPr>
          <w:rFonts w:ascii="Times New Roman" w:hAnsi="Times New Roman"/>
        </w:rPr>
      </w:pPr>
      <w:bookmarkStart w:id="21" w:name="_Toc15377444"/>
      <w:bookmarkStart w:id="22" w:name="_Toc15378460"/>
      <w:bookmarkStart w:id="23" w:name="_Toc15377213"/>
      <w:r>
        <w:rPr>
          <w:rFonts w:ascii="Times New Roman" w:hAnsi="Times New Roman" w:eastAsia="仿宋_GB2312"/>
          <w:b/>
          <w:sz w:val="32"/>
          <w:szCs w:val="32"/>
        </w:rPr>
        <w:t>2022年一般公共预算支出决算数为281.53万元</w:t>
      </w:r>
      <w:r>
        <w:rPr>
          <w:rFonts w:hint="eastAsia" w:ascii="Times New Roman" w:hAnsi="Times New Roman" w:eastAsia="仿宋_GB2312"/>
          <w:sz w:val="32"/>
          <w:szCs w:val="32"/>
        </w:rPr>
        <w:t>，</w:t>
      </w:r>
      <w:r>
        <w:rPr>
          <w:rStyle w:val="16"/>
          <w:rFonts w:hint="eastAsia" w:ascii="Times New Roman" w:hAnsi="Times New Roman" w:eastAsia="仿宋_GB2312"/>
          <w:sz w:val="32"/>
          <w:szCs w:val="32"/>
        </w:rPr>
        <w:t>完成预算</w:t>
      </w:r>
      <w:r>
        <w:rPr>
          <w:rStyle w:val="16"/>
          <w:rFonts w:ascii="Times New Roman" w:hAnsi="Times New Roman" w:eastAsia="仿宋_GB2312"/>
          <w:sz w:val="32"/>
          <w:szCs w:val="32"/>
        </w:rPr>
        <w:t>100%。其中：</w:t>
      </w:r>
      <w:bookmarkEnd w:id="21"/>
      <w:bookmarkEnd w:id="22"/>
      <w:bookmarkEnd w:id="23"/>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1.一般公共服务支出（类）群众团体事务（款）行政运行（项）:</w:t>
      </w:r>
      <w:r>
        <w:rPr>
          <w:rStyle w:val="16"/>
          <w:rFonts w:hint="eastAsia" w:ascii="Times New Roman" w:hAnsi="Times New Roman" w:eastAsia="仿宋_GB2312"/>
          <w:b w:val="0"/>
          <w:sz w:val="32"/>
          <w:szCs w:val="32"/>
        </w:rPr>
        <w:t xml:space="preserve"> 支出决算为49.47万元，完成预算100%，决算数与预算数持平。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2.一般公共服务支出（类）群众团体事务（款）其他群众团体事务支出（项）:</w:t>
      </w:r>
      <w:r>
        <w:rPr>
          <w:rStyle w:val="16"/>
          <w:rFonts w:hint="eastAsia" w:ascii="Times New Roman" w:hAnsi="Times New Roman" w:eastAsia="仿宋_GB2312"/>
          <w:b w:val="0"/>
          <w:sz w:val="32"/>
          <w:szCs w:val="32"/>
        </w:rPr>
        <w:t xml:space="preserve"> 支出决算为28.3万元，完成预算100%，决算数与预算数持平。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ascii="Times New Roman" w:hAnsi="Times New Roman" w:eastAsia="仿宋_GB2312"/>
          <w:sz w:val="32"/>
          <w:szCs w:val="32"/>
        </w:rPr>
        <w:t xml:space="preserve">3. </w:t>
      </w:r>
      <w:r>
        <w:rPr>
          <w:rStyle w:val="16"/>
          <w:rFonts w:hint="eastAsia" w:ascii="Times New Roman" w:hAnsi="Times New Roman" w:eastAsia="仿宋_GB2312"/>
          <w:sz w:val="32"/>
          <w:szCs w:val="32"/>
        </w:rPr>
        <w:t>社会保障和就业支出（类）行政事业单位养老支出（款）机关事业单位基本养老保险缴费支出（项）：</w:t>
      </w:r>
      <w:r>
        <w:rPr>
          <w:rStyle w:val="16"/>
          <w:rFonts w:hint="eastAsia" w:ascii="Times New Roman" w:hAnsi="Times New Roman" w:eastAsia="仿宋_GB2312"/>
          <w:b w:val="0"/>
          <w:sz w:val="32"/>
          <w:szCs w:val="32"/>
        </w:rPr>
        <w:t>支出决算为3.6万元，完成预算100%，决算数与预算数持平。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ascii="Times New Roman" w:hAnsi="Times New Roman" w:eastAsia="仿宋_GB2312"/>
          <w:sz w:val="32"/>
          <w:szCs w:val="32"/>
        </w:rPr>
        <w:t xml:space="preserve">4. </w:t>
      </w:r>
      <w:r>
        <w:rPr>
          <w:rStyle w:val="16"/>
          <w:rFonts w:hint="eastAsia" w:ascii="Times New Roman" w:hAnsi="Times New Roman" w:eastAsia="仿宋_GB2312"/>
          <w:sz w:val="32"/>
          <w:szCs w:val="32"/>
        </w:rPr>
        <w:t>社会保障和就业支出（类）其他社会保障和就业支出（款）其他社会保障和就业支出（项）：</w:t>
      </w:r>
      <w:r>
        <w:rPr>
          <w:rStyle w:val="16"/>
          <w:rFonts w:hint="eastAsia" w:ascii="Times New Roman" w:hAnsi="Times New Roman" w:eastAsia="仿宋_GB2312"/>
          <w:b w:val="0"/>
          <w:sz w:val="32"/>
          <w:szCs w:val="32"/>
        </w:rPr>
        <w:t>支出决算为70万元，完成预算100%，决算数与预算数持平。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5.卫生健康支出（类）公共卫生（款）重大公共卫生服务（项）:</w:t>
      </w:r>
      <w:r>
        <w:rPr>
          <w:rStyle w:val="16"/>
          <w:rFonts w:hint="eastAsia" w:ascii="Times New Roman" w:hAnsi="Times New Roman" w:eastAsia="仿宋_GB2312"/>
          <w:b w:val="0"/>
          <w:sz w:val="32"/>
          <w:szCs w:val="32"/>
        </w:rPr>
        <w:t>支出决算为75万元，完成预算100%，决算数与预算数持平。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6.卫生健康支出（类）公共卫生（款）其他计划生育事务支出（项）:</w:t>
      </w:r>
      <w:r>
        <w:rPr>
          <w:rStyle w:val="16"/>
          <w:rFonts w:hint="eastAsia" w:ascii="Times New Roman" w:hAnsi="Times New Roman" w:eastAsia="仿宋_GB2312"/>
          <w:b w:val="0"/>
          <w:sz w:val="32"/>
          <w:szCs w:val="32"/>
        </w:rPr>
        <w:t>支出决算为15.6万元，完成预算100%，决算数与预算数持平。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ascii="Times New Roman" w:hAnsi="Times New Roman" w:eastAsia="仿宋_GB2312"/>
          <w:sz w:val="32"/>
          <w:szCs w:val="32"/>
        </w:rPr>
        <w:t xml:space="preserve">7. </w:t>
      </w:r>
      <w:r>
        <w:rPr>
          <w:rStyle w:val="16"/>
          <w:rFonts w:hint="eastAsia" w:ascii="Times New Roman" w:hAnsi="Times New Roman" w:eastAsia="仿宋_GB2312"/>
          <w:sz w:val="32"/>
          <w:szCs w:val="32"/>
        </w:rPr>
        <w:t>卫生健康支出（类）行政事业单位医疗（款）行政单位医疗（项）:</w:t>
      </w:r>
      <w:r>
        <w:rPr>
          <w:rStyle w:val="16"/>
          <w:rFonts w:hint="eastAsia" w:ascii="Times New Roman" w:hAnsi="Times New Roman" w:eastAsia="仿宋_GB2312"/>
          <w:b w:val="0"/>
          <w:sz w:val="32"/>
          <w:szCs w:val="32"/>
        </w:rPr>
        <w:t>支出决算为1.07万元，完成预算100%，决算数与预算数持平。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ascii="Times New Roman" w:hAnsi="Times New Roman" w:eastAsia="仿宋_GB2312"/>
          <w:sz w:val="32"/>
          <w:szCs w:val="32"/>
        </w:rPr>
        <w:t xml:space="preserve">8. </w:t>
      </w:r>
      <w:r>
        <w:rPr>
          <w:rStyle w:val="16"/>
          <w:rFonts w:hint="eastAsia" w:ascii="Times New Roman" w:hAnsi="Times New Roman" w:eastAsia="仿宋_GB2312"/>
          <w:sz w:val="32"/>
          <w:szCs w:val="32"/>
        </w:rPr>
        <w:t>卫生健康支出（类）行政事业单位医疗（款）公务员医疗补助（项）:</w:t>
      </w:r>
      <w:r>
        <w:rPr>
          <w:rStyle w:val="16"/>
          <w:rFonts w:hint="eastAsia" w:ascii="Times New Roman" w:hAnsi="Times New Roman" w:eastAsia="仿宋_GB2312"/>
          <w:b w:val="0"/>
          <w:sz w:val="32"/>
          <w:szCs w:val="32"/>
        </w:rPr>
        <w:t>支出决算为0.31万元，完成预算100%，决算数与预算数持平。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9.城乡社区支出（类）国有土地使用权出让收入安排的支出（款）</w:t>
      </w:r>
      <w:r>
        <w:rPr>
          <w:rStyle w:val="16"/>
          <w:rFonts w:ascii="Times New Roman" w:hAnsi="Times New Roman" w:eastAsia="仿宋_GB2312"/>
          <w:sz w:val="32"/>
          <w:szCs w:val="32"/>
        </w:rPr>
        <w:t xml:space="preserve"> </w:t>
      </w:r>
      <w:r>
        <w:rPr>
          <w:rStyle w:val="16"/>
          <w:rFonts w:hint="eastAsia" w:ascii="Times New Roman" w:hAnsi="Times New Roman" w:eastAsia="仿宋_GB2312"/>
          <w:sz w:val="32"/>
          <w:szCs w:val="32"/>
        </w:rPr>
        <w:t>其他国有土地使用权出让收入安排的支出（项）:</w:t>
      </w:r>
      <w:r>
        <w:rPr>
          <w:rStyle w:val="16"/>
          <w:rFonts w:hint="eastAsia" w:ascii="Times New Roman" w:hAnsi="Times New Roman" w:eastAsia="仿宋_GB2312"/>
          <w:b w:val="0"/>
          <w:sz w:val="32"/>
          <w:szCs w:val="32"/>
        </w:rPr>
        <w:t xml:space="preserve"> 支出决算为30.8万元，完成预算100%，决算数与预算数持平。</w:t>
      </w:r>
    </w:p>
    <w:p>
      <w:pPr>
        <w:spacing w:line="560" w:lineRule="exact"/>
        <w:ind w:firstLine="643" w:firstLineChars="200"/>
        <w:rPr>
          <w:rStyle w:val="16"/>
          <w:rFonts w:ascii="Times New Roman" w:hAnsi="Times New Roman" w:eastAsia="仿宋_GB2312"/>
          <w:b w:val="0"/>
          <w:sz w:val="32"/>
          <w:szCs w:val="32"/>
        </w:rPr>
      </w:pPr>
      <w:r>
        <w:rPr>
          <w:rStyle w:val="16"/>
          <w:rFonts w:hint="eastAsia" w:ascii="Times New Roman" w:hAnsi="Times New Roman" w:eastAsia="仿宋_GB2312"/>
          <w:sz w:val="32"/>
          <w:szCs w:val="32"/>
        </w:rPr>
        <w:t>10.住房保障支出（类）住房改革支出（款）住房公积金（项）:</w:t>
      </w:r>
      <w:r>
        <w:rPr>
          <w:rStyle w:val="16"/>
          <w:rFonts w:hint="eastAsia" w:ascii="Times New Roman" w:hAnsi="Times New Roman" w:eastAsia="仿宋_GB2312"/>
          <w:b w:val="0"/>
          <w:sz w:val="32"/>
          <w:szCs w:val="32"/>
        </w:rPr>
        <w:t xml:space="preserve"> 支出决算为4.83万元，完成预算100%，决算数与预算数持平。</w:t>
      </w:r>
    </w:p>
    <w:p>
      <w:pPr>
        <w:spacing w:line="560" w:lineRule="exact"/>
        <w:ind w:firstLine="643" w:firstLineChars="200"/>
        <w:rPr>
          <w:rFonts w:ascii="Times New Roman" w:hAnsi="Times New Roman"/>
        </w:rPr>
      </w:pPr>
      <w:r>
        <w:rPr>
          <w:rStyle w:val="16"/>
          <w:rFonts w:ascii="Times New Roman" w:hAnsi="Times New Roman" w:eastAsia="仿宋_GB2312"/>
          <w:sz w:val="32"/>
          <w:szCs w:val="32"/>
        </w:rPr>
        <w:t xml:space="preserve">11. </w:t>
      </w:r>
      <w:r>
        <w:rPr>
          <w:rStyle w:val="16"/>
          <w:rFonts w:hint="eastAsia" w:ascii="Times New Roman" w:hAnsi="Times New Roman" w:eastAsia="仿宋_GB2312"/>
          <w:sz w:val="32"/>
          <w:szCs w:val="32"/>
        </w:rPr>
        <w:t>农林水支出（类）巩固脱贫衔接乡村振兴（款）其他巩固脱贫衔接乡村振兴支出（项）:</w:t>
      </w:r>
      <w:r>
        <w:rPr>
          <w:rStyle w:val="16"/>
          <w:rFonts w:hint="eastAsia" w:ascii="Times New Roman" w:hAnsi="Times New Roman" w:eastAsia="仿宋_GB2312"/>
          <w:b w:val="0"/>
          <w:sz w:val="32"/>
          <w:szCs w:val="32"/>
        </w:rPr>
        <w:t>支出决算为5万元，完成预算100%，决算数与预算数持平。</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六、一般公共预算财政拨款基本支出决算情况说明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一般公共预算财政拨款基本支出59.28万元，其中：人员经费51.88万元，主要包括：基本工资16.67万元、津贴补5.84万元、奖金15.10万元、伙食补助费0万元、绩效工资0万元、机关事业单位基本养老保险缴费3.6万元、职业年金缴费0万元、职工基本医疗保险及公务员医疗保险补助缴费1.38万元、其他社会保障缴费0.12万元、其他工资福利支出0万元、离休费0万元、退休费0万元、抚恤金0万元、生活补助0万元、医疗费0万元、奖励金0万元、住房公积金4.83万元、提租补贴0万元、购房补贴0万元、其他对个人和家庭的补助支出4.45万元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7.41万元，主要包括：办公费2.54万元、印刷费0.13万元、咨询费0万元、手续费0万元、水费0万元、电费0.15万元、邮电费0万元、取暖费0万元、物业管理费0万元、差旅费1.24万元、因公出国（境）费用0万元、维修（护）费0万元、租赁费0万元、会议费0万元、培训费0万元、公务接待费0.49万元、劳务费0万元、委托业务费0万元、工会经费0.3万元、福利费0.4万元、公务用车运行维护费万0元、其他交通费2.16万元、税金及附加费用0万元、其他商品和服务支出0万元、办公设备购置0万元、专用设备购置0万元、信息网络及软件购置更新0万元、其他资本性支出0万元等。</w:t>
      </w:r>
    </w:p>
    <w:p>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七、“三公”经费财政拨款支出决算情况说明</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（一）“三公”经费财政拨款支出决算总体情况说明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2022年“三公”经费财政拨款支出决算中，因公出国（境）费支出决算0万元，占0%；公务用车购置及运行维护费支出决算0万元，占0%；公务接待费支出决算0.49万元，完成预算100%。决算比预算减少0万元。</w:t>
      </w:r>
    </w:p>
    <w:p>
      <w:pPr>
        <w:pStyle w:val="2"/>
        <w:jc w:val="center"/>
        <w:rPr>
          <w:rFonts w:ascii="Times New Roman" w:hAnsi="Times New Roman" w:eastAsia="仿宋_GB2312"/>
        </w:rPr>
      </w:pPr>
      <w:r>
        <w:rPr>
          <w:rFonts w:ascii="Times New Roman" w:hAnsi="Times New Roman" w:eastAsia="仿宋_GB2312"/>
        </w:rPr>
        <w:drawing>
          <wp:inline distT="0" distB="0" distL="114300" distR="114300">
            <wp:extent cx="5080000" cy="3020695"/>
            <wp:effectExtent l="4445" t="4445" r="20955" b="228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（二）“三公”经费财政拨款支出决算具体情况说明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2022年度“三公”经费财政拨款支出决算中，因公出国（境）费支出决算0万元，占0%；公务用车购置及运行维护费支出决算0万元，占0%；公务接待费支出决算0.49万元，占100%。具体情况如下：</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1.因公出国（境）经费支出</w:t>
      </w:r>
      <w:r>
        <w:rPr>
          <w:rFonts w:hint="eastAsia" w:ascii="Times New Roman" w:hAnsi="Times New Roman" w:eastAsia="仿宋_GB2312"/>
          <w:sz w:val="32"/>
          <w:szCs w:val="32"/>
        </w:rPr>
        <w:t>0万元。全年安排因公出国（境）团组0次，出国（境）0人。2022年未安排因公出国出境。</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2.公务用车购置及运行维护费支出</w:t>
      </w:r>
      <w:r>
        <w:rPr>
          <w:rFonts w:hint="eastAsia" w:ascii="Times New Roman" w:hAnsi="Times New Roman" w:eastAsia="仿宋_GB2312"/>
          <w:sz w:val="32"/>
          <w:szCs w:val="32"/>
        </w:rPr>
        <w:t>0万元。因公车改革，未安排公务用车购置及运行维护费。</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3.公务接待费支出</w:t>
      </w:r>
      <w:r>
        <w:rPr>
          <w:rFonts w:hint="eastAsia" w:ascii="Times New Roman" w:hAnsi="Times New Roman" w:eastAsia="仿宋_GB2312"/>
          <w:sz w:val="32"/>
          <w:szCs w:val="32"/>
        </w:rPr>
        <w:t>0.49万元。主要用于执行公务、开展业务活动开支的交通费、住宿费、用餐费等。国内公务接待15批次，45人次（不包括陪同人员），共计支出0.49万元，具体内容包括：接待上级部门15批次，45人，共计支出0.49万元。</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公务接待费支出决算比2021年减少0.19万元，下降27.9%。主要原因是受</w:t>
      </w:r>
      <w:r>
        <w:rPr>
          <w:rFonts w:ascii="Times New Roman" w:hAnsi="Times New Roman" w:eastAsia="仿宋_GB2312"/>
          <w:sz w:val="32"/>
          <w:szCs w:val="32"/>
        </w:rPr>
        <w:t>2022年新冠病毒疫情影响，区妇联相应减少会议及接待的次数与规模</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八、政府性基金预算支出决算情况说明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2022年度政府性基金预算拨款支出0万元。</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九、国有资本经营预算支出决算情况说明</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2022年度国有资本经营预算拨款支出0万元。</w:t>
      </w:r>
    </w:p>
    <w:p>
      <w:pPr>
        <w:pStyle w:val="20"/>
        <w:spacing w:line="560" w:lineRule="exact"/>
        <w:ind w:firstLine="640"/>
        <w:rPr>
          <w:rFonts w:ascii="Times New Roman" w:hAnsi="Times New Roman" w:eastAsia="仿宋_GB2312"/>
          <w:b/>
          <w:bCs/>
          <w:kern w:val="0"/>
          <w:sz w:val="32"/>
          <w:szCs w:val="32"/>
        </w:rPr>
      </w:pPr>
      <w:r>
        <w:rPr>
          <w:rFonts w:hint="eastAsia" w:ascii="Times New Roman" w:hAnsi="Times New Roman" w:eastAsia="黑体"/>
          <w:sz w:val="32"/>
          <w:szCs w:val="32"/>
        </w:rPr>
        <w:t>十、</w:t>
      </w:r>
      <w:r>
        <w:rPr>
          <w:rFonts w:hint="eastAsia" w:ascii="Times New Roman" w:hAnsi="Times New Roman" w:eastAsia="仿宋_GB2312"/>
          <w:b/>
          <w:bCs/>
          <w:kern w:val="0"/>
          <w:sz w:val="32"/>
          <w:szCs w:val="32"/>
        </w:rPr>
        <w:t>预算绩效情况说明</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（一）预算绩效管理工作开展情况。</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根据预算绩效管理要求，本部门（单位）在年初预算编制阶段，组织对“两癌”救助项目等开展了预算事前绩效评估，对6个项目编制了绩效目标，预算执行过程中，选取3个项目开展绩效监控，年终执行完毕后，对3个项目开展了绩效目标完成情况梳理填报。</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部门按要求对2022年部门整体支出开展绩效自评，从评价情况来看，2022年，根据年初工作规划和重点性工作，始终聚焦政治引领强带动、聚力发展为民办实事，围绕中心服务大局，积极履职，强化管理，较好的完成了年度工作目标。通过加强预算收支管理，不断建立健全内部管理制度，梳理内部管理流程，部门整体支出管理情况得到提升。本部门还自行组织了3个项目绩效评价，从评价情况来看项目都按时按质完成，达到期初制定的目标。</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（二）项目绩效目标完成情况。</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本部门在2022年度部门决算中反映“两癌”救助及保险经费、“人均一元钱”、“临聘人员经费”等3个项目绩效目标实际完成情况。</w:t>
      </w:r>
    </w:p>
    <w:p>
      <w:pPr>
        <w:tabs>
          <w:tab w:val="left" w:pos="312"/>
        </w:tabs>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1.“两癌”救助及保险经费项目绩效目标完成情况综述。项目全年预算75万元，执行数为75万元，完成预算的100%。通过项目实施，解决了贫困妇女因“两癌”致贫的困难，提高患病妇女救助工作的知晓率，提高广大农村妇女健康水平。发现的主要问题：实际需求有差距，群众意识需进一步提高。下一步改进措施：建立困境妇女“两癌”救助保障机制，推动实现应救尽救、应保尽保，提高全区妇女“两癌”防治意识。</w:t>
      </w:r>
    </w:p>
    <w:tbl>
      <w:tblPr>
        <w:tblStyle w:val="14"/>
        <w:tblpPr w:leftFromText="180" w:rightFromText="180" w:vertAnchor="text" w:horzAnchor="page" w:tblpXSpec="center" w:tblpY="423"/>
        <w:tblOverlap w:val="never"/>
        <w:tblW w:w="10161" w:type="dxa"/>
        <w:jc w:val="center"/>
        <w:tblLayout w:type="fixed"/>
        <w:tblCellMar>
          <w:top w:w="0" w:type="dxa"/>
          <w:left w:w="0" w:type="dxa"/>
          <w:bottom w:w="0" w:type="dxa"/>
          <w:right w:w="0" w:type="dxa"/>
        </w:tblCellMar>
      </w:tblPr>
      <w:tblGrid>
        <w:gridCol w:w="15"/>
        <w:gridCol w:w="15"/>
        <w:gridCol w:w="1545"/>
        <w:gridCol w:w="876"/>
        <w:gridCol w:w="1025"/>
        <w:gridCol w:w="367"/>
        <w:gridCol w:w="2025"/>
        <w:gridCol w:w="2217"/>
        <w:gridCol w:w="2076"/>
      </w:tblGrid>
      <w:tr>
        <w:tblPrEx>
          <w:tblCellMar>
            <w:top w:w="0" w:type="dxa"/>
            <w:left w:w="0" w:type="dxa"/>
            <w:bottom w:w="0" w:type="dxa"/>
            <w:right w:w="0" w:type="dxa"/>
          </w:tblCellMar>
        </w:tblPrEx>
        <w:trPr>
          <w:jc w:val="center"/>
        </w:trPr>
        <w:tc>
          <w:tcPr>
            <w:tcW w:w="10161" w:type="dxa"/>
            <w:gridSpan w:val="9"/>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34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668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“两癌”救助及保险经费</w:t>
            </w:r>
          </w:p>
        </w:tc>
      </w:tr>
      <w:tr>
        <w:tblPrEx>
          <w:tblCellMar>
            <w:top w:w="0" w:type="dxa"/>
            <w:left w:w="0" w:type="dxa"/>
            <w:bottom w:w="0" w:type="dxa"/>
            <w:right w:w="0" w:type="dxa"/>
          </w:tblCellMar>
        </w:tblPrEx>
        <w:trPr>
          <w:gridBefore w:val="2"/>
          <w:wBefore w:w="30" w:type="dxa"/>
          <w:jc w:val="center"/>
        </w:trPr>
        <w:tc>
          <w:tcPr>
            <w:tcW w:w="34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668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遂宁市安居区妇女联合会</w:t>
            </w:r>
          </w:p>
        </w:tc>
      </w:tr>
      <w:tr>
        <w:tblPrEx>
          <w:tblCellMar>
            <w:top w:w="0" w:type="dxa"/>
            <w:left w:w="0" w:type="dxa"/>
            <w:bottom w:w="0" w:type="dxa"/>
            <w:right w:w="0" w:type="dxa"/>
          </w:tblCellMar>
        </w:tblPrEx>
        <w:trPr>
          <w:gridBefore w:val="1"/>
          <w:wBefore w:w="15" w:type="dxa"/>
          <w:jc w:val="center"/>
        </w:trPr>
        <w:tc>
          <w:tcPr>
            <w:tcW w:w="156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19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9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90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gridBefore w:val="1"/>
          <w:wBefore w:w="15" w:type="dxa"/>
          <w:jc w:val="center"/>
        </w:trPr>
        <w:tc>
          <w:tcPr>
            <w:tcW w:w="156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29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42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293"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完成区委区政府交办的民生实事“两癌”救助及保险购买工作</w:t>
            </w:r>
          </w:p>
        </w:tc>
        <w:tc>
          <w:tcPr>
            <w:tcW w:w="42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3"/>
              <w:spacing w:before="0" w:beforeAutospacing="0" w:after="0" w:afterAutospacing="0"/>
              <w:jc w:val="both"/>
              <w:rPr>
                <w:rFonts w:ascii="Times New Roman" w:hAnsi="Times New Roman" w:eastAsia="仿宋_GB2312"/>
              </w:rPr>
            </w:pPr>
            <w:r>
              <w:rPr>
                <w:rFonts w:hint="eastAsia" w:ascii="Times New Roman" w:hAnsi="Times New Roman" w:eastAsia="仿宋_GB2312"/>
              </w:rPr>
              <w:t>2022顺利完成区委区政府交办的民生实事任务“两癌”救助及保险购买工作</w:t>
            </w:r>
          </w:p>
        </w:tc>
      </w:tr>
      <w:tr>
        <w:tblPrEx>
          <w:tblCellMar>
            <w:top w:w="0" w:type="dxa"/>
            <w:left w:w="0" w:type="dxa"/>
            <w:bottom w:w="0" w:type="dxa"/>
            <w:right w:w="0" w:type="dxa"/>
          </w:tblCellMar>
        </w:tblPrEx>
        <w:trPr>
          <w:gridBefore w:val="1"/>
          <w:wBefore w:w="15" w:type="dxa"/>
          <w:jc w:val="center"/>
        </w:trPr>
        <w:tc>
          <w:tcPr>
            <w:tcW w:w="156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“两癌”救助人数</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3</w:t>
            </w:r>
            <w:del w:id="0" w:author="Administrator" w:date="2023-08-25T11:16:00Z">
              <w:r>
                <w:rPr>
                  <w:rFonts w:hint="eastAsia" w:ascii="Times New Roman" w:hAnsi="Times New Roman" w:eastAsia="仿宋_GB2312"/>
                  <w:kern w:val="0"/>
                  <w:sz w:val="24"/>
                </w:rPr>
                <w:delText>8</w:delText>
              </w:r>
            </w:del>
            <w:ins w:id="1" w:author="Administrator" w:date="2023-08-25T11:16:00Z">
              <w:r>
                <w:rPr>
                  <w:rFonts w:hint="eastAsia" w:ascii="Times New Roman" w:hAnsi="Times New Roman" w:eastAsia="仿宋_GB2312"/>
                  <w:kern w:val="0"/>
                  <w:sz w:val="24"/>
                </w:rPr>
                <w:t>9</w:t>
              </w:r>
            </w:ins>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39</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“两癌”保险购买人数</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17122</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17122</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“两癌”救助完成率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全年一次</w:t>
            </w:r>
            <w:r>
              <w:rPr>
                <w:rFonts w:hint="eastAsia" w:ascii="Times New Roman" w:hAnsi="Times New Roman" w:eastAsia="仿宋_GB2312"/>
                <w:sz w:val="24"/>
              </w:rPr>
              <w:t>“两癌”救助工作</w:t>
            </w:r>
            <w:r>
              <w:rPr>
                <w:rFonts w:hint="eastAsia" w:ascii="Times New Roman" w:hAnsi="Times New Roman" w:eastAsia="仿宋_GB2312"/>
                <w:kern w:val="0"/>
                <w:sz w:val="24"/>
              </w:rPr>
              <w:t>会议</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5</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5</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妇女在社会贡献提升率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80%</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80%</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促进社会良性发展，提升妇女社会地位。</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gridBefore w:val="1"/>
          <w:wBefore w:w="15" w:type="dxa"/>
          <w:jc w:val="center"/>
        </w:trPr>
        <w:tc>
          <w:tcPr>
            <w:tcW w:w="156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2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群众满意度</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tabs>
          <w:tab w:val="left" w:pos="312"/>
        </w:tabs>
        <w:spacing w:line="560" w:lineRule="exact"/>
        <w:ind w:firstLine="640" w:firstLineChars="200"/>
        <w:rPr>
          <w:rFonts w:hint="eastAsia" w:ascii="Times New Roman" w:hAnsi="Times New Roman" w:eastAsia="仿宋_GB2312"/>
          <w:kern w:val="0"/>
          <w:sz w:val="32"/>
          <w:szCs w:val="32"/>
        </w:rPr>
      </w:pPr>
    </w:p>
    <w:p>
      <w:pPr>
        <w:tabs>
          <w:tab w:val="left" w:pos="312"/>
        </w:tabs>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2.人均一元钱项目绩效目标完成情况综述。项目全年预算数27万元，执行数为27万元，完成预算的100%。通过项目实施，</w:t>
      </w:r>
      <w:r>
        <w:rPr>
          <w:rFonts w:hint="eastAsia" w:ascii="Times New Roman" w:hAnsi="Times New Roman" w:eastAsia="仿宋_GB2312"/>
          <w:sz w:val="32"/>
          <w:szCs w:val="32"/>
        </w:rPr>
        <w:t>充分发挥“联”字优势，深入贯彻好中</w:t>
      </w:r>
      <w:r>
        <w:rPr>
          <w:rFonts w:hint="eastAsia" w:ascii="Times New Roman" w:hAnsi="Times New Roman" w:eastAsia="仿宋_GB2312"/>
          <w:sz w:val="32"/>
          <w:szCs w:val="32"/>
          <w:lang w:eastAsia="zh-CN"/>
        </w:rPr>
        <w:t>央</w:t>
      </w:r>
      <w:r>
        <w:rPr>
          <w:rFonts w:hint="eastAsia" w:ascii="Times New Roman" w:hAnsi="Times New Roman" w:eastAsia="仿宋_GB2312"/>
          <w:sz w:val="32"/>
          <w:szCs w:val="32"/>
        </w:rPr>
        <w:t>、省、市、区党的群团工作会议精神，将妇女儿童工作与中心工作紧密集合</w:t>
      </w:r>
      <w:r>
        <w:rPr>
          <w:rFonts w:hint="eastAsia" w:ascii="Times New Roman" w:hAnsi="Times New Roman" w:eastAsia="仿宋_GB2312"/>
          <w:kern w:val="0"/>
          <w:sz w:val="32"/>
          <w:szCs w:val="32"/>
        </w:rPr>
        <w:t>，发现的主要问题：基础薄弱，建设与实际需求有一定差距。下一步改进措施：积极争取项目，加大基础设施建设力度。</w:t>
      </w:r>
    </w:p>
    <w:tbl>
      <w:tblPr>
        <w:tblStyle w:val="14"/>
        <w:tblpPr w:leftFromText="180" w:rightFromText="180" w:vertAnchor="text" w:horzAnchor="page" w:tblpXSpec="center" w:tblpY="423"/>
        <w:tblOverlap w:val="never"/>
        <w:tblW w:w="9993" w:type="dxa"/>
        <w:jc w:val="center"/>
        <w:tblLayout w:type="fixed"/>
        <w:tblCellMar>
          <w:top w:w="0" w:type="dxa"/>
          <w:left w:w="0" w:type="dxa"/>
          <w:bottom w:w="0" w:type="dxa"/>
          <w:right w:w="0" w:type="dxa"/>
        </w:tblCellMar>
      </w:tblPr>
      <w:tblGrid>
        <w:gridCol w:w="1368"/>
        <w:gridCol w:w="1367"/>
        <w:gridCol w:w="1025"/>
        <w:gridCol w:w="2209"/>
        <w:gridCol w:w="2195"/>
        <w:gridCol w:w="1829"/>
      </w:tblGrid>
      <w:tr>
        <w:tblPrEx>
          <w:tblCellMar>
            <w:top w:w="0" w:type="dxa"/>
            <w:left w:w="0" w:type="dxa"/>
            <w:bottom w:w="0" w:type="dxa"/>
            <w:right w:w="0" w:type="dxa"/>
          </w:tblCellMar>
        </w:tblPrEx>
        <w:trPr>
          <w:jc w:val="center"/>
        </w:trPr>
        <w:tc>
          <w:tcPr>
            <w:tcW w:w="9993" w:type="dxa"/>
            <w:gridSpan w:val="6"/>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37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623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“人均一元钱”经费</w:t>
            </w:r>
          </w:p>
        </w:tc>
      </w:tr>
      <w:tr>
        <w:tblPrEx>
          <w:tblCellMar>
            <w:top w:w="0" w:type="dxa"/>
            <w:left w:w="0" w:type="dxa"/>
            <w:bottom w:w="0" w:type="dxa"/>
            <w:right w:w="0" w:type="dxa"/>
          </w:tblCellMar>
        </w:tblPrEx>
        <w:trPr>
          <w:jc w:val="center"/>
        </w:trPr>
        <w:tc>
          <w:tcPr>
            <w:tcW w:w="37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623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遂宁市安居区区妇联</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6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40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6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保障妇联“人均一元钱”工作顺利完成</w:t>
            </w:r>
          </w:p>
        </w:tc>
        <w:tc>
          <w:tcPr>
            <w:tcW w:w="40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3"/>
              <w:spacing w:before="0" w:beforeAutospacing="0" w:after="0" w:afterAutospacing="0"/>
              <w:rPr>
                <w:rFonts w:ascii="Times New Roman" w:hAnsi="Times New Roman" w:eastAsia="仿宋_GB2312"/>
              </w:rPr>
            </w:pPr>
            <w:r>
              <w:rPr>
                <w:rFonts w:hint="eastAsia" w:ascii="Times New Roman" w:hAnsi="Times New Roman" w:eastAsia="仿宋_GB2312"/>
              </w:rPr>
              <w:t>保障妇联“人均一元钱”工作顺利完成</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保障工作人数</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保障资金预算</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完成</w:t>
            </w:r>
            <w:r>
              <w:rPr>
                <w:rFonts w:hint="eastAsia" w:ascii="Times New Roman" w:hAnsi="Times New Roman" w:eastAsia="仿宋_GB2312"/>
                <w:sz w:val="24"/>
              </w:rPr>
              <w:t>“人均一元钱”</w:t>
            </w:r>
            <w:r>
              <w:rPr>
                <w:rFonts w:hint="eastAsia" w:ascii="Times New Roman" w:hAnsi="Times New Roman" w:eastAsia="仿宋_GB2312"/>
                <w:kern w:val="0"/>
                <w:sz w:val="24"/>
              </w:rPr>
              <w:t>工作</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sz w:val="24"/>
              </w:rPr>
              <w:t>“人均一元钱”</w:t>
            </w:r>
            <w:r>
              <w:rPr>
                <w:rFonts w:hint="eastAsia" w:ascii="Times New Roman" w:hAnsi="Times New Roman" w:eastAsia="仿宋_GB2312"/>
                <w:kern w:val="0"/>
                <w:sz w:val="24"/>
              </w:rPr>
              <w:t>时间</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2022</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2022</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提升我单位服务水平</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凝聚妇女力量</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22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提升群众满意度，为文明城市创建添砖加瓦。</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临聘人员经费项目绩效目标完成情况综述。项目全年预算数4.5万元，执行数为4.5万元，完成预算的100%。通过项目实施，改善了部门的人员需求部门，提升部门办事效率，发现的主要问题：加强人员素质能力提升，为其它多元化的工作打下坚实的基础。下一步改进措施：组织系列的技能培训加强自身业务能力的提升。</w:t>
      </w:r>
    </w:p>
    <w:tbl>
      <w:tblPr>
        <w:tblStyle w:val="14"/>
        <w:tblpPr w:leftFromText="180" w:rightFromText="180" w:vertAnchor="text" w:horzAnchor="page" w:tblpXSpec="center" w:tblpY="423"/>
        <w:tblOverlap w:val="never"/>
        <w:tblW w:w="9930" w:type="dxa"/>
        <w:jc w:val="center"/>
        <w:tblLayout w:type="fixed"/>
        <w:tblCellMar>
          <w:top w:w="0" w:type="dxa"/>
          <w:left w:w="0" w:type="dxa"/>
          <w:bottom w:w="0" w:type="dxa"/>
          <w:right w:w="0" w:type="dxa"/>
        </w:tblCellMar>
      </w:tblPr>
      <w:tblGrid>
        <w:gridCol w:w="1368"/>
        <w:gridCol w:w="1367"/>
        <w:gridCol w:w="1025"/>
        <w:gridCol w:w="2392"/>
        <w:gridCol w:w="2106"/>
        <w:gridCol w:w="1672"/>
      </w:tblGrid>
      <w:tr>
        <w:tblPrEx>
          <w:tblCellMar>
            <w:top w:w="0" w:type="dxa"/>
            <w:left w:w="0" w:type="dxa"/>
            <w:bottom w:w="0" w:type="dxa"/>
            <w:right w:w="0" w:type="dxa"/>
          </w:tblCellMar>
        </w:tblPrEx>
        <w:trPr>
          <w:jc w:val="center"/>
        </w:trPr>
        <w:tc>
          <w:tcPr>
            <w:tcW w:w="9930" w:type="dxa"/>
            <w:gridSpan w:val="6"/>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37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61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临聘人员经费</w:t>
            </w:r>
          </w:p>
        </w:tc>
      </w:tr>
      <w:tr>
        <w:tblPrEx>
          <w:tblCellMar>
            <w:top w:w="0" w:type="dxa"/>
            <w:left w:w="0" w:type="dxa"/>
            <w:bottom w:w="0" w:type="dxa"/>
            <w:right w:w="0" w:type="dxa"/>
          </w:tblCellMar>
        </w:tblPrEx>
        <w:trPr>
          <w:jc w:val="center"/>
        </w:trPr>
        <w:tc>
          <w:tcPr>
            <w:tcW w:w="376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61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遂宁市安居区妇联</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37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单位按照区委区政府给予的用人指标聘用临时人员1名</w:t>
            </w:r>
          </w:p>
        </w:tc>
        <w:tc>
          <w:tcPr>
            <w:tcW w:w="37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3"/>
              <w:spacing w:before="0" w:beforeAutospacing="0" w:after="0" w:afterAutospacing="0"/>
              <w:rPr>
                <w:rFonts w:ascii="Times New Roman" w:hAnsi="Times New Roman" w:eastAsia="仿宋_GB2312"/>
              </w:rPr>
            </w:pPr>
            <w:r>
              <w:rPr>
                <w:rFonts w:hint="eastAsia" w:ascii="Times New Roman" w:hAnsi="Times New Roman" w:eastAsia="仿宋_GB2312"/>
              </w:rPr>
              <w:t>单位按照区委区政府给予的用人指标聘用临时人员1名</w:t>
            </w:r>
          </w:p>
        </w:tc>
      </w:tr>
      <w:tr>
        <w:tblPrEx>
          <w:tblCellMar>
            <w:top w:w="0" w:type="dxa"/>
            <w:left w:w="0" w:type="dxa"/>
            <w:bottom w:w="0" w:type="dxa"/>
            <w:right w:w="0" w:type="dxa"/>
          </w:tblCellMar>
        </w:tblPrEx>
        <w:trPr>
          <w:jc w:val="center"/>
        </w:trPr>
        <w:tc>
          <w:tcPr>
            <w:tcW w:w="13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聘用人员</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政府指标</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完成</w:t>
            </w:r>
            <w:r>
              <w:rPr>
                <w:rFonts w:hint="eastAsia" w:ascii="Times New Roman" w:hAnsi="Times New Roman" w:eastAsia="仿宋_GB2312"/>
                <w:sz w:val="24"/>
              </w:rPr>
              <w:t>临聘人员</w:t>
            </w:r>
            <w:r>
              <w:rPr>
                <w:rFonts w:hint="eastAsia" w:ascii="Times New Roman" w:hAnsi="Times New Roman" w:eastAsia="仿宋_GB2312"/>
                <w:kern w:val="0"/>
                <w:sz w:val="24"/>
              </w:rPr>
              <w:t>工作</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全年</w:t>
            </w:r>
            <w:r>
              <w:rPr>
                <w:rFonts w:hint="eastAsia" w:ascii="Times New Roman" w:hAnsi="Times New Roman" w:eastAsia="仿宋_GB2312"/>
                <w:sz w:val="24"/>
              </w:rPr>
              <w:t>临聘人员</w:t>
            </w:r>
            <w:r>
              <w:rPr>
                <w:rFonts w:hint="eastAsia" w:ascii="Times New Roman" w:hAnsi="Times New Roman" w:eastAsia="仿宋_GB2312"/>
                <w:kern w:val="0"/>
                <w:sz w:val="24"/>
              </w:rPr>
              <w:t>年终考核</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全年工作完成率，</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完成区委区政府交办的工作达标率。</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36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工作质量达标率。</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（三）部门开展绩效评价结果。</w:t>
      </w:r>
    </w:p>
    <w:p>
      <w:pPr>
        <w:spacing w:line="560" w:lineRule="exact"/>
        <w:ind w:firstLine="640" w:firstLineChars="200"/>
        <w:rPr>
          <w:rFonts w:ascii="Times New Roman" w:hAnsi="Times New Roman" w:eastAsia="黑体"/>
          <w:sz w:val="32"/>
          <w:szCs w:val="32"/>
        </w:rPr>
      </w:pPr>
      <w:r>
        <w:rPr>
          <w:rFonts w:hint="eastAsia" w:ascii="Times New Roman" w:hAnsi="Times New Roman" w:eastAsia="仿宋_GB2312"/>
          <w:kern w:val="0"/>
          <w:sz w:val="32"/>
          <w:szCs w:val="32"/>
        </w:rPr>
        <w:t>本部门自行组织对3个项目开展了绩效评价，《妇联项目2022年绩效评价报告》见附件。</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十一、其他重要事项的情况说明</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（一）机关运行经费支出情况</w:t>
      </w:r>
    </w:p>
    <w:p>
      <w:pPr>
        <w:spacing w:line="560" w:lineRule="exact"/>
        <w:ind w:firstLine="640" w:firstLineChars="200"/>
        <w:jc w:val="left"/>
        <w:rPr>
          <w:rFonts w:ascii="Times New Roman" w:hAnsi="Times New Roman" w:eastAsia="仿宋_GB2312"/>
          <w:b/>
          <w:sz w:val="32"/>
          <w:szCs w:val="32"/>
        </w:rPr>
      </w:pPr>
      <w:r>
        <w:rPr>
          <w:rFonts w:hint="eastAsia" w:ascii="Times New Roman" w:hAnsi="Times New Roman" w:eastAsia="仿宋_GB2312"/>
          <w:sz w:val="32"/>
          <w:szCs w:val="32"/>
        </w:rPr>
        <w:t>2022年度，妇联机关运行经费支出7.41万元，比2021年减少7.55万元，下降50.47%;主要是由于项目减少经费。</w:t>
      </w:r>
      <w:r>
        <w:rPr>
          <w:rFonts w:hint="eastAsia" w:ascii="Times New Roman" w:hAnsi="Times New Roman" w:eastAsia="仿宋_GB2312"/>
          <w:kern w:val="0"/>
          <w:sz w:val="32"/>
          <w:szCs w:val="32"/>
        </w:rPr>
        <w:t>（数据来源财决公开8表）</w:t>
      </w:r>
    </w:p>
    <w:p>
      <w:pPr>
        <w:spacing w:line="560" w:lineRule="exact"/>
        <w:ind w:firstLine="643" w:firstLineChars="200"/>
        <w:jc w:val="left"/>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（二）政府采购支出情况</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2022年度，妇联政府采购支出总额0万元，其中：政府采购货物支出0万元、政府采购工程支出0万元、政府采购服务支出0万元。</w:t>
      </w:r>
    </w:p>
    <w:p>
      <w:pPr>
        <w:spacing w:line="560" w:lineRule="exact"/>
        <w:ind w:firstLine="643" w:firstLineChars="200"/>
        <w:jc w:val="left"/>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（三）国有资产占有使用情况</w:t>
      </w:r>
    </w:p>
    <w:p>
      <w:pPr>
        <w:autoSpaceDE w:val="0"/>
        <w:autoSpaceDN w:val="0"/>
        <w:adjustRightInd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截至2022年12月31日，妇联共有车辆0辆，其中：部级领导干部用车0辆、一般公务用车0辆、一般执法执勤用车0辆、特种专业技术用车0辆、其他用车0辆；单价50万元以上通用设备0台（套），单价100万元以上专用设备0台（套）。</w:t>
      </w:r>
    </w:p>
    <w:p>
      <w:pPr>
        <w:pStyle w:val="6"/>
        <w:spacing w:beforeLines="0" w:line="560" w:lineRule="exact"/>
        <w:ind w:firstLine="880" w:firstLineChars="200"/>
        <w:rPr>
          <w:rFonts w:ascii="Times New Roman" w:hAnsi="Times New Roman" w:eastAsia="黑体"/>
          <w:sz w:val="44"/>
          <w:szCs w:val="44"/>
        </w:rPr>
      </w:pPr>
      <w:bookmarkStart w:id="24" w:name="_Toc15396614"/>
    </w:p>
    <w:p>
      <w:pPr>
        <w:spacing w:line="560" w:lineRule="exact"/>
        <w:ind w:firstLine="880" w:firstLineChars="200"/>
        <w:jc w:val="center"/>
        <w:outlineLvl w:val="0"/>
        <w:rPr>
          <w:rStyle w:val="29"/>
          <w:rFonts w:eastAsia="方正小标宋简体"/>
          <w:b w:val="0"/>
        </w:rPr>
      </w:pPr>
      <w:bookmarkStart w:id="25" w:name="_Toc11558"/>
      <w:r>
        <w:rPr>
          <w:rFonts w:hint="eastAsia" w:ascii="Times New Roman" w:hAnsi="Times New Roman" w:eastAsia="方正小标宋简体"/>
          <w:sz w:val="44"/>
          <w:szCs w:val="44"/>
        </w:rPr>
        <w:t xml:space="preserve">第三部分 </w:t>
      </w:r>
      <w:r>
        <w:rPr>
          <w:rFonts w:ascii="Times New Roman" w:hAnsi="Times New Roman" w:eastAsia="方正小标宋简体"/>
          <w:sz w:val="44"/>
          <w:szCs w:val="44"/>
        </w:rPr>
        <w:t xml:space="preserve"> </w:t>
      </w:r>
      <w:r>
        <w:rPr>
          <w:rFonts w:hint="eastAsia" w:ascii="Times New Roman" w:hAnsi="Times New Roman" w:eastAsia="方正小标宋简体"/>
          <w:sz w:val="44"/>
          <w:szCs w:val="44"/>
        </w:rPr>
        <w:t>名</w:t>
      </w:r>
      <w:r>
        <w:rPr>
          <w:rStyle w:val="29"/>
          <w:rFonts w:hint="eastAsia" w:eastAsia="方正小标宋简体"/>
          <w:b w:val="0"/>
        </w:rPr>
        <w:t>词解释</w:t>
      </w:r>
      <w:bookmarkEnd w:id="25"/>
    </w:p>
    <w:p>
      <w:pPr>
        <w:pStyle w:val="23"/>
        <w:spacing w:line="560" w:lineRule="exact"/>
        <w:ind w:firstLine="640" w:firstLineChars="200"/>
        <w:outlineLvl w:val="1"/>
        <w:rPr>
          <w:rFonts w:ascii="Times New Roman" w:eastAsia="仿宋_GB2312" w:cs="Times New Roman"/>
          <w:color w:val="auto"/>
          <w:sz w:val="32"/>
          <w:szCs w:val="32"/>
        </w:rPr>
      </w:pPr>
      <w:bookmarkStart w:id="26" w:name="_Toc5582"/>
      <w:bookmarkStart w:id="27" w:name="_Toc29305"/>
    </w:p>
    <w:p>
      <w:pPr>
        <w:pStyle w:val="23"/>
        <w:spacing w:line="560" w:lineRule="exact"/>
        <w:ind w:firstLine="640" w:firstLineChars="200"/>
        <w:outlineLvl w:val="1"/>
        <w:rPr>
          <w:rFonts w:ascii="Times New Roman" w:eastAsia="仿宋_GB2312" w:cs="Times New Roman"/>
          <w:color w:val="auto"/>
          <w:sz w:val="32"/>
          <w:szCs w:val="32"/>
        </w:rPr>
      </w:pPr>
      <w:r>
        <w:rPr>
          <w:rFonts w:hint="eastAsia" w:ascii="Times New Roman" w:eastAsia="仿宋_GB2312" w:cs="Times New Roman"/>
          <w:color w:val="auto"/>
          <w:sz w:val="32"/>
          <w:szCs w:val="32"/>
        </w:rPr>
        <w:t>1.财政拨款收入：指单位从同级财政部门取得的财政预算资金。</w:t>
      </w:r>
      <w:bookmarkEnd w:id="26"/>
      <w:bookmarkEnd w:id="27"/>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2.事业收入：指事业单位开展专业业务活动及辅助活动取得的收入。</w:t>
      </w:r>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3.经营收入：指事业单位在专业业务活动及其辅助活动之外开展非独立核算经营活动取得的收入。</w:t>
      </w:r>
    </w:p>
    <w:p>
      <w:pPr>
        <w:pStyle w:val="23"/>
        <w:spacing w:line="560" w:lineRule="exact"/>
        <w:ind w:firstLine="640" w:firstLineChars="200"/>
        <w:outlineLvl w:val="1"/>
        <w:rPr>
          <w:rFonts w:ascii="Times New Roman" w:eastAsia="仿宋_GB2312" w:cs="Times New Roman"/>
          <w:color w:val="auto"/>
          <w:sz w:val="32"/>
          <w:szCs w:val="32"/>
        </w:rPr>
      </w:pPr>
      <w:bookmarkStart w:id="28" w:name="_Toc16096"/>
      <w:bookmarkStart w:id="29" w:name="_Toc14131"/>
      <w:r>
        <w:rPr>
          <w:rFonts w:hint="eastAsia" w:ascii="Times New Roman" w:eastAsia="仿宋_GB2312" w:cs="Times New Roman"/>
          <w:color w:val="auto"/>
          <w:sz w:val="32"/>
          <w:szCs w:val="32"/>
        </w:rPr>
        <w:t>4.其他收入：指单位取得的除上述收入以外的各项收入。</w:t>
      </w:r>
      <w:bookmarkEnd w:id="28"/>
      <w:bookmarkEnd w:id="29"/>
      <w:r>
        <w:rPr>
          <w:rFonts w:ascii="Times New Roman" w:eastAsia="仿宋_GB2312" w:cs="Times New Roman"/>
          <w:color w:val="auto"/>
          <w:sz w:val="32"/>
          <w:szCs w:val="32"/>
        </w:rPr>
        <w:t xml:space="preserve"> </w:t>
      </w:r>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 xml:space="preserve">6.年初结转和结余：指以前年度尚未完成、结转到本年按有关规定继续使用的资金。 </w:t>
      </w:r>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Times New Roman" w:eastAsia="仿宋_GB2312" w:cs="Times New Roman"/>
          <w:color w:val="auto"/>
          <w:sz w:val="32"/>
          <w:szCs w:val="32"/>
        </w:rPr>
      </w:pPr>
      <w:r>
        <w:rPr>
          <w:rFonts w:hint="eastAsia" w:ascii="Times New Roman" w:eastAsia="仿宋_GB2312" w:cs="Times New Roman"/>
          <w:color w:val="auto"/>
          <w:sz w:val="32"/>
          <w:szCs w:val="32"/>
        </w:rPr>
        <w:t>8、年末结转和结余：指单位按有关规定结转到下年或以后年度继续使用的资金。</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9. </w:t>
      </w:r>
      <w:r>
        <w:rPr>
          <w:rFonts w:hint="eastAsia" w:ascii="Times New Roman" w:hAnsi="Times New Roman" w:eastAsia="仿宋_GB2312"/>
          <w:kern w:val="0"/>
          <w:sz w:val="32"/>
          <w:szCs w:val="32"/>
        </w:rPr>
        <w:t>一般公共服务支出（类）群众团体事务（款）行政运行（项），主要用于：人员基本工资、津贴补贴、绩效目标、福利费、办公费、手续费、差旅费、电费、邮电费等。</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10.一般公共服务支出（类）人大事务（款）其</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其他群众团体事务支出（项），主要用于：妇联其它工作经费及临时人员工资补助等。</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11. </w:t>
      </w:r>
      <w:r>
        <w:rPr>
          <w:rFonts w:hint="eastAsia" w:ascii="Times New Roman" w:hAnsi="Times New Roman" w:eastAsia="仿宋_GB2312"/>
          <w:kern w:val="0"/>
          <w:sz w:val="32"/>
          <w:szCs w:val="32"/>
        </w:rPr>
        <w:t>社会保障和就业支出（类）行政事业单位离退休（款）机关事业单位基本养老保险缴费支出（项），主要用于：机关事业单位基本养老保险缴费。</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13. </w:t>
      </w:r>
      <w:r>
        <w:rPr>
          <w:rFonts w:hint="eastAsia" w:ascii="Times New Roman" w:hAnsi="Times New Roman" w:eastAsia="仿宋_GB2312"/>
          <w:kern w:val="0"/>
          <w:sz w:val="32"/>
          <w:szCs w:val="32"/>
        </w:rPr>
        <w:t>社会保障和就业支出（类）就业补助（款）其他就业补助支出（项），主要用于：妇女居家灵活就业培训孵化基地建设项目。</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14. </w:t>
      </w:r>
      <w:r>
        <w:rPr>
          <w:rFonts w:hint="eastAsia" w:ascii="Times New Roman" w:hAnsi="Times New Roman" w:eastAsia="仿宋_GB2312"/>
          <w:kern w:val="0"/>
          <w:sz w:val="32"/>
          <w:szCs w:val="32"/>
        </w:rPr>
        <w:t>卫生健康支出（类）公共卫生（款）</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重大公共卫生服务（项），主要用于：“两癌”救助。</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15. </w:t>
      </w:r>
      <w:r>
        <w:rPr>
          <w:rFonts w:hint="eastAsia" w:ascii="Times New Roman" w:hAnsi="Times New Roman" w:eastAsia="仿宋_GB2312"/>
          <w:kern w:val="0"/>
          <w:sz w:val="32"/>
          <w:szCs w:val="32"/>
        </w:rPr>
        <w:t>卫生健康支出（类）计划生育事务（款）</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其他计划生育事务支出（项），主要用于：市级“两癌”救助。</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16. </w:t>
      </w:r>
      <w:r>
        <w:rPr>
          <w:rFonts w:hint="eastAsia" w:ascii="Times New Roman" w:hAnsi="Times New Roman" w:eastAsia="仿宋_GB2312"/>
          <w:kern w:val="0"/>
          <w:sz w:val="32"/>
          <w:szCs w:val="32"/>
        </w:rPr>
        <w:t>医疗卫生与计划生育支出（类）行政事业单位医疗（款）事业单位医疗（项），主要用于：基本医疗保险缴费、其他社会保障缴费。</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17. </w:t>
      </w:r>
      <w:r>
        <w:rPr>
          <w:rFonts w:hint="eastAsia" w:ascii="Times New Roman" w:hAnsi="Times New Roman" w:eastAsia="仿宋_GB2312"/>
          <w:kern w:val="0"/>
          <w:sz w:val="32"/>
          <w:szCs w:val="32"/>
        </w:rPr>
        <w:t>医疗卫生与计划生育支出（类）行政事业单位医疗（款）公务员医疗补助（项），主要用于：公务员医疗补助缴费。</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18. </w:t>
      </w:r>
      <w:r>
        <w:rPr>
          <w:rFonts w:hint="eastAsia" w:ascii="Times New Roman" w:hAnsi="Times New Roman" w:eastAsia="仿宋_GB2312"/>
          <w:kern w:val="0"/>
          <w:sz w:val="32"/>
          <w:szCs w:val="32"/>
        </w:rPr>
        <w:t>医疗卫生与计划生育支出（类）行政事业单位医疗（款）其他行政事业单位医疗支出（项），主要用于：基本医疗保险缴费、其他社会保障缴费。</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19. </w:t>
      </w:r>
      <w:r>
        <w:rPr>
          <w:rFonts w:hint="eastAsia" w:ascii="Times New Roman" w:hAnsi="Times New Roman" w:eastAsia="仿宋_GB2312"/>
          <w:kern w:val="0"/>
          <w:sz w:val="32"/>
          <w:szCs w:val="32"/>
        </w:rPr>
        <w:t>城乡社区支出（类）国有土地使用权出让收入安排的支出（款）</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其他国有土地使用权出让收入安排的支出（项），主要用于：妇女儿童业绩考核工作经费。</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w:t>
      </w:r>
      <w:r>
        <w:rPr>
          <w:rFonts w:hint="eastAsia" w:ascii="Times New Roman" w:hAnsi="Times New Roman" w:eastAsia="仿宋_GB2312"/>
          <w:kern w:val="0"/>
          <w:sz w:val="32"/>
          <w:szCs w:val="32"/>
        </w:rPr>
        <w:t>.农林水支出（类）巩固脱贫衔接乡村振兴（款）其他巩固脱贫衔接乡村振兴支出（项），主要用于：海龙村乡村振兴示范基地建设项目。</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21</w:t>
      </w:r>
      <w:r>
        <w:rPr>
          <w:rFonts w:hint="eastAsia" w:ascii="Times New Roman" w:hAnsi="Times New Roman" w:eastAsia="仿宋_GB2312"/>
          <w:kern w:val="0"/>
          <w:sz w:val="32"/>
          <w:szCs w:val="32"/>
        </w:rPr>
        <w:t>.住房保障支出（类）住房改革支出（款）住房公积金（项），主要用于：缴纳住房公积金。</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22</w:t>
      </w:r>
      <w:r>
        <w:rPr>
          <w:rFonts w:hint="eastAsia" w:ascii="Times New Roman" w:hAnsi="Times New Roman" w:eastAsia="仿宋_GB2312"/>
          <w:kern w:val="0"/>
          <w:sz w:val="32"/>
          <w:szCs w:val="32"/>
        </w:rPr>
        <w:t>.基本支出：指为保障机构正常运转、完成日常工作任务而发生的人员支出和公用支出。</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w:t>
      </w:r>
      <w:r>
        <w:rPr>
          <w:rFonts w:hint="eastAsia" w:ascii="Times New Roman" w:hAnsi="Times New Roman" w:eastAsia="仿宋_GB2312"/>
          <w:kern w:val="0"/>
          <w:sz w:val="32"/>
          <w:szCs w:val="32"/>
        </w:rPr>
        <w:t xml:space="preserve">.项目支出：指在基本支出之外为完成特定行政任务和事业发展目标所发生的支出。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24</w:t>
      </w:r>
      <w:r>
        <w:rPr>
          <w:rFonts w:hint="eastAsia" w:ascii="Times New Roman" w:hAnsi="Times New Roman" w:eastAsia="仿宋_GB2312"/>
          <w:kern w:val="0"/>
          <w:sz w:val="32"/>
          <w:szCs w:val="32"/>
        </w:rPr>
        <w:t>.经营支出：指事业单位在专业业务活动</w:t>
      </w:r>
      <w:r>
        <w:rPr>
          <w:rFonts w:hint="eastAsia" w:ascii="Times New Roman" w:hAnsi="Times New Roman" w:eastAsia="仿宋_GB2312"/>
          <w:sz w:val="32"/>
          <w:szCs w:val="32"/>
        </w:rPr>
        <w:t>及其辅助活动之外开展非独立核算经营活动发生的支出。</w:t>
      </w:r>
    </w:p>
    <w:p>
      <w:pPr>
        <w:pStyle w:val="23"/>
        <w:spacing w:line="560" w:lineRule="exact"/>
        <w:ind w:firstLine="640" w:firstLineChars="200"/>
        <w:rPr>
          <w:rFonts w:ascii="Times New Roman" w:eastAsia="仿宋_GB2312" w:cs="Times New Roman"/>
          <w:color w:val="auto"/>
          <w:sz w:val="32"/>
          <w:szCs w:val="32"/>
        </w:rPr>
      </w:pPr>
      <w:r>
        <w:rPr>
          <w:rFonts w:ascii="Times New Roman" w:eastAsia="仿宋_GB2312" w:cs="Times New Roman"/>
          <w:color w:val="auto"/>
          <w:sz w:val="32"/>
          <w:szCs w:val="32"/>
        </w:rPr>
        <w:t>25</w:t>
      </w:r>
      <w:r>
        <w:rPr>
          <w:rFonts w:hint="eastAsia" w:asci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Times New Roman" w:eastAsia="仿宋_GB2312" w:cs="Times New Roman"/>
          <w:color w:val="auto"/>
          <w:sz w:val="32"/>
          <w:szCs w:val="32"/>
        </w:rPr>
      </w:pPr>
      <w:r>
        <w:rPr>
          <w:rFonts w:ascii="Times New Roman" w:eastAsia="仿宋_GB2312" w:cs="Times New Roman"/>
          <w:color w:val="auto"/>
          <w:sz w:val="32"/>
          <w:szCs w:val="32"/>
        </w:rPr>
        <w:t>26</w:t>
      </w:r>
      <w:r>
        <w:rPr>
          <w:rFonts w:hint="eastAsia" w:asci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p>
      <w:pPr>
        <w:pStyle w:val="23"/>
        <w:spacing w:line="560" w:lineRule="exact"/>
        <w:ind w:firstLine="640" w:firstLineChars="200"/>
        <w:rPr>
          <w:rFonts w:ascii="Times New Roman" w:eastAsia="仿宋_GB2312" w:cs="Times New Roman"/>
          <w:color w:val="auto"/>
          <w:sz w:val="32"/>
          <w:szCs w:val="32"/>
        </w:rPr>
      </w:pPr>
    </w:p>
    <w:bookmarkEnd w:id="24"/>
    <w:p>
      <w:pPr>
        <w:pStyle w:val="4"/>
        <w:keepNext w:val="0"/>
        <w:keepLines w:val="0"/>
        <w:spacing w:before="0" w:after="0" w:line="560" w:lineRule="exact"/>
        <w:jc w:val="center"/>
        <w:rPr>
          <w:rStyle w:val="29"/>
          <w:rFonts w:eastAsia="方正小标宋简体"/>
          <w:b w:val="0"/>
          <w:bCs/>
        </w:rPr>
      </w:pPr>
      <w:bookmarkStart w:id="30" w:name="_Toc8376"/>
      <w:bookmarkStart w:id="31" w:name="_Toc15396615"/>
      <w:r>
        <w:rPr>
          <w:rStyle w:val="29"/>
          <w:rFonts w:hint="eastAsia" w:eastAsia="方正小标宋简体"/>
          <w:b w:val="0"/>
          <w:bCs/>
        </w:rPr>
        <w:t>第四部分</w:t>
      </w:r>
    </w:p>
    <w:p>
      <w:pPr>
        <w:pStyle w:val="4"/>
        <w:keepNext w:val="0"/>
        <w:keepLines w:val="0"/>
        <w:spacing w:before="0" w:after="0" w:line="560" w:lineRule="exact"/>
        <w:rPr>
          <w:rStyle w:val="21"/>
          <w:rFonts w:ascii="Times New Roman" w:hAnsi="Times New Roman" w:eastAsia="仿宋"/>
          <w:b w:val="0"/>
          <w:bCs w:val="0"/>
          <w:sz w:val="32"/>
          <w:szCs w:val="32"/>
        </w:rPr>
      </w:pPr>
      <w:r>
        <w:rPr>
          <w:rStyle w:val="21"/>
          <w:rFonts w:hint="eastAsia" w:ascii="黑体" w:hAnsi="黑体" w:eastAsia="黑体" w:cs="黑体"/>
          <w:b w:val="0"/>
          <w:bCs w:val="0"/>
          <w:sz w:val="32"/>
          <w:szCs w:val="32"/>
        </w:rPr>
        <w:t>附件</w:t>
      </w:r>
      <w:r>
        <w:rPr>
          <w:rStyle w:val="21"/>
          <w:rFonts w:hint="eastAsia" w:ascii="Times New Roman" w:hAnsi="Times New Roman" w:eastAsia="仿宋"/>
          <w:b w:val="0"/>
          <w:bCs w:val="0"/>
          <w:sz w:val="32"/>
          <w:szCs w:val="32"/>
        </w:rPr>
        <w:t>1</w:t>
      </w:r>
    </w:p>
    <w:bookmarkEnd w:id="30"/>
    <w:p>
      <w:pPr>
        <w:pStyle w:val="3"/>
        <w:keepNext w:val="0"/>
        <w:keepLines w:val="0"/>
        <w:spacing w:before="0" w:after="0" w:line="560" w:lineRule="exact"/>
        <w:jc w:val="center"/>
        <w:rPr>
          <w:rFonts w:ascii="Times New Roman" w:hAnsi="Times New Roman" w:eastAsia="方正小标宋简体"/>
          <w:b w:val="0"/>
        </w:rPr>
      </w:pPr>
      <w:bookmarkStart w:id="32" w:name="_Toc4472"/>
      <w:r>
        <w:rPr>
          <w:rFonts w:hint="eastAsia" w:ascii="Times New Roman" w:hAnsi="Times New Roman" w:eastAsia="方正小标宋简体"/>
          <w:b w:val="0"/>
        </w:rPr>
        <w:t>遂宁市安居区妇联2022年部门整体支出</w:t>
      </w:r>
    </w:p>
    <w:p>
      <w:pPr>
        <w:pStyle w:val="3"/>
        <w:keepNext w:val="0"/>
        <w:keepLines w:val="0"/>
        <w:spacing w:before="0" w:after="0" w:line="560" w:lineRule="exact"/>
        <w:jc w:val="center"/>
        <w:rPr>
          <w:rFonts w:ascii="Times New Roman" w:hAnsi="Times New Roman" w:eastAsia="方正小标宋简体"/>
          <w:b w:val="0"/>
          <w:szCs w:val="32"/>
        </w:rPr>
      </w:pPr>
      <w:r>
        <w:rPr>
          <w:rFonts w:hint="eastAsia" w:ascii="Times New Roman" w:hAnsi="Times New Roman" w:eastAsia="方正小标宋简体"/>
          <w:b w:val="0"/>
        </w:rPr>
        <w:t>绩效评价报告</w:t>
      </w:r>
      <w:bookmarkEnd w:id="32"/>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一、部门（单位）概况</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（一）机构组成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安居区妇联属行政机关，下属二级决算单位</w:t>
      </w:r>
      <w:r>
        <w:rPr>
          <w:rFonts w:ascii="Times New Roman" w:hAnsi="Times New Roman" w:eastAsia="仿宋_GB2312"/>
          <w:sz w:val="32"/>
          <w:szCs w:val="32"/>
        </w:rPr>
        <w:t>0</w:t>
      </w:r>
      <w:r>
        <w:rPr>
          <w:rFonts w:hint="eastAsia" w:ascii="Times New Roman" w:hAnsi="Times New Roman" w:eastAsia="仿宋_GB2312"/>
          <w:sz w:val="32"/>
          <w:szCs w:val="32"/>
        </w:rPr>
        <w:t>个，其中行政单位</w:t>
      </w:r>
      <w:r>
        <w:rPr>
          <w:rFonts w:ascii="Times New Roman" w:hAnsi="Times New Roman" w:eastAsia="仿宋_GB2312"/>
          <w:sz w:val="32"/>
          <w:szCs w:val="32"/>
        </w:rPr>
        <w:t>0</w:t>
      </w:r>
      <w:r>
        <w:rPr>
          <w:rFonts w:hint="eastAsia" w:ascii="Times New Roman" w:hAnsi="Times New Roman" w:eastAsia="仿宋_GB2312"/>
          <w:sz w:val="32"/>
          <w:szCs w:val="32"/>
        </w:rPr>
        <w:t>个，参照公务员法管理的事业单位0个，其他事业单位</w:t>
      </w:r>
      <w:r>
        <w:rPr>
          <w:rFonts w:ascii="Times New Roman" w:hAnsi="Times New Roman" w:eastAsia="仿宋_GB2312"/>
          <w:sz w:val="32"/>
          <w:szCs w:val="32"/>
        </w:rPr>
        <w:t>0</w:t>
      </w:r>
      <w:r>
        <w:rPr>
          <w:rFonts w:hint="eastAsia" w:ascii="Times New Roman" w:hAnsi="Times New Roman" w:eastAsia="仿宋_GB2312"/>
          <w:sz w:val="32"/>
          <w:szCs w:val="32"/>
        </w:rPr>
        <w:t>个。</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（二）机构职能</w:t>
      </w:r>
    </w:p>
    <w:p>
      <w:pPr>
        <w:pStyle w:val="13"/>
        <w:spacing w:before="0" w:beforeAutospacing="0" w:after="0" w:afterAutospacing="0"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安居区妇联是区委领导下的全区各族各界妇女的群众团体，是党和政府联系妇女的桥梁和纽带，是国家政权的重要社会支柱之一。主要职责是：</w:t>
      </w:r>
    </w:p>
    <w:p>
      <w:pPr>
        <w:pStyle w:val="13"/>
        <w:spacing w:before="0" w:beforeAutospacing="0" w:after="0" w:afterAutospacing="0" w:line="560" w:lineRule="exact"/>
        <w:ind w:firstLine="640" w:firstLineChars="200"/>
        <w:rPr>
          <w:rFonts w:ascii="Times New Roman" w:hAnsi="Times New Roman" w:eastAsia="仿宋"/>
          <w:sz w:val="32"/>
        </w:rPr>
      </w:pPr>
      <w:r>
        <w:rPr>
          <w:rFonts w:hint="eastAsia" w:ascii="Times New Roman" w:hAnsi="Times New Roman" w:eastAsia="仿宋_GB2312"/>
          <w:sz w:val="32"/>
        </w:rPr>
        <w:t>（</w:t>
      </w:r>
      <w:r>
        <w:rPr>
          <w:rFonts w:ascii="Times New Roman" w:hAnsi="Times New Roman" w:eastAsia="仿宋_GB2312"/>
          <w:sz w:val="32"/>
        </w:rPr>
        <w:t>1）</w:t>
      </w:r>
      <w:r>
        <w:rPr>
          <w:rFonts w:hint="eastAsia" w:ascii="Times New Roman" w:hAnsi="Times New Roman" w:eastAsia="仿宋_GB2312"/>
          <w:sz w:val="32"/>
        </w:rPr>
        <w:t>对全区广大妇女进行自尊、自信、自立、自强的教育；围绕党的中心工作，动员和组织广大妇女投身社会主</w:t>
      </w:r>
      <w:r>
        <w:rPr>
          <w:rFonts w:hint="eastAsia" w:ascii="Times New Roman" w:hAnsi="Times New Roman" w:eastAsia="仿宋"/>
          <w:sz w:val="32"/>
        </w:rPr>
        <w:t>义两个文明建设；在农村妇女中深入、持久、有效地开展“双学双赛”活动；在城镇妇女中广泛开展“巾帼建功”活动；在妇女中分层次、多渠道地开展妇干培训、职业培训、实用技术培训，努力提高妇女素质。</w:t>
      </w:r>
    </w:p>
    <w:p>
      <w:pPr>
        <w:pStyle w:val="13"/>
        <w:spacing w:before="0" w:beforeAutospacing="0" w:after="0" w:afterAutospacing="0" w:line="560" w:lineRule="exact"/>
        <w:ind w:firstLine="640" w:firstLineChars="200"/>
        <w:jc w:val="both"/>
        <w:rPr>
          <w:rFonts w:ascii="Times New Roman" w:hAnsi="Times New Roman" w:eastAsia="仿宋"/>
          <w:sz w:val="32"/>
        </w:rPr>
      </w:pPr>
      <w:r>
        <w:rPr>
          <w:rFonts w:hint="eastAsia" w:ascii="Times New Roman" w:hAnsi="Times New Roman" w:eastAsia="仿宋"/>
          <w:sz w:val="32"/>
        </w:rPr>
        <w:t>（</w:t>
      </w:r>
      <w:r>
        <w:rPr>
          <w:rFonts w:ascii="Times New Roman" w:hAnsi="Times New Roman" w:eastAsia="仿宋"/>
          <w:sz w:val="32"/>
        </w:rPr>
        <w:t>2）代表广大妇女参与国家和社会事务的民主管理、监督，参与有关妇女儿童法律、法规、条例、规定的制定，代表妇女的利益，反映妇女的呼声。大力培养、选拔优秀妇女人才，促进女性参政议政水平的提高。</w:t>
      </w:r>
    </w:p>
    <w:p>
      <w:pPr>
        <w:pStyle w:val="13"/>
        <w:spacing w:before="0" w:beforeAutospacing="0" w:after="0" w:afterAutospacing="0" w:line="560" w:lineRule="exact"/>
        <w:ind w:firstLine="640" w:firstLineChars="200"/>
        <w:rPr>
          <w:rFonts w:ascii="Times New Roman" w:hAnsi="Times New Roman" w:eastAsia="仿宋"/>
          <w:sz w:val="32"/>
        </w:rPr>
      </w:pPr>
      <w:r>
        <w:rPr>
          <w:rFonts w:hint="eastAsia" w:ascii="Times New Roman" w:hAnsi="Times New Roman" w:eastAsia="仿宋"/>
          <w:sz w:val="32"/>
        </w:rPr>
        <w:t>（</w:t>
      </w:r>
      <w:r>
        <w:rPr>
          <w:rFonts w:ascii="Times New Roman" w:hAnsi="Times New Roman" w:eastAsia="仿宋"/>
          <w:sz w:val="32"/>
        </w:rPr>
        <w:t>3）根据《</w:t>
      </w:r>
      <w:r>
        <w:rPr>
          <w:rFonts w:hint="eastAsia" w:ascii="Times New Roman" w:hAnsi="Times New Roman" w:eastAsia="仿宋"/>
          <w:sz w:val="32"/>
          <w:lang w:eastAsia="zh-CN"/>
        </w:rPr>
        <w:t>中华人民共和国宪法</w:t>
      </w:r>
      <w:r>
        <w:rPr>
          <w:rFonts w:ascii="Times New Roman" w:hAnsi="Times New Roman" w:eastAsia="仿宋"/>
          <w:sz w:val="32"/>
        </w:rPr>
        <w:t>》赋予妇女与男子“五平等”的权利，对全区妇女参政、就业、受教育、社会地位及婚姻家庭等方面的问题进行调查，及时向区委、区政府反映情况，提出建议，依法维护妇女儿童权益。</w:t>
      </w:r>
    </w:p>
    <w:p>
      <w:pPr>
        <w:pStyle w:val="13"/>
        <w:spacing w:before="0" w:beforeAutospacing="0" w:after="0" w:afterAutospacing="0" w:line="560" w:lineRule="exact"/>
        <w:ind w:firstLine="640" w:firstLineChars="200"/>
        <w:rPr>
          <w:rFonts w:ascii="Times New Roman" w:hAnsi="Times New Roman" w:eastAsia="仿宋"/>
          <w:sz w:val="32"/>
        </w:rPr>
      </w:pPr>
      <w:r>
        <w:rPr>
          <w:rFonts w:hint="eastAsia" w:ascii="Times New Roman" w:hAnsi="Times New Roman" w:eastAsia="仿宋"/>
          <w:sz w:val="32"/>
        </w:rPr>
        <w:t>（</w:t>
      </w:r>
      <w:r>
        <w:rPr>
          <w:rFonts w:ascii="Times New Roman" w:hAnsi="Times New Roman" w:eastAsia="仿宋"/>
          <w:sz w:val="32"/>
        </w:rPr>
        <w:t>4）为广大妇女服务，为基层服务，加强调研，指导乡镇妇联开展妇女儿童工作。对基层妇女组织和女工委员会工作给予指导；加强同社会各界的联系，宣传马克思主义妇女观，加快妇女工作社会化进程。</w:t>
      </w:r>
    </w:p>
    <w:p>
      <w:pPr>
        <w:pStyle w:val="13"/>
        <w:spacing w:before="0" w:beforeAutospacing="0" w:after="0" w:afterAutospacing="0" w:line="560" w:lineRule="exact"/>
        <w:ind w:firstLine="640" w:firstLineChars="200"/>
        <w:rPr>
          <w:rFonts w:ascii="Times New Roman" w:hAnsi="Times New Roman" w:eastAsia="仿宋"/>
          <w:sz w:val="32"/>
        </w:rPr>
      </w:pPr>
      <w:r>
        <w:rPr>
          <w:rFonts w:hint="eastAsia" w:ascii="Times New Roman" w:hAnsi="Times New Roman" w:eastAsia="仿宋"/>
          <w:sz w:val="32"/>
        </w:rPr>
        <w:t>（</w:t>
      </w:r>
      <w:r>
        <w:rPr>
          <w:rFonts w:ascii="Times New Roman" w:hAnsi="Times New Roman" w:eastAsia="仿宋"/>
          <w:sz w:val="32"/>
        </w:rPr>
        <w:t>5）团结、教育全区各族各界妇女以及各类妇女组织，坚持正确的政治方向；促进全区各族各界妇女的大团结，为维护祖国统一和台湾回归作贡献。</w:t>
      </w:r>
    </w:p>
    <w:p>
      <w:pPr>
        <w:pStyle w:val="13"/>
        <w:spacing w:before="0" w:beforeAutospacing="0" w:after="0" w:afterAutospacing="0" w:line="560" w:lineRule="exact"/>
        <w:ind w:firstLine="640" w:firstLineChars="200"/>
        <w:rPr>
          <w:rFonts w:ascii="Times New Roman" w:hAnsi="Times New Roman" w:eastAsia="仿宋"/>
          <w:sz w:val="32"/>
        </w:rPr>
      </w:pPr>
      <w:r>
        <w:rPr>
          <w:rFonts w:hint="eastAsia" w:ascii="Times New Roman" w:hAnsi="Times New Roman" w:eastAsia="仿宋"/>
          <w:sz w:val="32"/>
        </w:rPr>
        <w:t>（</w:t>
      </w:r>
      <w:r>
        <w:rPr>
          <w:rFonts w:ascii="Times New Roman" w:hAnsi="Times New Roman" w:eastAsia="仿宋"/>
          <w:sz w:val="32"/>
        </w:rPr>
        <w:t>6）承担区政府妇女儿童工作委员会的日常工作。</w:t>
      </w:r>
    </w:p>
    <w:p>
      <w:pPr>
        <w:pStyle w:val="6"/>
        <w:adjustRightInd w:val="0"/>
        <w:snapToGrid w:val="0"/>
        <w:spacing w:beforeLines="0" w:line="560" w:lineRule="exact"/>
        <w:ind w:firstLine="640" w:firstLineChars="200"/>
        <w:outlineLvl w:val="2"/>
        <w:rPr>
          <w:rFonts w:ascii="Times New Roman" w:hAnsi="Times New Roman" w:eastAsia="仿宋"/>
          <w:sz w:val="32"/>
          <w:szCs w:val="32"/>
        </w:rPr>
      </w:pPr>
      <w:r>
        <w:rPr>
          <w:rFonts w:hint="eastAsia" w:ascii="Times New Roman" w:hAnsi="Times New Roman" w:eastAsia="仿宋"/>
          <w:sz w:val="32"/>
          <w:szCs w:val="32"/>
        </w:rPr>
        <w:t>（</w:t>
      </w:r>
      <w:r>
        <w:rPr>
          <w:rFonts w:ascii="Times New Roman" w:hAnsi="Times New Roman" w:eastAsia="仿宋"/>
          <w:sz w:val="32"/>
          <w:szCs w:val="32"/>
        </w:rPr>
        <w:t xml:space="preserve">7）承办区委、区政府及上级主管部门交办的其它事项。 </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（三）人员概况</w:t>
      </w:r>
    </w:p>
    <w:p>
      <w:pPr>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2022年</w:t>
      </w:r>
      <w:r>
        <w:rPr>
          <w:rFonts w:hint="eastAsia" w:ascii="Times New Roman" w:hAnsi="Times New Roman" w:eastAsia="仿宋_GB2312"/>
          <w:sz w:val="32"/>
          <w:szCs w:val="32"/>
        </w:rPr>
        <w:t>安居区妇联核定行政编制</w:t>
      </w:r>
      <w:r>
        <w:rPr>
          <w:rFonts w:ascii="Times New Roman" w:hAnsi="Times New Roman" w:eastAsia="仿宋_GB2312"/>
          <w:sz w:val="32"/>
          <w:szCs w:val="32"/>
        </w:rPr>
        <w:t>3</w:t>
      </w:r>
      <w:r>
        <w:rPr>
          <w:rFonts w:hint="eastAsia" w:ascii="Times New Roman" w:hAnsi="Times New Roman" w:eastAsia="仿宋_GB2312"/>
          <w:sz w:val="32"/>
          <w:szCs w:val="32"/>
        </w:rPr>
        <w:t>名、工勤</w:t>
      </w:r>
      <w:r>
        <w:rPr>
          <w:rFonts w:ascii="Times New Roman" w:hAnsi="Times New Roman" w:eastAsia="仿宋_GB2312"/>
          <w:sz w:val="32"/>
          <w:szCs w:val="32"/>
        </w:rPr>
        <w:t>1</w:t>
      </w:r>
      <w:r>
        <w:rPr>
          <w:rFonts w:hint="eastAsia" w:ascii="Times New Roman" w:hAnsi="Times New Roman" w:eastAsia="仿宋_GB2312"/>
          <w:sz w:val="32"/>
          <w:szCs w:val="32"/>
        </w:rPr>
        <w:t>名；实有在编在岗行政编制</w:t>
      </w:r>
      <w:r>
        <w:rPr>
          <w:rFonts w:ascii="Times New Roman" w:hAnsi="Times New Roman" w:eastAsia="仿宋_GB2312"/>
          <w:sz w:val="32"/>
          <w:szCs w:val="32"/>
        </w:rPr>
        <w:t>3</w:t>
      </w:r>
      <w:r>
        <w:rPr>
          <w:rFonts w:hint="eastAsia" w:ascii="Times New Roman" w:hAnsi="Times New Roman" w:eastAsia="仿宋_GB2312"/>
          <w:sz w:val="32"/>
          <w:szCs w:val="32"/>
        </w:rPr>
        <w:t>名，工勤</w:t>
      </w:r>
      <w:r>
        <w:rPr>
          <w:rFonts w:ascii="Times New Roman" w:hAnsi="Times New Roman" w:eastAsia="仿宋_GB2312"/>
          <w:sz w:val="32"/>
          <w:szCs w:val="32"/>
        </w:rPr>
        <w:t>1</w:t>
      </w:r>
      <w:r>
        <w:rPr>
          <w:rFonts w:hint="eastAsia" w:ascii="Times New Roman" w:hAnsi="Times New Roman" w:eastAsia="仿宋_GB2312"/>
          <w:sz w:val="32"/>
          <w:szCs w:val="32"/>
        </w:rPr>
        <w:t>名，退休干部</w:t>
      </w:r>
      <w:r>
        <w:rPr>
          <w:rFonts w:ascii="Times New Roman" w:hAnsi="Times New Roman" w:eastAsia="仿宋_GB2312"/>
          <w:sz w:val="32"/>
          <w:szCs w:val="32"/>
        </w:rPr>
        <w:t>0</w:t>
      </w:r>
      <w:r>
        <w:rPr>
          <w:rFonts w:hint="eastAsia" w:ascii="Times New Roman" w:hAnsi="Times New Roman" w:eastAsia="仿宋_GB2312"/>
          <w:sz w:val="32"/>
          <w:szCs w:val="32"/>
        </w:rPr>
        <w:t>名。2022年度决算人数</w:t>
      </w:r>
      <w:r>
        <w:rPr>
          <w:rFonts w:ascii="Times New Roman" w:hAnsi="Times New Roman" w:eastAsia="仿宋_GB2312"/>
          <w:sz w:val="32"/>
          <w:szCs w:val="32"/>
        </w:rPr>
        <w:t>4</w:t>
      </w:r>
      <w:r>
        <w:rPr>
          <w:rFonts w:hint="eastAsia" w:ascii="Times New Roman" w:hAnsi="Times New Roman" w:eastAsia="仿宋_GB2312"/>
          <w:sz w:val="32"/>
          <w:szCs w:val="32"/>
        </w:rPr>
        <w:t>人，行政人员</w:t>
      </w:r>
      <w:r>
        <w:rPr>
          <w:rFonts w:ascii="Times New Roman" w:hAnsi="Times New Roman" w:eastAsia="仿宋_GB2312"/>
          <w:sz w:val="32"/>
          <w:szCs w:val="32"/>
        </w:rPr>
        <w:t>3</w:t>
      </w:r>
      <w:r>
        <w:rPr>
          <w:rFonts w:hint="eastAsia" w:ascii="Times New Roman" w:hAnsi="Times New Roman" w:eastAsia="仿宋_GB2312"/>
          <w:sz w:val="32"/>
          <w:szCs w:val="32"/>
        </w:rPr>
        <w:t>名，工勤</w:t>
      </w:r>
      <w:r>
        <w:rPr>
          <w:rFonts w:ascii="Times New Roman" w:hAnsi="Times New Roman" w:eastAsia="仿宋_GB2312"/>
          <w:sz w:val="32"/>
          <w:szCs w:val="32"/>
        </w:rPr>
        <w:t>1</w:t>
      </w:r>
      <w:r>
        <w:rPr>
          <w:rFonts w:hint="eastAsia" w:ascii="Times New Roman" w:hAnsi="Times New Roman" w:eastAsia="仿宋_GB2312"/>
          <w:sz w:val="32"/>
          <w:szCs w:val="32"/>
        </w:rPr>
        <w:t>名。</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二、部门财政资金收支情况</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（一）部门财政资金收入情况。</w:t>
      </w:r>
    </w:p>
    <w:p>
      <w:pPr>
        <w:pStyle w:val="17"/>
        <w:rPr>
          <w:rFonts w:ascii="Times New Roman" w:hAnsi="Times New Roman" w:eastAsia="仿宋_GB2312"/>
          <w:szCs w:val="32"/>
        </w:rPr>
      </w:pPr>
      <w:r>
        <w:rPr>
          <w:rFonts w:ascii="Times New Roman" w:hAnsi="Times New Roman" w:eastAsia="仿宋_GB2312"/>
          <w:kern w:val="0"/>
          <w:szCs w:val="32"/>
        </w:rPr>
        <w:t>2022年本年收入281.53万元，其中：一般公共预算财政拨款收入250.73万元，占89.06%；政府性基金预算财政拨款收入30.8万元，占10.94%。</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（二）部门财政资金支出情况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2022年本年支出合计281.53万元，其中：基本支出59.28万元，占21.06%；项目支出222.25万元，占78.94%。</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三、部门整体预算绩效管理情况</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（一）部门预算管理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支出总额控制在预算总额以内，本年部门预算未进行预算相关事项的调整；我单位预算内在取得财政局的年度预算批复时，随批复一同进行了下达；“三公”经费总体控制较好，未超本年预算和上年决算支出。</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（二）专项预算管理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项目资金，从立项、审批、设计、财评、建设、验收、审计全程监管，并由专人具体负责项目实施，取得了较好的经济效益和社会效益。</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（三）结果应用情况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包括部门自评质量、绩效目标公开和自评公开、评价结果整改和应用结果反馈等情况。</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四、评价结论及建议</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（一）评价结论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2022年，根据单位年初工作规划和重点性工作，</w:t>
      </w:r>
      <w:r>
        <w:rPr>
          <w:rFonts w:hint="eastAsia" w:ascii="Times New Roman" w:hAnsi="Times New Roman" w:eastAsia="仿宋_GB2312"/>
          <w:sz w:val="32"/>
          <w:szCs w:val="32"/>
        </w:rPr>
        <w:t>深入贯彻好中、省、市、区党的群团工作会议精神，将妇女儿童工作与中心工作紧密结合，积极履职，强化管理，较好的完成了年度工作目标。通过加强预算收支管理，不断建立健全内部管理制度，梳理内部管理流程，部门整体支出管理情况得到提升。</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（二）存在问题</w:t>
      </w:r>
    </w:p>
    <w:p>
      <w:pPr>
        <w:pStyle w:val="13"/>
        <w:shd w:val="clear" w:color="auto" w:fill="FFFFFF"/>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在看到成绩的同时，我们也清醒地意识到，在与人民群众的要求相比，还存在一些不足和问题，主要体现在以下几个方面：</w:t>
      </w:r>
    </w:p>
    <w:p>
      <w:pPr>
        <w:pStyle w:val="13"/>
        <w:shd w:val="clear" w:color="auto" w:fill="FFFFFF"/>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w:t>
      </w:r>
      <w:r>
        <w:rPr>
          <w:rFonts w:hint="eastAsia" w:ascii="Times New Roman" w:hAnsi="Times New Roman" w:eastAsia="仿宋_GB2312"/>
          <w:kern w:val="2"/>
          <w:sz w:val="32"/>
          <w:szCs w:val="32"/>
        </w:rPr>
        <w:t>解决群众诉求和服务不够，缺乏资金和专业人员支持</w:t>
      </w:r>
      <w:r>
        <w:rPr>
          <w:rFonts w:ascii="Times New Roman" w:hAnsi="Times New Roman" w:eastAsia="仿宋_GB2312"/>
          <w:kern w:val="2"/>
          <w:sz w:val="32"/>
          <w:szCs w:val="32"/>
        </w:rPr>
        <w:t>;</w:t>
      </w:r>
    </w:p>
    <w:p>
      <w:pPr>
        <w:pStyle w:val="13"/>
        <w:shd w:val="clear" w:color="auto" w:fill="FFFFFF"/>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2.</w:t>
      </w:r>
      <w:r>
        <w:rPr>
          <w:rFonts w:ascii="Times New Roman" w:hAnsi="Times New Roman" w:eastAsia="仿宋_GB2312"/>
          <w:kern w:val="2"/>
          <w:sz w:val="32"/>
          <w:szCs w:val="32"/>
        </w:rPr>
        <w:t>由于人员短缺对基层</w:t>
      </w:r>
      <w:r>
        <w:rPr>
          <w:rFonts w:hint="eastAsia" w:ascii="Times New Roman" w:hAnsi="Times New Roman" w:eastAsia="仿宋_GB2312"/>
          <w:kern w:val="2"/>
          <w:sz w:val="32"/>
          <w:szCs w:val="32"/>
        </w:rPr>
        <w:t>妇联组织的联络与政策支持方面有一些短板</w:t>
      </w:r>
      <w:r>
        <w:rPr>
          <w:rFonts w:ascii="Times New Roman" w:hAnsi="Times New Roman" w:eastAsia="仿宋_GB2312"/>
          <w:kern w:val="2"/>
          <w:sz w:val="32"/>
          <w:szCs w:val="32"/>
        </w:rPr>
        <w:t>;</w:t>
      </w:r>
    </w:p>
    <w:p>
      <w:pPr>
        <w:pStyle w:val="13"/>
        <w:shd w:val="clear" w:color="auto" w:fill="FFFFFF"/>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3.</w:t>
      </w:r>
      <w:r>
        <w:rPr>
          <w:rFonts w:ascii="Times New Roman" w:hAnsi="Times New Roman" w:eastAsia="仿宋_GB2312"/>
          <w:kern w:val="2"/>
          <w:sz w:val="32"/>
          <w:szCs w:val="32"/>
        </w:rPr>
        <w:t>财务制度方面不够规范、人员分工不明等原因造成的财务工作的拖延和滞后。</w:t>
      </w:r>
    </w:p>
    <w:p>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（三）改进建议</w:t>
      </w:r>
    </w:p>
    <w:p>
      <w:pPr>
        <w:shd w:val="clear" w:color="auto" w:fill="FFFFFF"/>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（1）抓好思想教育，做好政治引领工作</w:t>
      </w:r>
    </w:p>
    <w:p>
      <w:pPr>
        <w:pStyle w:val="2"/>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持续深入开展党史学习教育、“两学一做”学习教育和理想信念教育实践活动。二是组织基层妇联开展党的二十大等会议精神、习近平同志关于妇女儿童和妇联工作相关论述相关讲话精神，省委、市委、区委相关会议精神的学习；三是加强引领全区妇女思想政治教育，组织全区妇女有针对性地参加各类培训，提升其政治思想和业务素质。</w:t>
      </w:r>
    </w:p>
    <w:p>
      <w:pPr>
        <w:shd w:val="clear" w:color="auto" w:fill="FFFFFF"/>
        <w:spacing w:line="560" w:lineRule="exact"/>
        <w:ind w:firstLine="643" w:firstLineChars="200"/>
        <w:rPr>
          <w:rFonts w:ascii="Times New Roman" w:hAnsi="Times New Roman" w:eastAsia="楷体_GB2312"/>
          <w:bCs/>
          <w:sz w:val="32"/>
          <w:szCs w:val="32"/>
        </w:rPr>
      </w:pPr>
      <w:r>
        <w:rPr>
          <w:rFonts w:hint="eastAsia" w:ascii="Times New Roman" w:hAnsi="Times New Roman" w:eastAsia="楷体_GB2312"/>
          <w:b/>
          <w:bCs/>
          <w:sz w:val="32"/>
          <w:szCs w:val="32"/>
        </w:rPr>
        <w:t>（2）高质高量做好顶层设计。</w:t>
      </w:r>
      <w:r>
        <w:rPr>
          <w:rFonts w:hint="eastAsia" w:ascii="Times New Roman" w:hAnsi="Times New Roman" w:eastAsia="楷体_GB2312"/>
          <w:bCs/>
          <w:sz w:val="32"/>
          <w:szCs w:val="32"/>
        </w:rPr>
        <w:t>牵头做好《安居妇女发展纲要（</w:t>
      </w:r>
      <w:r>
        <w:rPr>
          <w:rFonts w:ascii="Times New Roman" w:hAnsi="Times New Roman" w:eastAsia="楷体_GB2312"/>
          <w:bCs/>
          <w:sz w:val="32"/>
          <w:szCs w:val="32"/>
        </w:rPr>
        <w:t>2021-2030年）》和《安居儿童发展纲要（2021-2030年）》的编制工作，力争在2022年底前发布“新两纲”，将新修订的《</w:t>
      </w:r>
      <w:r>
        <w:rPr>
          <w:rFonts w:hint="eastAsia" w:ascii="Times New Roman" w:hAnsi="Times New Roman" w:eastAsia="楷体_GB2312"/>
          <w:bCs/>
          <w:sz w:val="32"/>
          <w:szCs w:val="32"/>
          <w:lang w:eastAsia="zh-CN"/>
        </w:rPr>
        <w:t>中华人民共和国妇女权益保障法</w:t>
      </w:r>
      <w:r>
        <w:rPr>
          <w:rFonts w:ascii="Times New Roman" w:hAnsi="Times New Roman" w:eastAsia="楷体_GB2312"/>
          <w:bCs/>
          <w:sz w:val="32"/>
          <w:szCs w:val="32"/>
        </w:rPr>
        <w:t>》纳入区委党校培训内容，进一步落实男女平等基本国策和儿童优先原则，推进实现社会性别平等，提高安居妇女儿童事业的整体发展水平。</w:t>
      </w:r>
    </w:p>
    <w:p>
      <w:pPr>
        <w:shd w:val="clear" w:color="auto" w:fill="FFFFFF"/>
        <w:spacing w:line="560" w:lineRule="exact"/>
        <w:ind w:firstLine="643" w:firstLineChars="200"/>
        <w:rPr>
          <w:rFonts w:ascii="Times New Roman" w:hAnsi="Times New Roman" w:eastAsia="仿宋_GB2312"/>
          <w:sz w:val="32"/>
          <w:szCs w:val="32"/>
        </w:rPr>
      </w:pPr>
      <w:r>
        <w:rPr>
          <w:rFonts w:hint="eastAsia" w:ascii="Times New Roman" w:hAnsi="Times New Roman" w:eastAsia="楷体_GB2312"/>
          <w:b/>
          <w:bCs/>
          <w:sz w:val="32"/>
          <w:szCs w:val="32"/>
        </w:rPr>
        <w:t>（3）民生实事“两癌”救助。</w:t>
      </w:r>
      <w:r>
        <w:rPr>
          <w:rFonts w:hint="eastAsia" w:ascii="Times New Roman" w:hAnsi="Times New Roman" w:eastAsia="仿宋_GB2312"/>
          <w:sz w:val="32"/>
          <w:szCs w:val="32"/>
        </w:rPr>
        <w:t>根据市政府《研究贯彻落实妇女发展纲要和儿童发展纲要有关工作的纪要》（遂府阅〔20</w:t>
      </w:r>
      <w:r>
        <w:rPr>
          <w:rFonts w:ascii="Times New Roman" w:hAnsi="Times New Roman" w:eastAsia="仿宋_GB2312"/>
          <w:sz w:val="32"/>
          <w:szCs w:val="32"/>
        </w:rPr>
        <w:t>21</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5号）、市妇联《关于印发</w:t>
      </w:r>
      <w:r>
        <w:rPr>
          <w:rFonts w:ascii="Times New Roman" w:hAnsi="Times New Roman" w:eastAsia="仿宋_GB2312"/>
          <w:sz w:val="32"/>
          <w:szCs w:val="32"/>
        </w:rPr>
        <w:t>&lt;</w:t>
      </w:r>
      <w:r>
        <w:rPr>
          <w:rFonts w:hint="eastAsia" w:ascii="Times New Roman" w:hAnsi="Times New Roman" w:eastAsia="仿宋_GB2312"/>
          <w:sz w:val="32"/>
          <w:szCs w:val="32"/>
        </w:rPr>
        <w:t>遂宁市贫困“两癌”妇女救助工作实施方案</w:t>
      </w:r>
      <w:r>
        <w:rPr>
          <w:rFonts w:ascii="Times New Roman" w:hAnsi="Times New Roman" w:eastAsia="仿宋_GB2312"/>
          <w:sz w:val="32"/>
          <w:szCs w:val="32"/>
        </w:rPr>
        <w:t>&gt;</w:t>
      </w:r>
      <w:r>
        <w:rPr>
          <w:rFonts w:hint="eastAsia" w:ascii="Times New Roman" w:hAnsi="Times New Roman" w:eastAsia="仿宋_GB2312"/>
          <w:sz w:val="32"/>
          <w:szCs w:val="32"/>
        </w:rPr>
        <w:t>的通知》（遂妇知〔202</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号）和区妇联《关于印发遂宁市安居区贫困“两癌”妇女救助工作实施方案》的通知（遂安妇发〔2020〕10号）文件精神，把“两癌”救助纳入民生实事，截至目前，市区级资金已全部预算到位。</w:t>
      </w:r>
      <w:r>
        <w:rPr>
          <w:rFonts w:ascii="Times New Roman" w:hAnsi="Times New Roman" w:eastAsia="仿宋_GB2312"/>
          <w:sz w:val="32"/>
          <w:szCs w:val="32"/>
        </w:rPr>
        <w:t>39</w:t>
      </w:r>
      <w:r>
        <w:rPr>
          <w:rFonts w:hint="eastAsia" w:ascii="Times New Roman" w:hAnsi="Times New Roman" w:eastAsia="仿宋_GB2312"/>
          <w:sz w:val="32"/>
          <w:szCs w:val="32"/>
        </w:rPr>
        <w:t>名符合条件的“两癌”妇女资料通过市妇联审核后进行了公示，已完成了对每人5000元的救助；为</w:t>
      </w:r>
      <w:r>
        <w:rPr>
          <w:rFonts w:ascii="Times New Roman" w:hAnsi="Times New Roman" w:eastAsia="仿宋_GB2312"/>
          <w:sz w:val="32"/>
          <w:szCs w:val="32"/>
        </w:rPr>
        <w:t>17122</w:t>
      </w:r>
      <w:r>
        <w:rPr>
          <w:rFonts w:hint="eastAsia" w:ascii="Times New Roman" w:hAnsi="Times New Roman" w:eastAsia="仿宋_GB2312"/>
          <w:sz w:val="32"/>
          <w:szCs w:val="32"/>
        </w:rPr>
        <w:t>名16至65周岁城镇低保妇女购买了“两癌”保险；争取到省级“两癌”救助资金7万元，国家级“两癌”救助资金2万元，共救助</w:t>
      </w:r>
      <w:del w:id="2" w:author="Administrator" w:date="2023-08-25T11:17:00Z">
        <w:r>
          <w:rPr>
            <w:rFonts w:hint="eastAsia" w:ascii="Times New Roman" w:hAnsi="Times New Roman" w:eastAsia="仿宋_GB2312"/>
            <w:sz w:val="32"/>
            <w:szCs w:val="32"/>
          </w:rPr>
          <w:delText>30</w:delText>
        </w:r>
      </w:del>
      <w:ins w:id="3" w:author="Administrator" w:date="2023-08-25T11:17:00Z">
        <w:r>
          <w:rPr>
            <w:rFonts w:hint="eastAsia" w:ascii="Times New Roman" w:hAnsi="Times New Roman" w:eastAsia="仿宋_GB2312"/>
            <w:sz w:val="32"/>
            <w:szCs w:val="32"/>
          </w:rPr>
          <w:t>48</w:t>
        </w:r>
      </w:ins>
      <w:r>
        <w:rPr>
          <w:rFonts w:hint="eastAsia" w:ascii="Times New Roman" w:hAnsi="Times New Roman" w:eastAsia="仿宋_GB2312"/>
          <w:sz w:val="32"/>
          <w:szCs w:val="32"/>
        </w:rPr>
        <w:t>人。</w:t>
      </w:r>
    </w:p>
    <w:p>
      <w:pPr>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楷体"/>
          <w:b/>
          <w:bCs/>
          <w:sz w:val="32"/>
          <w:szCs w:val="32"/>
        </w:rPr>
        <w:t>（4）推进安全生产进家庭。</w:t>
      </w:r>
      <w:r>
        <w:rPr>
          <w:rFonts w:hint="eastAsia" w:ascii="Times New Roman" w:hAnsi="Times New Roman" w:eastAsia="仿宋_GB2312"/>
          <w:sz w:val="32"/>
          <w:szCs w:val="32"/>
        </w:rPr>
        <w:t>组织召开安全生产进家庭活动暨家庭安全教育培训会，制发《关于加强春节期间安全生产进家庭有关工作的通知》《关于印发</w:t>
      </w:r>
      <w:r>
        <w:rPr>
          <w:rFonts w:ascii="Times New Roman" w:hAnsi="Times New Roman" w:eastAsia="仿宋_GB2312"/>
          <w:sz w:val="32"/>
          <w:szCs w:val="32"/>
        </w:rPr>
        <w:t>2022年安全宣传进家庭活动实施方案的通知》等文件，全面贯彻落实中、省、市、区关于安全生产各项决策部署，稳步推进安全生产进家庭纵深向实。开展“我把安全带回家—争做安全明白人”“给爸爸妈妈的安全家书”“安全逃生技能我第一演练”等主题活动10余次，印发安全生产进家庭宣传册5000余册，免费发放家庭安全应急包200个，高标准创建区级安全宣传进家庭示范户5户，市级1户。</w:t>
      </w:r>
    </w:p>
    <w:p>
      <w:pPr>
        <w:snapToGrid w:val="0"/>
        <w:spacing w:line="560" w:lineRule="exact"/>
        <w:ind w:firstLine="643" w:firstLineChars="200"/>
        <w:rPr>
          <w:rStyle w:val="25"/>
          <w:rFonts w:ascii="Times New Roman" w:hAnsi="Times New Roman" w:eastAsia="仿宋_GB2312"/>
          <w:sz w:val="32"/>
          <w:szCs w:val="32"/>
        </w:rPr>
      </w:pPr>
      <w:r>
        <w:rPr>
          <w:rFonts w:hint="eastAsia" w:ascii="Times New Roman" w:hAnsi="Times New Roman" w:eastAsia="楷体_GB2312"/>
          <w:b/>
          <w:bCs/>
          <w:sz w:val="32"/>
          <w:szCs w:val="32"/>
        </w:rPr>
        <w:t>（5）走访慰问，关爱留守妇女儿童。</w:t>
      </w:r>
      <w:r>
        <w:rPr>
          <w:rStyle w:val="25"/>
          <w:rFonts w:hint="eastAsia" w:ascii="Times New Roman" w:hAnsi="Times New Roman" w:eastAsia="仿宋_GB2312"/>
          <w:sz w:val="32"/>
          <w:szCs w:val="32"/>
        </w:rPr>
        <w:t>争取资金8万余元，走访慰问困难妇女、留守（困难）女童、基层妇干150名。持续开展“巾帼志愿者服务助农行动”。聚焦患病、残疾、留守妇女等特殊困难家庭，组织各镇（街道）妇联干部、执委、巾帼志愿者220余名，为特殊困难家庭采收农作物，受益家庭100余户。”安居区儿童之家开展系列新春活动”“巾帼志愿在行动</w:t>
      </w:r>
      <w:r>
        <w:rPr>
          <w:rStyle w:val="25"/>
          <w:rFonts w:ascii="Times New Roman" w:hAnsi="Times New Roman" w:eastAsia="仿宋_GB2312"/>
          <w:sz w:val="32"/>
          <w:szCs w:val="32"/>
        </w:rPr>
        <w:t xml:space="preserve"> </w:t>
      </w:r>
      <w:r>
        <w:rPr>
          <w:rStyle w:val="25"/>
          <w:rFonts w:hint="eastAsia" w:ascii="Times New Roman" w:hAnsi="Times New Roman" w:eastAsia="仿宋_GB2312"/>
          <w:sz w:val="32"/>
          <w:szCs w:val="32"/>
        </w:rPr>
        <w:t>燃气安全进万家”“巾帼建功新时代</w:t>
      </w:r>
      <w:r>
        <w:rPr>
          <w:rStyle w:val="25"/>
          <w:rFonts w:ascii="Times New Roman" w:hAnsi="Times New Roman" w:eastAsia="仿宋_GB2312"/>
          <w:sz w:val="32"/>
          <w:szCs w:val="32"/>
        </w:rPr>
        <w:t xml:space="preserve"> </w:t>
      </w:r>
      <w:r>
        <w:rPr>
          <w:rStyle w:val="25"/>
          <w:rFonts w:hint="eastAsia" w:ascii="Times New Roman" w:hAnsi="Times New Roman" w:eastAsia="仿宋_GB2312"/>
          <w:sz w:val="32"/>
          <w:szCs w:val="32"/>
        </w:rPr>
        <w:t>系好扣子再出发”“巾帼志愿服务助农行动深入农村一线”等20余篇报道被《中国妇女杂志》采编。</w:t>
      </w:r>
    </w:p>
    <w:p>
      <w:pPr>
        <w:snapToGrid w:val="0"/>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楷体_GB2312"/>
          <w:b/>
          <w:bCs/>
          <w:sz w:val="32"/>
          <w:szCs w:val="32"/>
        </w:rPr>
        <w:t>（6）实施幸福家庭建设活动。</w:t>
      </w:r>
      <w:r>
        <w:rPr>
          <w:rFonts w:hint="eastAsia" w:ascii="仿宋_GB2312" w:hAnsi="仿宋_GB2312" w:eastAsia="仿宋_GB2312" w:cs="仿宋_GB2312"/>
          <w:sz w:val="32"/>
          <w:szCs w:val="32"/>
        </w:rPr>
        <w:t>联合区纪委、区文明办印发《关于开展安居区寻找</w:t>
      </w:r>
      <w:r>
        <w:rPr>
          <w:rFonts w:ascii="仿宋_GB2312" w:hAnsi="仿宋_GB2312" w:eastAsia="仿宋_GB2312" w:cs="仿宋_GB2312"/>
          <w:sz w:val="32"/>
          <w:szCs w:val="32"/>
        </w:rPr>
        <w:t>2022年度“最美家庭”的通知》，常态化开展寻找“最美家庭”“绿色家庭”“五好家庭”等活动，采取专题讲座、亲子研学、直播沙龙等多形式开展家庭教育“六进”系列活动30余场次，惠及群众10万余人，推送获评全省家风家训征集活三等奖1个，省级家庭工作先进集体1个，省级家庭工作先进个人1名，省级“最美家庭”2个。创建市级家庭教育指导服务中心品牌1个，组建了安居区家庭教育讲师团队1支。“七夕家庭教育讲座—父母恩爱就是给孩子最好的爱”“安居区家庭教育指导服务中心成立仪式”等工作被《全国妇女报》《四川省妇联工作周报》推广宣传。</w:t>
      </w:r>
    </w:p>
    <w:p>
      <w:pPr>
        <w:snapToGrid w:val="0"/>
        <w:spacing w:line="560" w:lineRule="exact"/>
        <w:ind w:firstLine="643" w:firstLineChars="200"/>
        <w:rPr>
          <w:rFonts w:ascii="Times New Roman" w:hAnsi="Times New Roman"/>
        </w:rPr>
      </w:pPr>
      <w:r>
        <w:rPr>
          <w:rFonts w:hint="eastAsia" w:ascii="Times New Roman" w:hAnsi="Times New Roman" w:eastAsia="楷体_GB2312"/>
          <w:b/>
          <w:bCs/>
          <w:sz w:val="32"/>
          <w:szCs w:val="32"/>
        </w:rPr>
        <w:t>（7）建立健全财务管理制度与体系保障单位财经制度的正常有序运行。</w:t>
      </w:r>
      <w:r>
        <w:rPr>
          <w:rFonts w:hint="eastAsia" w:ascii="Times New Roman" w:hAnsi="Times New Roman" w:eastAsia="仿宋_GB2312"/>
          <w:sz w:val="32"/>
          <w:szCs w:val="32"/>
        </w:rPr>
        <w:t>加强会计人员的业务培训，提升财务管理水平，为单位领导决策提供有力的支撑依据。</w:t>
      </w:r>
    </w:p>
    <w:p>
      <w:pPr>
        <w:spacing w:line="560" w:lineRule="exact"/>
        <w:ind w:firstLine="420" w:firstLineChars="200"/>
        <w:rPr>
          <w:rFonts w:ascii="Times New Roman" w:hAnsi="Times New Roman"/>
        </w:rPr>
      </w:pPr>
      <w:r>
        <w:rPr>
          <w:rFonts w:ascii="Times New Roman" w:hAnsi="Times New Roman"/>
        </w:rPr>
        <w:t xml:space="preserve"> </w:t>
      </w:r>
    </w:p>
    <w:p>
      <w:pPr>
        <w:rPr>
          <w:rStyle w:val="21"/>
          <w:rFonts w:ascii="Times New Roman" w:hAnsi="Times New Roman" w:eastAsia="仿宋"/>
          <w:b w:val="0"/>
          <w:bCs w:val="0"/>
          <w:sz w:val="32"/>
          <w:szCs w:val="32"/>
        </w:rPr>
      </w:pPr>
      <w:bookmarkStart w:id="33" w:name="_Toc13323"/>
      <w:r>
        <w:rPr>
          <w:rStyle w:val="21"/>
          <w:rFonts w:ascii="Times New Roman" w:hAnsi="Times New Roman" w:eastAsia="仿宋"/>
          <w:b w:val="0"/>
          <w:bCs w:val="0"/>
          <w:sz w:val="32"/>
          <w:szCs w:val="32"/>
        </w:rPr>
        <w:br w:type="page"/>
      </w:r>
    </w:p>
    <w:p>
      <w:pPr>
        <w:pStyle w:val="4"/>
        <w:keepNext w:val="0"/>
        <w:keepLines w:val="0"/>
        <w:spacing w:before="0" w:after="0" w:line="560" w:lineRule="exact"/>
        <w:rPr>
          <w:rStyle w:val="21"/>
          <w:rFonts w:ascii="Times New Roman" w:hAnsi="Times New Roman" w:eastAsia="仿宋"/>
          <w:b w:val="0"/>
          <w:bCs w:val="0"/>
          <w:sz w:val="32"/>
          <w:szCs w:val="32"/>
        </w:rPr>
      </w:pPr>
      <w:r>
        <w:rPr>
          <w:rStyle w:val="21"/>
          <w:rFonts w:hint="eastAsia" w:ascii="黑体" w:hAnsi="黑体" w:eastAsia="黑体" w:cs="黑体"/>
          <w:b w:val="0"/>
          <w:bCs w:val="0"/>
          <w:sz w:val="32"/>
          <w:szCs w:val="32"/>
        </w:rPr>
        <w:t>附件</w:t>
      </w:r>
      <w:bookmarkEnd w:id="31"/>
      <w:r>
        <w:rPr>
          <w:rStyle w:val="21"/>
          <w:rFonts w:ascii="Times New Roman" w:hAnsi="Times New Roman" w:eastAsia="仿宋"/>
          <w:b w:val="0"/>
          <w:bCs w:val="0"/>
          <w:sz w:val="32"/>
          <w:szCs w:val="32"/>
        </w:rPr>
        <w:t>2</w:t>
      </w:r>
      <w:bookmarkEnd w:id="33"/>
    </w:p>
    <w:p>
      <w:pPr>
        <w:pStyle w:val="4"/>
        <w:keepNext w:val="0"/>
        <w:keepLines w:val="0"/>
        <w:spacing w:before="0" w:after="0" w:line="560" w:lineRule="exact"/>
        <w:rPr>
          <w:rStyle w:val="21"/>
          <w:rFonts w:ascii="Times New Roman" w:hAnsi="Times New Roman" w:eastAsia="仿宋"/>
          <w:b w:val="0"/>
          <w:bCs w:val="0"/>
          <w:sz w:val="32"/>
          <w:szCs w:val="32"/>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rPr>
      </w:pPr>
      <w:bookmarkStart w:id="34" w:name="_Toc1743"/>
      <w:bookmarkStart w:id="35" w:name="_Toc15396616"/>
      <w:r>
        <w:rPr>
          <w:rFonts w:hint="eastAsia" w:ascii="方正小标宋简体" w:hAnsi="方正小标宋简体" w:eastAsia="方正小标宋简体" w:cs="方正小标宋简体"/>
          <w:b w:val="0"/>
          <w:bCs w:val="0"/>
        </w:rPr>
        <w:t>区妇联“两癌”救助及保险经费项目支出</w:t>
      </w:r>
    </w:p>
    <w:p>
      <w:pPr>
        <w:pStyle w:val="3"/>
        <w:keepNext w:val="0"/>
        <w:keepLines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绩效评价报告</w:t>
      </w:r>
      <w:bookmarkEnd w:id="34"/>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一、评价工作开展及项目情况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我单位根据区财政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关于绩效评价选点要求，选取了</w:t>
      </w:r>
      <w:r>
        <w:rPr>
          <w:rFonts w:ascii="Times New Roman" w:hAnsi="Times New Roman" w:eastAsia="仿宋_GB2312"/>
          <w:sz w:val="32"/>
          <w:szCs w:val="32"/>
        </w:rPr>
        <w:t>2022年“两癌”救助及保险经费进行评价。</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二、评价结论及绩效分析</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总体上看，项目目标明确、资金到位率高、组织监管体系完善。“两癌”救助及保险经费较好地实现了绩效目标。</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（二）绩效分析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1）项目决策</w:t>
      </w:r>
    </w:p>
    <w:p>
      <w:pPr>
        <w:pStyle w:val="13"/>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1．绩效目标情况</w:t>
      </w:r>
    </w:p>
    <w:p>
      <w:pPr>
        <w:pStyle w:val="13"/>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sz w:val="32"/>
          <w:szCs w:val="32"/>
        </w:rPr>
        <w:t>2022年“两癌”救助及保险经费</w:t>
      </w:r>
      <w:r>
        <w:rPr>
          <w:rFonts w:hint="eastAsia" w:ascii="Times New Roman" w:hAnsi="Times New Roman" w:eastAsia="仿宋_GB2312"/>
          <w:kern w:val="2"/>
          <w:sz w:val="32"/>
          <w:szCs w:val="32"/>
        </w:rPr>
        <w:t>项目具体项目内容为按照法律赋予的职权</w:t>
      </w:r>
      <w:r>
        <w:rPr>
          <w:rFonts w:ascii="Times New Roman" w:hAnsi="Times New Roman" w:eastAsia="仿宋_GB2312"/>
          <w:kern w:val="2"/>
          <w:sz w:val="32"/>
          <w:szCs w:val="32"/>
        </w:rPr>
        <w:t>,在事关经济发展、社会稳定、民计民生等方面进行全面监督,开展调研、视察、检查等活动，有效地促进政府工作规范，</w:t>
      </w:r>
      <w:r>
        <w:rPr>
          <w:rFonts w:hint="eastAsia" w:ascii="Times New Roman" w:hAnsi="Times New Roman" w:eastAsia="仿宋_GB2312"/>
          <w:kern w:val="2"/>
          <w:sz w:val="32"/>
          <w:szCs w:val="32"/>
          <w:lang w:eastAsia="zh-CN"/>
        </w:rPr>
        <w:t>依</w:t>
      </w:r>
      <w:r>
        <w:rPr>
          <w:rFonts w:ascii="Times New Roman" w:hAnsi="Times New Roman" w:eastAsia="仿宋_GB2312"/>
          <w:kern w:val="2"/>
          <w:sz w:val="32"/>
          <w:szCs w:val="32"/>
        </w:rPr>
        <w:t>法行政、树立良</w:t>
      </w:r>
      <w:r>
        <w:rPr>
          <w:rFonts w:hint="eastAsia" w:ascii="Times New Roman" w:hAnsi="Times New Roman" w:eastAsia="仿宋_GB2312"/>
          <w:kern w:val="2"/>
          <w:sz w:val="32"/>
          <w:szCs w:val="32"/>
          <w:lang w:eastAsia="zh-CN"/>
        </w:rPr>
        <w:t>好</w:t>
      </w:r>
      <w:bookmarkStart w:id="43" w:name="_GoBack"/>
      <w:bookmarkEnd w:id="43"/>
      <w:r>
        <w:rPr>
          <w:rFonts w:ascii="Times New Roman" w:hAnsi="Times New Roman" w:eastAsia="仿宋_GB2312"/>
          <w:kern w:val="2"/>
          <w:sz w:val="32"/>
          <w:szCs w:val="32"/>
        </w:rPr>
        <w:t>形象，同时也能帮助“两癌”家庭减轻负担，减少家庭矛盾</w:t>
      </w:r>
      <w:r>
        <w:rPr>
          <w:rFonts w:hint="eastAsia" w:ascii="Times New Roman" w:hAnsi="Times New Roman" w:eastAsia="仿宋_GB2312"/>
          <w:kern w:val="2"/>
          <w:sz w:val="32"/>
          <w:szCs w:val="32"/>
        </w:rPr>
        <w:t>，维护社会稳定</w:t>
      </w:r>
      <w:r>
        <w:rPr>
          <w:rFonts w:ascii="Times New Roman" w:hAnsi="Times New Roman" w:eastAsia="仿宋_GB2312"/>
          <w:kern w:val="2"/>
          <w:sz w:val="32"/>
          <w:szCs w:val="32"/>
        </w:rPr>
        <w:t>,提高全区妇女健康水平，扩大“两癌”防治知识宣传面。</w:t>
      </w:r>
    </w:p>
    <w:p>
      <w:pPr>
        <w:pStyle w:val="13"/>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2、决策依据情况</w:t>
      </w:r>
    </w:p>
    <w:p>
      <w:pPr>
        <w:pStyle w:val="13"/>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sz w:val="32"/>
          <w:szCs w:val="32"/>
        </w:rPr>
        <w:t>“两癌”救助及保险经费</w:t>
      </w:r>
      <w:r>
        <w:rPr>
          <w:rFonts w:hint="eastAsia" w:ascii="Times New Roman" w:hAnsi="Times New Roman" w:eastAsia="仿宋_GB2312"/>
          <w:kern w:val="2"/>
          <w:sz w:val="32"/>
          <w:szCs w:val="32"/>
        </w:rPr>
        <w:t>，是指政府、部门协作、公众参与，对政府在事关经济发展、社会稳定、民计民生等方面进行全面监督的活动。以《四川省行政综合管理条例》</w:t>
      </w:r>
      <w:r>
        <w:rPr>
          <w:rFonts w:ascii="Times New Roman" w:hAnsi="Times New Roman" w:eastAsia="仿宋_GB2312"/>
          <w:kern w:val="2"/>
          <w:sz w:val="32"/>
          <w:szCs w:val="32"/>
        </w:rPr>
        <w:t>2011年7月29日四川省人民代表大会常务委员会发布的文件为决策依据；明确规定了单位负责辖区内</w:t>
      </w:r>
      <w:r>
        <w:rPr>
          <w:rFonts w:hint="eastAsia" w:ascii="Times New Roman" w:hAnsi="Times New Roman" w:eastAsia="仿宋_GB2312"/>
          <w:sz w:val="32"/>
          <w:szCs w:val="32"/>
        </w:rPr>
        <w:t>“两癌”救助及保险</w:t>
      </w:r>
      <w:r>
        <w:rPr>
          <w:rFonts w:hint="eastAsia" w:ascii="Times New Roman" w:hAnsi="Times New Roman" w:eastAsia="仿宋_GB2312"/>
          <w:kern w:val="2"/>
          <w:sz w:val="32"/>
          <w:szCs w:val="32"/>
        </w:rPr>
        <w:t>的具体工作，指导和督促居（村）民委员会、相关单位开展人</w:t>
      </w:r>
      <w:r>
        <w:rPr>
          <w:rFonts w:hint="eastAsia" w:ascii="Times New Roman" w:hAnsi="Times New Roman" w:eastAsia="仿宋_GB2312"/>
          <w:sz w:val="32"/>
          <w:szCs w:val="32"/>
        </w:rPr>
        <w:t>“两癌”救助及保险</w:t>
      </w:r>
      <w:r>
        <w:rPr>
          <w:rFonts w:hint="eastAsia" w:ascii="Times New Roman" w:hAnsi="Times New Roman" w:eastAsia="仿宋_GB2312"/>
          <w:kern w:val="2"/>
          <w:sz w:val="32"/>
          <w:szCs w:val="32"/>
        </w:rPr>
        <w:t>工作。</w:t>
      </w:r>
    </w:p>
    <w:p>
      <w:pPr>
        <w:pStyle w:val="13"/>
        <w:spacing w:before="0" w:beforeAutospacing="0" w:after="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1）资金分配情况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“两癌”救助及保险</w:t>
      </w:r>
      <w:r>
        <w:rPr>
          <w:rFonts w:hint="eastAsia" w:ascii="Times New Roman" w:hAnsi="Times New Roman" w:eastAsia="仿宋_GB2312"/>
          <w:kern w:val="2"/>
          <w:sz w:val="32"/>
          <w:szCs w:val="32"/>
        </w:rPr>
        <w:t>项目资金分配按照预算申报财政资金</w:t>
      </w:r>
      <w:r>
        <w:rPr>
          <w:rFonts w:ascii="Times New Roman" w:hAnsi="Times New Roman" w:eastAsia="仿宋_GB2312"/>
          <w:kern w:val="2"/>
          <w:sz w:val="32"/>
          <w:szCs w:val="32"/>
        </w:rPr>
        <w:t>75万元，进行分配，具体项目分配情况如下：</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sz w:val="32"/>
          <w:szCs w:val="32"/>
        </w:rPr>
        <w:t>1.“两癌”救助</w:t>
      </w:r>
      <w:r>
        <w:rPr>
          <w:rFonts w:hint="eastAsia" w:ascii="Times New Roman" w:hAnsi="Times New Roman" w:eastAsia="仿宋_GB2312"/>
          <w:kern w:val="2"/>
          <w:sz w:val="32"/>
          <w:szCs w:val="32"/>
        </w:rPr>
        <w:t>支出</w:t>
      </w:r>
      <w:r>
        <w:rPr>
          <w:rFonts w:ascii="Times New Roman" w:hAnsi="Times New Roman" w:eastAsia="仿宋_GB2312"/>
          <w:kern w:val="2"/>
          <w:sz w:val="32"/>
          <w:szCs w:val="32"/>
        </w:rPr>
        <w:t>22.46万元</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2.购买2022年“两癌”保险支出52.54万元（主要用于购买低收入适龄妇女保险支出）。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2）项目管理</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1．资金到位情况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该项目申报金额为</w:t>
      </w:r>
      <w:r>
        <w:rPr>
          <w:rFonts w:ascii="Times New Roman" w:hAnsi="Times New Roman" w:eastAsia="仿宋_GB2312"/>
          <w:kern w:val="2"/>
          <w:sz w:val="32"/>
          <w:szCs w:val="32"/>
        </w:rPr>
        <w:t>75万元，根据区财政局2022年财政预算，该项目实际下达金额为75万元。</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2022年财政实际下拨75万元，项目实际支出为75万元，项目资金按照项目实施进度支付。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2．资金管理情况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现场查账，项目经费专款专用，未发现支出依据不合规、虚列项目支出的情况，也未发现截留、挤占、挪用等情况，资金使用安全有效。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3．财务管理情况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资金管理严格按照规定对相关科目进行会计核算及账务处理，对项目资金严格执行财务管理制度，财务处理及时、准确、规范反映资金情况。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4．组织实施情况</w:t>
      </w:r>
    </w:p>
    <w:p>
      <w:pPr>
        <w:pStyle w:val="13"/>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rPr>
        <w:t>根据区妇联自评和现场抽样考核，项目未出现重大调整或无法实施的情况，项目实施方面按照《四川省行政综合管理条例》的相关规定严格执行。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3）项目绩效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1．目标任务量完成情况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2022年通过</w:t>
      </w:r>
      <w:r>
        <w:rPr>
          <w:rFonts w:hint="eastAsia" w:ascii="Times New Roman" w:hAnsi="Times New Roman" w:eastAsia="仿宋_GB2312"/>
          <w:sz w:val="32"/>
          <w:szCs w:val="32"/>
        </w:rPr>
        <w:t>“两癌”救助及保险经费</w:t>
      </w:r>
      <w:r>
        <w:rPr>
          <w:rFonts w:hint="eastAsia" w:ascii="Times New Roman" w:hAnsi="Times New Roman" w:eastAsia="仿宋_GB2312"/>
          <w:kern w:val="2"/>
          <w:sz w:val="32"/>
          <w:szCs w:val="32"/>
        </w:rPr>
        <w:t>的计划基本完成，项目在区财政局的关心、单位党委高度重视以及各部门的大力配合下，顺利推进，圆满完成任务，区妇女工作得到了较大的提升。</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2．项目完成质量</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根据现场查阅相关资料，单位</w:t>
      </w:r>
      <w:r>
        <w:rPr>
          <w:rFonts w:hint="eastAsia" w:ascii="Times New Roman" w:hAnsi="Times New Roman" w:eastAsia="仿宋_GB2312"/>
          <w:sz w:val="32"/>
          <w:szCs w:val="32"/>
        </w:rPr>
        <w:t>议政考察调研</w:t>
      </w:r>
      <w:r>
        <w:rPr>
          <w:rFonts w:hint="eastAsia" w:ascii="Times New Roman" w:hAnsi="Times New Roman" w:eastAsia="仿宋_GB2312"/>
          <w:kern w:val="2"/>
          <w:sz w:val="32"/>
          <w:szCs w:val="32"/>
        </w:rPr>
        <w:t>项目已按照绩效目标完成情况见表。</w:t>
      </w:r>
    </w:p>
    <w:tbl>
      <w:tblPr>
        <w:tblStyle w:val="14"/>
        <w:tblpPr w:leftFromText="180" w:rightFromText="180" w:vertAnchor="text" w:horzAnchor="page" w:tblpXSpec="center" w:tblpY="423"/>
        <w:tblOverlap w:val="never"/>
        <w:tblW w:w="9993" w:type="dxa"/>
        <w:jc w:val="center"/>
        <w:tblLayout w:type="fixed"/>
        <w:tblCellMar>
          <w:top w:w="0" w:type="dxa"/>
          <w:left w:w="0" w:type="dxa"/>
          <w:bottom w:w="0" w:type="dxa"/>
          <w:right w:w="0" w:type="dxa"/>
        </w:tblCellMar>
      </w:tblPr>
      <w:tblGrid>
        <w:gridCol w:w="2076"/>
        <w:gridCol w:w="1367"/>
        <w:gridCol w:w="1025"/>
        <w:gridCol w:w="1969"/>
        <w:gridCol w:w="2394"/>
        <w:gridCol w:w="1162"/>
      </w:tblGrid>
      <w:tr>
        <w:tblPrEx>
          <w:tblCellMar>
            <w:top w:w="0" w:type="dxa"/>
            <w:left w:w="0" w:type="dxa"/>
            <w:bottom w:w="0" w:type="dxa"/>
            <w:right w:w="0" w:type="dxa"/>
          </w:tblCellMar>
        </w:tblPrEx>
        <w:trPr>
          <w:jc w:val="center"/>
        </w:trPr>
        <w:tc>
          <w:tcPr>
            <w:tcW w:w="9993" w:type="dxa"/>
            <w:gridSpan w:val="6"/>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4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55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“两癌”救助及保险经费</w:t>
            </w:r>
          </w:p>
        </w:tc>
      </w:tr>
      <w:tr>
        <w:tblPrEx>
          <w:tblCellMar>
            <w:top w:w="0" w:type="dxa"/>
            <w:left w:w="0" w:type="dxa"/>
            <w:bottom w:w="0" w:type="dxa"/>
            <w:right w:w="0" w:type="dxa"/>
          </w:tblCellMar>
        </w:tblPrEx>
        <w:trPr>
          <w:jc w:val="center"/>
        </w:trPr>
        <w:tc>
          <w:tcPr>
            <w:tcW w:w="4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55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遂宁市安居区区妇联合会</w:t>
            </w:r>
          </w:p>
        </w:tc>
      </w:tr>
      <w:tr>
        <w:tblPrEx>
          <w:tblCellMar>
            <w:top w:w="0" w:type="dxa"/>
            <w:left w:w="0" w:type="dxa"/>
            <w:bottom w:w="0" w:type="dxa"/>
            <w:right w:w="0" w:type="dxa"/>
          </w:tblCellMar>
        </w:tblPrEx>
        <w:trPr>
          <w:jc w:val="center"/>
        </w:trPr>
        <w:tc>
          <w:tcPr>
            <w:tcW w:w="2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75万元</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jc w:val="center"/>
        </w:trPr>
        <w:tc>
          <w:tcPr>
            <w:tcW w:w="2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3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3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3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完成区委区政府交办的“两癌”救助及保险购买工作</w:t>
            </w:r>
          </w:p>
        </w:tc>
        <w:tc>
          <w:tcPr>
            <w:tcW w:w="3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3"/>
              <w:spacing w:before="0" w:beforeAutospacing="0" w:after="0" w:afterAutospacing="0"/>
              <w:rPr>
                <w:rFonts w:ascii="Times New Roman" w:hAnsi="Times New Roman" w:eastAsia="仿宋_GB2312"/>
              </w:rPr>
            </w:pPr>
            <w:r>
              <w:rPr>
                <w:rFonts w:hint="eastAsia" w:ascii="Times New Roman" w:hAnsi="Times New Roman" w:eastAsia="仿宋_GB2312"/>
              </w:rPr>
              <w:t>2022顺利完成区委区政府交办的“两癌”救助及保险工作</w:t>
            </w:r>
          </w:p>
        </w:tc>
      </w:tr>
      <w:tr>
        <w:tblPrEx>
          <w:tblCellMar>
            <w:top w:w="0" w:type="dxa"/>
            <w:left w:w="0" w:type="dxa"/>
            <w:bottom w:w="0" w:type="dxa"/>
            <w:right w:w="0" w:type="dxa"/>
          </w:tblCellMar>
        </w:tblPrEx>
        <w:trPr>
          <w:jc w:val="center"/>
        </w:trPr>
        <w:tc>
          <w:tcPr>
            <w:tcW w:w="20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“两癌”救助人数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3</w:t>
            </w:r>
            <w:del w:id="4" w:author="Administrator" w:date="2023-08-25T11:18:00Z">
              <w:r>
                <w:rPr>
                  <w:rFonts w:hint="eastAsia" w:ascii="Times New Roman" w:hAnsi="Times New Roman" w:eastAsia="仿宋_GB2312"/>
                  <w:kern w:val="0"/>
                  <w:sz w:val="24"/>
                </w:rPr>
                <w:delText>8</w:delText>
              </w:r>
            </w:del>
            <w:ins w:id="5" w:author="Administrator" w:date="2023-08-25T11:18:00Z">
              <w:r>
                <w:rPr>
                  <w:rFonts w:hint="eastAsia" w:ascii="Times New Roman" w:hAnsi="Times New Roman" w:eastAsia="仿宋_GB2312"/>
                  <w:kern w:val="0"/>
                  <w:sz w:val="24"/>
                </w:rPr>
                <w:t>9</w:t>
              </w:r>
            </w:ins>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39</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“两癌”救助购买人员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17122</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17122</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“两癌”救助完成率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全年一次</w:t>
            </w:r>
            <w:r>
              <w:rPr>
                <w:rFonts w:hint="eastAsia" w:ascii="Times New Roman" w:hAnsi="Times New Roman" w:eastAsia="仿宋_GB2312"/>
                <w:sz w:val="24"/>
              </w:rPr>
              <w:t>“两癌”救助工作</w:t>
            </w:r>
            <w:r>
              <w:rPr>
                <w:rFonts w:hint="eastAsia" w:ascii="Times New Roman" w:hAnsi="Times New Roman" w:eastAsia="仿宋_GB2312"/>
                <w:kern w:val="0"/>
                <w:sz w:val="24"/>
              </w:rPr>
              <w:t>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5</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5</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妇女在社会贡献提升率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80%</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80%</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促进社会良性发展，提升妇女社会地位。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207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9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3.项目完成进度</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经现场检查财务资料，项目严格按项目进度支付，项目资金预算</w:t>
      </w:r>
      <w:r>
        <w:rPr>
          <w:rFonts w:ascii="Times New Roman" w:hAnsi="Times New Roman" w:eastAsia="仿宋_GB2312"/>
          <w:kern w:val="2"/>
          <w:sz w:val="32"/>
          <w:szCs w:val="32"/>
        </w:rPr>
        <w:t>75万元，财政实际下达75万元已全部支付。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（三）项目效果</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项目资金按时拨付，保障了项目的正常运行，</w:t>
      </w:r>
      <w:r>
        <w:rPr>
          <w:rFonts w:hint="eastAsia" w:ascii="Times New Roman" w:hAnsi="Times New Roman" w:eastAsia="仿宋_GB2312"/>
          <w:sz w:val="32"/>
          <w:szCs w:val="32"/>
        </w:rPr>
        <w:t>“两癌”救助及保险</w:t>
      </w:r>
      <w:r>
        <w:rPr>
          <w:rFonts w:hint="eastAsia" w:ascii="Times New Roman" w:hAnsi="Times New Roman" w:eastAsia="仿宋_GB2312"/>
          <w:kern w:val="2"/>
          <w:sz w:val="32"/>
          <w:szCs w:val="32"/>
        </w:rPr>
        <w:t>项目的实施改善了我单位行政作风环境，有效地促进政府工作规范，</w:t>
      </w:r>
      <w:r>
        <w:rPr>
          <w:rFonts w:hint="eastAsia" w:ascii="Times New Roman" w:hAnsi="Times New Roman" w:eastAsia="仿宋_GB2312"/>
          <w:kern w:val="2"/>
          <w:sz w:val="32"/>
          <w:szCs w:val="32"/>
          <w:lang w:eastAsia="zh-CN"/>
        </w:rPr>
        <w:t>依</w:t>
      </w:r>
      <w:r>
        <w:rPr>
          <w:rFonts w:hint="eastAsia" w:ascii="Times New Roman" w:hAnsi="Times New Roman" w:eastAsia="仿宋_GB2312"/>
          <w:kern w:val="2"/>
          <w:sz w:val="32"/>
          <w:szCs w:val="32"/>
        </w:rPr>
        <w:t>法行政、树立良好形象，同时也能较好地维护人民群众的合法利益</w:t>
      </w:r>
      <w:r>
        <w:rPr>
          <w:rFonts w:ascii="Times New Roman" w:hAnsi="Times New Roman" w:eastAsia="仿宋_GB2312"/>
          <w:kern w:val="2"/>
          <w:sz w:val="32"/>
          <w:szCs w:val="32"/>
        </w:rPr>
        <w:t>,为减少矛盾,维护稳定,保障经济健康发展创造了良好的人居环境和生产环境。</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三、存在主要问题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项目实施目标不够具体，根据《四川省项目支出绩效评价指标体系》的评分标准，需对项目目标进行量化。</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四川省项目支出绩效评价指标体系》的评分标准，绩效目标的目标内容包括项目预期提供的产品、服务、效益或其他目标，要针对项目数量、质量、功能、受益群体满意度等提出绩效目标，最后达到目标量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四、相关措施建议</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1、参考《四川省项目支出绩效评价指标体系》，根据每年项目开展的实际情况，提出明确、合理的目标，制定绩效目标时应对目标进行量化，使项目实施做到科学合理。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2、加强资金管理，规范各项支出。</w:t>
      </w:r>
    </w:p>
    <w:p>
      <w:pPr>
        <w:spacing w:line="560" w:lineRule="exact"/>
        <w:ind w:firstLine="640" w:firstLineChars="200"/>
        <w:rPr>
          <w:rFonts w:ascii="Times New Roman" w:hAnsi="Times New Roman" w:eastAsia="仿宋_GB2312"/>
          <w:sz w:val="32"/>
          <w:szCs w:val="32"/>
        </w:rPr>
      </w:pPr>
    </w:p>
    <w:bookmarkEnd w:id="35"/>
    <w:p>
      <w:pPr>
        <w:spacing w:line="560" w:lineRule="exact"/>
        <w:ind w:firstLine="640" w:firstLineChars="200"/>
        <w:jc w:val="left"/>
        <w:rPr>
          <w:rStyle w:val="21"/>
          <w:rFonts w:ascii="Times New Roman" w:hAnsi="Times New Roman" w:eastAsia="仿宋_GB2312"/>
          <w:b w:val="0"/>
          <w:bCs w:val="0"/>
          <w:sz w:val="32"/>
          <w:szCs w:val="32"/>
        </w:rPr>
      </w:pPr>
      <w:bookmarkStart w:id="36" w:name="_Toc15396617"/>
    </w:p>
    <w:p>
      <w:pPr>
        <w:pStyle w:val="17"/>
        <w:rPr>
          <w:rStyle w:val="21"/>
          <w:rFonts w:ascii="Times New Roman" w:hAnsi="Times New Roman" w:eastAsia="仿宋_GB2312"/>
          <w:b w:val="0"/>
          <w:bCs w:val="0"/>
          <w:sz w:val="32"/>
          <w:szCs w:val="32"/>
        </w:rPr>
      </w:pPr>
    </w:p>
    <w:p>
      <w:pPr>
        <w:widowControl/>
        <w:jc w:val="left"/>
        <w:rPr>
          <w:rStyle w:val="21"/>
          <w:rFonts w:ascii="Times New Roman" w:hAnsi="Times New Roman" w:eastAsia="仿宋_GB2312"/>
          <w:b w:val="0"/>
          <w:bCs w:val="0"/>
          <w:sz w:val="32"/>
          <w:szCs w:val="32"/>
        </w:rPr>
      </w:pPr>
      <w:bookmarkStart w:id="37" w:name="_Toc21567"/>
      <w:r>
        <w:rPr>
          <w:rStyle w:val="21"/>
          <w:rFonts w:ascii="Times New Roman" w:hAnsi="Times New Roman" w:eastAsia="仿宋_GB2312"/>
          <w:b w:val="0"/>
          <w:bCs w:val="0"/>
          <w:sz w:val="32"/>
          <w:szCs w:val="32"/>
        </w:rPr>
        <w:br w:type="page"/>
      </w:r>
    </w:p>
    <w:p>
      <w:pPr>
        <w:spacing w:line="560" w:lineRule="exact"/>
        <w:jc w:val="left"/>
        <w:rPr>
          <w:rStyle w:val="21"/>
          <w:rFonts w:ascii="Times New Roman" w:hAnsi="Times New Roman" w:eastAsia="仿宋_GB2312"/>
          <w:b w:val="0"/>
          <w:bCs w:val="0"/>
          <w:sz w:val="32"/>
          <w:szCs w:val="32"/>
        </w:rPr>
      </w:pPr>
      <w:r>
        <w:rPr>
          <w:rStyle w:val="21"/>
          <w:rFonts w:hint="eastAsia" w:ascii="黑体" w:hAnsi="黑体" w:eastAsia="黑体" w:cs="黑体"/>
          <w:b w:val="0"/>
          <w:bCs w:val="0"/>
          <w:sz w:val="32"/>
          <w:szCs w:val="32"/>
        </w:rPr>
        <w:t>附件</w:t>
      </w:r>
      <w:bookmarkEnd w:id="36"/>
      <w:r>
        <w:rPr>
          <w:rStyle w:val="21"/>
          <w:rFonts w:ascii="Times New Roman" w:hAnsi="Times New Roman" w:eastAsia="仿宋_GB2312"/>
          <w:b w:val="0"/>
          <w:bCs w:val="0"/>
          <w:sz w:val="32"/>
          <w:szCs w:val="32"/>
        </w:rPr>
        <w:t>3</w:t>
      </w:r>
    </w:p>
    <w:p>
      <w:pPr>
        <w:spacing w:line="560" w:lineRule="exact"/>
        <w:jc w:val="left"/>
        <w:rPr>
          <w:rStyle w:val="21"/>
          <w:rFonts w:ascii="Times New Roman" w:hAnsi="Times New Roman" w:eastAsia="仿宋_GB2312"/>
          <w:b w:val="0"/>
          <w:bCs w:val="0"/>
          <w:sz w:val="32"/>
          <w:szCs w:val="32"/>
        </w:rPr>
      </w:pPr>
    </w:p>
    <w:bookmarkEnd w:id="37"/>
    <w:p>
      <w:pPr>
        <w:pStyle w:val="3"/>
        <w:keepNext w:val="0"/>
        <w:keepLines w:val="0"/>
        <w:spacing w:before="0" w:after="0" w:line="560" w:lineRule="exact"/>
        <w:jc w:val="center"/>
        <w:rPr>
          <w:rFonts w:ascii="方正小标宋简体" w:hAnsi="方正小标宋简体" w:eastAsia="方正小标宋简体" w:cs="方正小标宋简体"/>
          <w:b w:val="0"/>
          <w:bCs w:val="0"/>
        </w:rPr>
      </w:pPr>
      <w:bookmarkStart w:id="38" w:name="_Toc31525"/>
      <w:r>
        <w:rPr>
          <w:rFonts w:hint="eastAsia" w:ascii="方正小标宋简体" w:hAnsi="方正小标宋简体" w:eastAsia="方正小标宋简体" w:cs="方正小标宋简体"/>
          <w:b w:val="0"/>
          <w:bCs w:val="0"/>
        </w:rPr>
        <w:t>区妇联“人均一元钱”经费项目支出绩效</w:t>
      </w:r>
    </w:p>
    <w:p>
      <w:pPr>
        <w:pStyle w:val="3"/>
        <w:keepNext w:val="0"/>
        <w:keepLines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评价报告</w:t>
      </w:r>
      <w:bookmarkEnd w:id="38"/>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一、评价工作开展及项目情况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我单位根据区财政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关于绩效评价选点要求，选取了</w:t>
      </w:r>
      <w:r>
        <w:rPr>
          <w:rFonts w:ascii="Times New Roman" w:hAnsi="Times New Roman" w:eastAsia="仿宋_GB2312"/>
          <w:sz w:val="32"/>
          <w:szCs w:val="32"/>
        </w:rPr>
        <w:t>2022年“人均一元钱”经费进行评价。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二、评价结论及绩效分析</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总体上看，项目目标明确、资金到位率高、组织监管体系完善。“人均一元钱”经费较好地实现了绩效目标。</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（二）绩效分析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(1)项目决策</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1.绩效目标情况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sz w:val="32"/>
          <w:szCs w:val="32"/>
        </w:rPr>
        <w:t>2022年“人均一元钱”经费</w:t>
      </w:r>
      <w:r>
        <w:rPr>
          <w:rFonts w:hint="eastAsia" w:ascii="Times New Roman" w:hAnsi="Times New Roman" w:eastAsia="仿宋_GB2312"/>
          <w:kern w:val="2"/>
          <w:sz w:val="32"/>
          <w:szCs w:val="32"/>
        </w:rPr>
        <w:t>项目具体项目内容为</w:t>
      </w:r>
      <w:r>
        <w:rPr>
          <w:rFonts w:hint="eastAsia" w:ascii="Times New Roman" w:hAnsi="Times New Roman" w:eastAsia="仿宋_GB2312"/>
          <w:sz w:val="32"/>
        </w:rPr>
        <w:t>妇女参与国家和社会事务的民主管理、监督，参与有关妇女儿童法律、法规、条例、规定的制定，代表妇女的利益，反映妇女的呼声。大力培养、选拔优秀妇女人才，促进女性参政议政水平的提高</w:t>
      </w:r>
      <w:r>
        <w:rPr>
          <w:rFonts w:hint="eastAsia" w:ascii="Times New Roman" w:hAnsi="Times New Roman" w:eastAsia="仿宋_GB2312"/>
          <w:kern w:val="2"/>
          <w:sz w:val="32"/>
          <w:szCs w:val="32"/>
        </w:rPr>
        <w:t>。</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(2)决策依据情况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“人均一元钱”经费</w:t>
      </w:r>
      <w:r>
        <w:rPr>
          <w:rFonts w:hint="eastAsia" w:ascii="Times New Roman" w:hAnsi="Times New Roman" w:eastAsia="仿宋_GB2312"/>
          <w:kern w:val="2"/>
          <w:sz w:val="32"/>
          <w:szCs w:val="32"/>
        </w:rPr>
        <w:t>，是指政府、部门协作、公众参与，对政府在事关经济发展、社会稳定、民计民生等方面进行全面监督的活动。以《四川省政府行政综合管理条例》</w:t>
      </w:r>
      <w:r>
        <w:rPr>
          <w:rFonts w:ascii="Times New Roman" w:hAnsi="Times New Roman" w:eastAsia="仿宋_GB2312"/>
          <w:kern w:val="2"/>
          <w:sz w:val="32"/>
          <w:szCs w:val="32"/>
        </w:rPr>
        <w:t>2011年7月29日四川省人民代表大会常务委员会发布的文件为决策依据；明确规定了单位负责辖区内</w:t>
      </w: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的具体工作，指导和督促居（村）民委员会、相关单位开展人</w:t>
      </w: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工作。</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1.资金分配情况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项目资金分配按照预算申报财政资金</w:t>
      </w:r>
      <w:r>
        <w:rPr>
          <w:rFonts w:ascii="Times New Roman" w:hAnsi="Times New Roman" w:eastAsia="仿宋_GB2312"/>
          <w:kern w:val="2"/>
          <w:sz w:val="32"/>
          <w:szCs w:val="32"/>
        </w:rPr>
        <w:t>27万元，进行分配，具体项目分配情况如下：</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1）</w:t>
      </w: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补助支出</w:t>
      </w:r>
      <w:r>
        <w:rPr>
          <w:rFonts w:ascii="Times New Roman" w:hAnsi="Times New Roman" w:eastAsia="仿宋_GB2312"/>
          <w:kern w:val="2"/>
          <w:sz w:val="32"/>
          <w:szCs w:val="32"/>
        </w:rPr>
        <w:t>8万元（由妇联相关工作支出）。</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2）购买办公用品支出2万元（主要用于临时性会议支出）。</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3）车辆运行维护支出2万元。（主要用于</w:t>
      </w: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车辆运行）</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4）</w:t>
      </w:r>
      <w:r>
        <w:rPr>
          <w:rFonts w:hint="eastAsia" w:ascii="Times New Roman" w:hAnsi="Times New Roman" w:eastAsia="仿宋_GB2312"/>
          <w:sz w:val="32"/>
          <w:szCs w:val="32"/>
        </w:rPr>
        <w:t>“人均一元钱”经</w:t>
      </w:r>
      <w:r>
        <w:rPr>
          <w:rFonts w:hint="eastAsia" w:ascii="Times New Roman" w:hAnsi="Times New Roman" w:eastAsia="仿宋_GB2312"/>
          <w:kern w:val="2"/>
          <w:sz w:val="32"/>
          <w:szCs w:val="32"/>
        </w:rPr>
        <w:t>费支出</w:t>
      </w:r>
      <w:r>
        <w:rPr>
          <w:rFonts w:ascii="Times New Roman" w:hAnsi="Times New Roman" w:eastAsia="仿宋_GB2312"/>
          <w:kern w:val="2"/>
          <w:sz w:val="32"/>
          <w:szCs w:val="32"/>
        </w:rPr>
        <w:t>15万元（主要用于</w:t>
      </w:r>
      <w:r>
        <w:rPr>
          <w:rFonts w:hint="eastAsia" w:ascii="Times New Roman" w:hAnsi="Times New Roman" w:eastAsia="仿宋_GB2312"/>
          <w:sz w:val="32"/>
          <w:szCs w:val="32"/>
        </w:rPr>
        <w:t>“人均一元钱”妇女相关</w:t>
      </w:r>
      <w:r>
        <w:rPr>
          <w:rFonts w:hint="eastAsia" w:ascii="Times New Roman" w:hAnsi="Times New Roman" w:eastAsia="仿宋_GB2312"/>
          <w:kern w:val="2"/>
          <w:sz w:val="32"/>
          <w:szCs w:val="32"/>
        </w:rPr>
        <w:t>其它广告制作费用支出）。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2、项目管理</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(1)资金到位情况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该项目申报金额为</w:t>
      </w:r>
      <w:r>
        <w:rPr>
          <w:rFonts w:ascii="Times New Roman" w:hAnsi="Times New Roman" w:eastAsia="仿宋_GB2312"/>
          <w:kern w:val="2"/>
          <w:sz w:val="32"/>
          <w:szCs w:val="32"/>
        </w:rPr>
        <w:t>27万元，根据区财政局2022年财政预算，该项目实际下达金额为27万元。</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2022年财政实际下拨27万元，项目实际支出为27万元，项目资金按照项目实施进度支付。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(2)资金管理情况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现场查账，项目经费专款专用，未发现支出依据不合规、虚列项目支出的情况，也未发现截留、挤占、挪用等情况，资金使用安全有效。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(3)财务管理情况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资金管理严格按照规定对相关科目进行会计核算及账务处理，对项目资金严格执行财务管理制度，财务处理及时、准确、规范反映资金情况。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(4)组织实施情况</w:t>
      </w:r>
    </w:p>
    <w:p>
      <w:pPr>
        <w:pStyle w:val="13"/>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rPr>
        <w:t>根据区妇联自评和现场抽样考核，项目未出现重大调整或无法实施的情况，项目实施方面按照《四川省政府行政综合管理条例》的相关规定严格执行。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3、项目绩效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1）目标完成</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1.目标任务量完成情况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2022年通过</w:t>
      </w:r>
      <w:r>
        <w:rPr>
          <w:rFonts w:hint="eastAsia" w:ascii="Times New Roman" w:hAnsi="Times New Roman" w:eastAsia="仿宋_GB2312"/>
          <w:sz w:val="32"/>
          <w:szCs w:val="32"/>
        </w:rPr>
        <w:t>“人均一元钱”经费</w:t>
      </w:r>
      <w:r>
        <w:rPr>
          <w:rFonts w:hint="eastAsia" w:ascii="Times New Roman" w:hAnsi="Times New Roman" w:eastAsia="仿宋_GB2312"/>
          <w:kern w:val="2"/>
          <w:sz w:val="32"/>
          <w:szCs w:val="32"/>
        </w:rPr>
        <w:t>的计划基本完成，项目在区财政局的关心、单位党委政府高度重视以及各村组的大力配合下，顺利推进，圆满完成任务，</w:t>
      </w:r>
      <w:r>
        <w:rPr>
          <w:rFonts w:hint="eastAsia" w:ascii="Times New Roman" w:hAnsi="Times New Roman" w:eastAsia="仿宋_GB2312"/>
          <w:sz w:val="32"/>
          <w:szCs w:val="32"/>
        </w:rPr>
        <w:t>政协委员视察</w:t>
      </w:r>
      <w:r>
        <w:rPr>
          <w:rFonts w:hint="eastAsia" w:ascii="Times New Roman" w:hAnsi="Times New Roman" w:eastAsia="仿宋_GB2312"/>
          <w:kern w:val="2"/>
          <w:sz w:val="32"/>
          <w:szCs w:val="32"/>
        </w:rPr>
        <w:t>工作等得到了较大的提升。</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2.项目完成质量</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根据现场查阅相关资料，单位</w:t>
      </w:r>
      <w:r>
        <w:rPr>
          <w:rFonts w:hint="eastAsia" w:ascii="Times New Roman" w:hAnsi="Times New Roman" w:eastAsia="仿宋_GB2312"/>
          <w:sz w:val="32"/>
          <w:szCs w:val="32"/>
        </w:rPr>
        <w:t>议政考察调研“人均一元钱”经费</w:t>
      </w:r>
      <w:r>
        <w:rPr>
          <w:rFonts w:hint="eastAsia" w:ascii="Times New Roman" w:hAnsi="Times New Roman" w:eastAsia="仿宋_GB2312"/>
          <w:kern w:val="2"/>
          <w:sz w:val="32"/>
          <w:szCs w:val="32"/>
        </w:rPr>
        <w:t>项目已按照绩效目标完成情况见表。</w:t>
      </w:r>
    </w:p>
    <w:tbl>
      <w:tblPr>
        <w:tblStyle w:val="14"/>
        <w:tblpPr w:leftFromText="180" w:rightFromText="180" w:vertAnchor="text" w:horzAnchor="page" w:tblpXSpec="center" w:tblpY="423"/>
        <w:tblOverlap w:val="never"/>
        <w:tblW w:w="9667" w:type="dxa"/>
        <w:jc w:val="center"/>
        <w:tblLayout w:type="fixed"/>
        <w:tblCellMar>
          <w:top w:w="0" w:type="dxa"/>
          <w:left w:w="0" w:type="dxa"/>
          <w:bottom w:w="0" w:type="dxa"/>
          <w:right w:w="0" w:type="dxa"/>
        </w:tblCellMar>
      </w:tblPr>
      <w:tblGrid>
        <w:gridCol w:w="1509"/>
        <w:gridCol w:w="1367"/>
        <w:gridCol w:w="1025"/>
        <w:gridCol w:w="1675"/>
        <w:gridCol w:w="2045"/>
        <w:gridCol w:w="2046"/>
      </w:tblGrid>
      <w:tr>
        <w:tblPrEx>
          <w:tblCellMar>
            <w:top w:w="0" w:type="dxa"/>
            <w:left w:w="0" w:type="dxa"/>
            <w:bottom w:w="0" w:type="dxa"/>
            <w:right w:w="0" w:type="dxa"/>
          </w:tblCellMar>
        </w:tblPrEx>
        <w:trPr>
          <w:jc w:val="center"/>
        </w:trPr>
        <w:tc>
          <w:tcPr>
            <w:tcW w:w="9667" w:type="dxa"/>
            <w:gridSpan w:val="6"/>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39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576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“人均一元钱”经费</w:t>
            </w:r>
          </w:p>
        </w:tc>
      </w:tr>
      <w:tr>
        <w:tblPrEx>
          <w:tblCellMar>
            <w:top w:w="0" w:type="dxa"/>
            <w:left w:w="0" w:type="dxa"/>
            <w:bottom w:w="0" w:type="dxa"/>
            <w:right w:w="0" w:type="dxa"/>
          </w:tblCellMar>
        </w:tblPrEx>
        <w:trPr>
          <w:jc w:val="center"/>
        </w:trPr>
        <w:tc>
          <w:tcPr>
            <w:tcW w:w="39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576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遂宁市安居区区妇联合会</w:t>
            </w:r>
          </w:p>
        </w:tc>
      </w:tr>
      <w:tr>
        <w:tblPrEx>
          <w:tblCellMar>
            <w:top w:w="0" w:type="dxa"/>
            <w:left w:w="0" w:type="dxa"/>
            <w:bottom w:w="0" w:type="dxa"/>
            <w:right w:w="0" w:type="dxa"/>
          </w:tblCellMar>
        </w:tblPrEx>
        <w:trPr>
          <w:jc w:val="center"/>
        </w:trPr>
        <w:tc>
          <w:tcPr>
            <w:tcW w:w="15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jc w:val="center"/>
        </w:trPr>
        <w:tc>
          <w:tcPr>
            <w:tcW w:w="15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0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40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0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保障妇联“人均一元钱”工作顺利完成</w:t>
            </w:r>
          </w:p>
        </w:tc>
        <w:tc>
          <w:tcPr>
            <w:tcW w:w="4091"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3"/>
              <w:spacing w:before="0" w:beforeAutospacing="0" w:after="0" w:afterAutospacing="0"/>
              <w:rPr>
                <w:rFonts w:ascii="Times New Roman" w:hAnsi="Times New Roman" w:eastAsia="仿宋_GB2312"/>
              </w:rPr>
            </w:pPr>
            <w:r>
              <w:rPr>
                <w:rFonts w:hint="eastAsia" w:ascii="Times New Roman" w:hAnsi="Times New Roman" w:eastAsia="仿宋_GB2312"/>
              </w:rPr>
              <w:t>保障妇联“人均一元钱”工作顺利完成</w:t>
            </w:r>
          </w:p>
        </w:tc>
      </w:tr>
      <w:tr>
        <w:tblPrEx>
          <w:tblCellMar>
            <w:top w:w="0" w:type="dxa"/>
            <w:left w:w="0" w:type="dxa"/>
            <w:bottom w:w="0" w:type="dxa"/>
            <w:right w:w="0" w:type="dxa"/>
          </w:tblCellMar>
        </w:tblPrEx>
        <w:trPr>
          <w:jc w:val="center"/>
        </w:trPr>
        <w:tc>
          <w:tcPr>
            <w:tcW w:w="150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保障工作人数</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保障资金预算</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27万元</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完成</w:t>
            </w:r>
            <w:r>
              <w:rPr>
                <w:rFonts w:hint="eastAsia" w:ascii="Times New Roman" w:hAnsi="Times New Roman" w:eastAsia="仿宋_GB2312"/>
                <w:sz w:val="24"/>
              </w:rPr>
              <w:t>“人均一元钱”</w:t>
            </w:r>
            <w:r>
              <w:rPr>
                <w:rFonts w:hint="eastAsia" w:ascii="Times New Roman" w:hAnsi="Times New Roman" w:eastAsia="仿宋_GB2312"/>
                <w:kern w:val="0"/>
                <w:sz w:val="24"/>
              </w:rPr>
              <w:t>工作</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“人均一元钱”</w:t>
            </w:r>
            <w:r>
              <w:rPr>
                <w:rFonts w:hint="eastAsia" w:ascii="Times New Roman" w:hAnsi="Times New Roman" w:eastAsia="仿宋_GB2312"/>
                <w:kern w:val="0"/>
                <w:sz w:val="24"/>
              </w:rPr>
              <w:t>时间</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2022</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2022</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提升我单位行政质量，</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防止行政违规，营造良好环境。</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50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提升群众满意度，为文明城市创建添砖加瓦。</w:t>
            </w:r>
          </w:p>
        </w:tc>
        <w:tc>
          <w:tcPr>
            <w:tcW w:w="20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20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3.项目完成进度</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经现场检查财务资料，项目严格按项目进度支付，项目资金预算</w:t>
      </w:r>
      <w:r>
        <w:rPr>
          <w:rFonts w:ascii="Times New Roman" w:hAnsi="Times New Roman" w:eastAsia="仿宋_GB2312"/>
          <w:kern w:val="2"/>
          <w:sz w:val="32"/>
          <w:szCs w:val="32"/>
        </w:rPr>
        <w:t>27万元，财政实际下达27万元已全部支付。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（三）项目效果</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项目资金按时拨付，保障了项目的正常运行，</w:t>
      </w:r>
      <w:r>
        <w:rPr>
          <w:rFonts w:hint="eastAsia" w:ascii="Times New Roman" w:hAnsi="Times New Roman" w:eastAsia="仿宋_GB2312"/>
          <w:sz w:val="32"/>
          <w:szCs w:val="32"/>
        </w:rPr>
        <w:t>“人均一元钱”</w:t>
      </w:r>
      <w:r>
        <w:rPr>
          <w:rFonts w:hint="eastAsia" w:ascii="Times New Roman" w:hAnsi="Times New Roman" w:eastAsia="仿宋_GB2312"/>
          <w:kern w:val="2"/>
          <w:sz w:val="32"/>
          <w:szCs w:val="32"/>
        </w:rPr>
        <w:t>项目的实施改善了我单位行政作风环境，有效地促进政府工作规范，</w:t>
      </w:r>
      <w:r>
        <w:rPr>
          <w:rFonts w:hint="eastAsia" w:ascii="Times New Roman" w:hAnsi="Times New Roman" w:eastAsia="仿宋_GB2312"/>
          <w:kern w:val="2"/>
          <w:sz w:val="32"/>
          <w:szCs w:val="32"/>
          <w:lang w:eastAsia="zh-CN"/>
        </w:rPr>
        <w:t>依</w:t>
      </w:r>
      <w:r>
        <w:rPr>
          <w:rFonts w:hint="eastAsia" w:ascii="Times New Roman" w:hAnsi="Times New Roman" w:eastAsia="仿宋_GB2312"/>
          <w:kern w:val="2"/>
          <w:sz w:val="32"/>
          <w:szCs w:val="32"/>
        </w:rPr>
        <w:t>法行政、树立良好形象，同时也能较好地维护人民群众的合法利益</w:t>
      </w:r>
      <w:r>
        <w:rPr>
          <w:rFonts w:ascii="Times New Roman" w:hAnsi="Times New Roman" w:eastAsia="仿宋_GB2312"/>
          <w:kern w:val="2"/>
          <w:sz w:val="32"/>
          <w:szCs w:val="32"/>
        </w:rPr>
        <w:t>,为减少矛盾,维护稳定,保障经济健康发展创造了良好的人居环境和生产环境。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三、存在主要问题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项目实施目标不够具体，根据《四川省项目支出绩效评价指标体系》的评分标准，需对项目目标进行量化。</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四川省项目支出绩效评价指标体系》的评分标准，绩效目标的目标内容包括项目预期提供的产品、服务、效益或其他目标，要针对项目数量、质量、功能、受益群体满意度等提出绩效目标，最后达到目标量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四、相关措施建议</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1．参考《四川省项目支出绩效评价指标体系》，根据每年项目开展的实际情况，提出明确、合理的目标，制定绩效目标时应对目标进行量化，使项目实施做到科学合理。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2．加强资金管理，规范各项支出。</w:t>
      </w:r>
    </w:p>
    <w:p>
      <w:pPr>
        <w:spacing w:line="560" w:lineRule="exact"/>
        <w:ind w:firstLine="640" w:firstLineChars="200"/>
        <w:rPr>
          <w:rFonts w:ascii="Times New Roman" w:hAnsi="Times New Roman" w:eastAsia="仿宋_GB2312"/>
          <w:sz w:val="32"/>
          <w:szCs w:val="32"/>
        </w:rPr>
      </w:pPr>
    </w:p>
    <w:p>
      <w:pPr>
        <w:widowControl/>
        <w:spacing w:before="225" w:after="225" w:line="432" w:lineRule="atLeast"/>
        <w:rPr>
          <w:rFonts w:ascii="Times New Roman" w:hAnsi="Times New Roman" w:eastAsia="仿宋_GB2312"/>
          <w:sz w:val="32"/>
          <w:szCs w:val="32"/>
        </w:rPr>
      </w:pPr>
      <w:bookmarkStart w:id="39" w:name="_Toc15396618"/>
      <w:r>
        <w:rPr>
          <w:rFonts w:ascii="Times New Roman" w:hAnsi="Times New Roman" w:eastAsia="仿宋_GB2312"/>
          <w:sz w:val="32"/>
          <w:szCs w:val="32"/>
        </w:rPr>
        <w:br w:type="page"/>
      </w:r>
    </w:p>
    <w:p>
      <w:pPr>
        <w:pStyle w:val="13"/>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附件</w:t>
      </w:r>
      <w:r>
        <w:rPr>
          <w:rFonts w:ascii="Times New Roman" w:hAnsi="Times New Roman" w:eastAsia="仿宋_GB2312"/>
          <w:kern w:val="2"/>
          <w:sz w:val="32"/>
          <w:szCs w:val="32"/>
        </w:rPr>
        <w:t>4</w:t>
      </w:r>
    </w:p>
    <w:p>
      <w:pPr>
        <w:pStyle w:val="13"/>
        <w:spacing w:before="0" w:beforeAutospacing="0" w:after="0" w:afterAutospacing="0" w:line="560" w:lineRule="exact"/>
        <w:rPr>
          <w:rFonts w:ascii="Times New Roman" w:hAnsi="Times New Roman" w:eastAsia="仿宋_GB2312"/>
          <w:kern w:val="2"/>
          <w:sz w:val="32"/>
          <w:szCs w:val="32"/>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rPr>
      </w:pPr>
      <w:bookmarkStart w:id="40" w:name="_Toc30588"/>
      <w:r>
        <w:rPr>
          <w:rFonts w:hint="eastAsia" w:ascii="方正小标宋简体" w:hAnsi="方正小标宋简体" w:eastAsia="方正小标宋简体" w:cs="方正小标宋简体"/>
          <w:b w:val="0"/>
          <w:bCs w:val="0"/>
        </w:rPr>
        <w:t>区妇联临聘人员经费项目支出绩效</w:t>
      </w:r>
    </w:p>
    <w:p>
      <w:pPr>
        <w:pStyle w:val="3"/>
        <w:keepNext w:val="0"/>
        <w:keepLines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评价报告</w:t>
      </w:r>
      <w:bookmarkEnd w:id="40"/>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一、评价工作开展及项目情况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我单位根据区财政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关于绩效评价选点要求，选取了</w:t>
      </w:r>
      <w:r>
        <w:rPr>
          <w:rFonts w:ascii="Times New Roman" w:hAnsi="Times New Roman" w:eastAsia="仿宋_GB2312"/>
          <w:sz w:val="32"/>
          <w:szCs w:val="32"/>
        </w:rPr>
        <w:t>2022年临聘人员经费进行评价。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二、评价结论及绩效分析</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总体上看，项目目标明确、资金到位率高、组织监管体系完善。临聘人员经费较好地实现了绩效目标。</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（二）绩效分析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1）项目决策</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1．绩效目标情况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sz w:val="32"/>
          <w:szCs w:val="32"/>
        </w:rPr>
        <w:t>2022年临聘人员经费</w:t>
      </w:r>
      <w:r>
        <w:rPr>
          <w:rFonts w:hint="eastAsia" w:ascii="Times New Roman" w:hAnsi="Times New Roman" w:eastAsia="仿宋_GB2312"/>
          <w:kern w:val="2"/>
          <w:sz w:val="32"/>
          <w:szCs w:val="32"/>
        </w:rPr>
        <w:t>项目具体项目内容为按照法律赋予的职权</w:t>
      </w:r>
      <w:r>
        <w:rPr>
          <w:rFonts w:ascii="Times New Roman" w:hAnsi="Times New Roman" w:eastAsia="仿宋_GB2312"/>
          <w:kern w:val="2"/>
          <w:sz w:val="32"/>
          <w:szCs w:val="32"/>
        </w:rPr>
        <w:t>,在事关经济发展、社会稳定、民计民生等方面进行全面监督,开展调研、视察、检查等活动，有效地促进政府工作规范，</w:t>
      </w:r>
      <w:r>
        <w:rPr>
          <w:rFonts w:hint="eastAsia" w:ascii="Times New Roman" w:hAnsi="Times New Roman" w:eastAsia="仿宋_GB2312"/>
          <w:kern w:val="2"/>
          <w:sz w:val="32"/>
          <w:szCs w:val="32"/>
          <w:lang w:eastAsia="zh-CN"/>
        </w:rPr>
        <w:t>依</w:t>
      </w:r>
      <w:r>
        <w:rPr>
          <w:rFonts w:ascii="Times New Roman" w:hAnsi="Times New Roman" w:eastAsia="仿宋_GB2312"/>
          <w:kern w:val="2"/>
          <w:sz w:val="32"/>
          <w:szCs w:val="32"/>
        </w:rPr>
        <w:t>法行政、树立良</w:t>
      </w:r>
      <w:r>
        <w:rPr>
          <w:rFonts w:hint="eastAsia" w:ascii="Times New Roman" w:hAnsi="Times New Roman" w:eastAsia="仿宋_GB2312"/>
          <w:kern w:val="2"/>
          <w:sz w:val="32"/>
          <w:szCs w:val="32"/>
          <w:lang w:eastAsia="zh-CN"/>
        </w:rPr>
        <w:t>好</w:t>
      </w:r>
      <w:r>
        <w:rPr>
          <w:rFonts w:ascii="Times New Roman" w:hAnsi="Times New Roman" w:eastAsia="仿宋_GB2312"/>
          <w:kern w:val="2"/>
          <w:sz w:val="32"/>
          <w:szCs w:val="32"/>
        </w:rPr>
        <w:t>形象，同时也能较好地维护人民群众的合法利益,为减少矛盾,维护稳定,保障经济健康发展创造了良好的人居环境和生产环境。</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2．决策依据情况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临聘人员经费</w:t>
      </w:r>
      <w:r>
        <w:rPr>
          <w:rFonts w:hint="eastAsia" w:ascii="Times New Roman" w:hAnsi="Times New Roman" w:eastAsia="仿宋_GB2312"/>
          <w:kern w:val="2"/>
          <w:sz w:val="32"/>
          <w:szCs w:val="32"/>
        </w:rPr>
        <w:t>，是指政府、部门协作、公众参与，对政府在事关经济发展、社会稳定、民计民生等方面进行全面监督的活动。以《四川省政府行政综合管理条例》</w:t>
      </w:r>
      <w:r>
        <w:rPr>
          <w:rFonts w:ascii="Times New Roman" w:hAnsi="Times New Roman" w:eastAsia="仿宋_GB2312"/>
          <w:kern w:val="2"/>
          <w:sz w:val="32"/>
          <w:szCs w:val="32"/>
        </w:rPr>
        <w:t>2011年7月29日四川省人民代表大会常务委员会发布的文件为决策依据；明确规定了单位负责辖区内</w:t>
      </w:r>
      <w:r>
        <w:rPr>
          <w:rFonts w:hint="eastAsia" w:ascii="Times New Roman" w:hAnsi="Times New Roman" w:eastAsia="仿宋_GB2312"/>
          <w:sz w:val="32"/>
          <w:szCs w:val="32"/>
        </w:rPr>
        <w:t>临聘人员</w:t>
      </w:r>
      <w:r>
        <w:rPr>
          <w:rFonts w:hint="eastAsia" w:ascii="Times New Roman" w:hAnsi="Times New Roman" w:eastAsia="仿宋_GB2312"/>
          <w:kern w:val="2"/>
          <w:sz w:val="32"/>
          <w:szCs w:val="32"/>
        </w:rPr>
        <w:t>的具体工作，指导和督促居（村）民委员会、相关单位开展人</w:t>
      </w:r>
      <w:r>
        <w:rPr>
          <w:rFonts w:hint="eastAsia" w:ascii="Times New Roman" w:hAnsi="Times New Roman" w:eastAsia="仿宋_GB2312"/>
          <w:sz w:val="32"/>
          <w:szCs w:val="32"/>
        </w:rPr>
        <w:t>临聘人员</w:t>
      </w:r>
      <w:r>
        <w:rPr>
          <w:rFonts w:hint="eastAsia" w:ascii="Times New Roman" w:hAnsi="Times New Roman" w:eastAsia="仿宋_GB2312"/>
          <w:kern w:val="2"/>
          <w:sz w:val="32"/>
          <w:szCs w:val="32"/>
        </w:rPr>
        <w:t>工作。</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w:t>
      </w:r>
      <w:r>
        <w:rPr>
          <w:rFonts w:ascii="Times New Roman" w:hAnsi="Times New Roman" w:eastAsia="仿宋_GB2312"/>
          <w:kern w:val="2"/>
          <w:sz w:val="32"/>
          <w:szCs w:val="32"/>
        </w:rPr>
        <w:t>2）资金分配情况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临聘人员</w:t>
      </w:r>
      <w:r>
        <w:rPr>
          <w:rFonts w:hint="eastAsia" w:ascii="Times New Roman" w:hAnsi="Times New Roman" w:eastAsia="仿宋_GB2312"/>
          <w:kern w:val="2"/>
          <w:sz w:val="32"/>
          <w:szCs w:val="32"/>
        </w:rPr>
        <w:t>项目资金分配按照预算申报财政资金</w:t>
      </w:r>
      <w:r>
        <w:rPr>
          <w:rFonts w:ascii="Times New Roman" w:hAnsi="Times New Roman" w:eastAsia="仿宋_GB2312"/>
          <w:kern w:val="2"/>
          <w:sz w:val="32"/>
          <w:szCs w:val="32"/>
        </w:rPr>
        <w:t>4.5万元，进行分配，具体项目分配情况如下：</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sz w:val="32"/>
          <w:szCs w:val="32"/>
        </w:rPr>
        <w:t>临聘人员</w:t>
      </w:r>
      <w:r>
        <w:rPr>
          <w:rFonts w:hint="eastAsia" w:ascii="Times New Roman" w:hAnsi="Times New Roman" w:eastAsia="仿宋_GB2312"/>
          <w:kern w:val="2"/>
          <w:sz w:val="32"/>
          <w:szCs w:val="32"/>
        </w:rPr>
        <w:t>补助支出</w:t>
      </w:r>
      <w:r>
        <w:rPr>
          <w:rFonts w:ascii="Times New Roman" w:hAnsi="Times New Roman" w:eastAsia="仿宋_GB2312"/>
          <w:kern w:val="2"/>
          <w:sz w:val="32"/>
          <w:szCs w:val="32"/>
        </w:rPr>
        <w:t>4.5万元（由单位聘用相关人员后报销）。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3）项目管理</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1.资金到位情况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该项目申报金额为</w:t>
      </w:r>
      <w:r>
        <w:rPr>
          <w:rFonts w:ascii="Times New Roman" w:hAnsi="Times New Roman" w:eastAsia="仿宋_GB2312"/>
          <w:kern w:val="2"/>
          <w:sz w:val="32"/>
          <w:szCs w:val="32"/>
        </w:rPr>
        <w:t>4.5万元，根据区财政局2022年财政预算，该项目实际下达金额为4.5万元。</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2022年财政实际下拨4.5万元，项目实际支出为4.5万元，项目资金按照项目实施进度支付。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2．资金管理情况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现场查账，项目经费专款专用，未发现支出依据不合规、虚列项目支出的情况，也未发现截留、挤占、挪用等情况，资金使用安全有效。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3．财务管理情况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资金管理严格按照规定对相关科目进行会计核算及账务处理，对项目资金严格执行财务管理制度，财务处理及时、准确、规范反映资金情况。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4．组织实施情况</w:t>
      </w:r>
    </w:p>
    <w:p>
      <w:pPr>
        <w:pStyle w:val="13"/>
        <w:spacing w:before="0" w:beforeAutospacing="0" w:after="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2"/>
          <w:sz w:val="32"/>
          <w:szCs w:val="32"/>
        </w:rPr>
        <w:t>根据区妇联自评和现场抽样考核，项目未出现重大调整或无法实施的情况，项目实施方面按照《四川省政府行政综合管理条例》的相关规定严格执行。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4）项目绩效</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1．目标任务量完成情况</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2022年通过</w:t>
      </w:r>
      <w:r>
        <w:rPr>
          <w:rFonts w:hint="eastAsia" w:ascii="Times New Roman" w:hAnsi="Times New Roman" w:eastAsia="仿宋_GB2312"/>
          <w:sz w:val="32"/>
          <w:szCs w:val="32"/>
        </w:rPr>
        <w:t>临聘人员经费</w:t>
      </w:r>
      <w:r>
        <w:rPr>
          <w:rFonts w:hint="eastAsia" w:ascii="Times New Roman" w:hAnsi="Times New Roman" w:eastAsia="仿宋_GB2312"/>
          <w:kern w:val="2"/>
          <w:sz w:val="32"/>
          <w:szCs w:val="32"/>
        </w:rPr>
        <w:t>的计划基本完成，项目在区财政局的关心、单位党委高度重视以及各部门的大力配合下，顺利推进，圆满完成任务，</w:t>
      </w:r>
      <w:r>
        <w:rPr>
          <w:rFonts w:hint="eastAsia" w:ascii="Times New Roman" w:hAnsi="Times New Roman" w:eastAsia="仿宋_GB2312"/>
          <w:sz w:val="32"/>
          <w:szCs w:val="32"/>
        </w:rPr>
        <w:t>政协委员视察</w:t>
      </w:r>
      <w:r>
        <w:rPr>
          <w:rFonts w:hint="eastAsia" w:ascii="Times New Roman" w:hAnsi="Times New Roman" w:eastAsia="仿宋_GB2312"/>
          <w:kern w:val="2"/>
          <w:sz w:val="32"/>
          <w:szCs w:val="32"/>
        </w:rPr>
        <w:t>工作等得到了较大的提升。</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2．项目完成质量</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根据现场查阅相关资料，单位</w:t>
      </w:r>
      <w:r>
        <w:rPr>
          <w:rFonts w:hint="eastAsia" w:ascii="Times New Roman" w:hAnsi="Times New Roman" w:eastAsia="仿宋_GB2312"/>
          <w:sz w:val="32"/>
          <w:szCs w:val="32"/>
        </w:rPr>
        <w:t>议政考察调研</w:t>
      </w:r>
      <w:r>
        <w:rPr>
          <w:rFonts w:hint="eastAsia" w:ascii="Times New Roman" w:hAnsi="Times New Roman" w:eastAsia="仿宋_GB2312"/>
          <w:kern w:val="2"/>
          <w:sz w:val="32"/>
          <w:szCs w:val="32"/>
        </w:rPr>
        <w:t>项目已按照绩效目标完成情况见表。</w:t>
      </w:r>
    </w:p>
    <w:tbl>
      <w:tblPr>
        <w:tblStyle w:val="14"/>
        <w:tblpPr w:leftFromText="180" w:rightFromText="180" w:vertAnchor="text" w:horzAnchor="page" w:tblpXSpec="center" w:tblpY="423"/>
        <w:tblOverlap w:val="never"/>
        <w:tblW w:w="10094" w:type="dxa"/>
        <w:jc w:val="center"/>
        <w:tblLayout w:type="fixed"/>
        <w:tblCellMar>
          <w:top w:w="0" w:type="dxa"/>
          <w:left w:w="0" w:type="dxa"/>
          <w:bottom w:w="0" w:type="dxa"/>
          <w:right w:w="0" w:type="dxa"/>
        </w:tblCellMar>
      </w:tblPr>
      <w:tblGrid>
        <w:gridCol w:w="1651"/>
        <w:gridCol w:w="1367"/>
        <w:gridCol w:w="1025"/>
        <w:gridCol w:w="2392"/>
        <w:gridCol w:w="1990"/>
        <w:gridCol w:w="1669"/>
      </w:tblGrid>
      <w:tr>
        <w:tblPrEx>
          <w:tblCellMar>
            <w:top w:w="0" w:type="dxa"/>
            <w:left w:w="0" w:type="dxa"/>
            <w:bottom w:w="0" w:type="dxa"/>
            <w:right w:w="0" w:type="dxa"/>
          </w:tblCellMar>
        </w:tblPrEx>
        <w:trPr>
          <w:jc w:val="center"/>
        </w:trPr>
        <w:tc>
          <w:tcPr>
            <w:tcW w:w="10094" w:type="dxa"/>
            <w:gridSpan w:val="6"/>
            <w:tcMar>
              <w:top w:w="15" w:type="dxa"/>
              <w:left w:w="15" w:type="dxa"/>
              <w:bottom w:w="0" w:type="dxa"/>
              <w:right w:w="15" w:type="dxa"/>
            </w:tcMar>
            <w:vAlign w:val="center"/>
          </w:tcPr>
          <w:p>
            <w:pPr>
              <w:pStyle w:val="20"/>
              <w:ind w:firstLine="0" w:firstLineChars="0"/>
              <w:jc w:val="center"/>
              <w:textAlignment w:val="center"/>
              <w:rPr>
                <w:rFonts w:ascii="Times New Roman" w:hAnsi="Times New Roman" w:eastAsia="仿宋_GB2312"/>
                <w:b/>
                <w:bCs/>
                <w:kern w:val="0"/>
                <w:sz w:val="24"/>
              </w:rPr>
            </w:pPr>
            <w:r>
              <w:rPr>
                <w:rFonts w:hint="eastAsia" w:ascii="Times New Roman" w:hAnsi="Times New Roman" w:eastAsia="仿宋_GB2312"/>
                <w:b/>
                <w:bCs/>
                <w:kern w:val="0"/>
                <w:sz w:val="24"/>
              </w:rPr>
              <w:t>项目支出绩效目标完成情况表</w:t>
            </w:r>
          </w:p>
          <w:p>
            <w:pPr>
              <w:pStyle w:val="20"/>
              <w:ind w:firstLine="0" w:firstLineChars="0"/>
              <w:jc w:val="center"/>
              <w:textAlignment w:val="center"/>
              <w:rPr>
                <w:rFonts w:ascii="Times New Roman" w:hAnsi="Times New Roman" w:eastAsia="仿宋_GB2312"/>
                <w:kern w:val="0"/>
                <w:sz w:val="24"/>
              </w:rPr>
            </w:pPr>
            <w:r>
              <w:rPr>
                <w:rFonts w:hint="eastAsia" w:ascii="Times New Roman" w:hAnsi="Times New Roman" w:eastAsia="仿宋_GB2312"/>
                <w:b/>
                <w:bCs/>
                <w:kern w:val="0"/>
                <w:sz w:val="24"/>
              </w:rPr>
              <w:t>(2022年度)</w:t>
            </w:r>
          </w:p>
        </w:tc>
      </w:tr>
      <w:tr>
        <w:tblPrEx>
          <w:tblCellMar>
            <w:top w:w="0" w:type="dxa"/>
            <w:left w:w="0" w:type="dxa"/>
            <w:bottom w:w="0" w:type="dxa"/>
            <w:right w:w="0" w:type="dxa"/>
          </w:tblCellMar>
        </w:tblPrEx>
        <w:trPr>
          <w:jc w:val="center"/>
        </w:trPr>
        <w:tc>
          <w:tcPr>
            <w:tcW w:w="40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项目名称</w:t>
            </w:r>
          </w:p>
        </w:tc>
        <w:tc>
          <w:tcPr>
            <w:tcW w:w="605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sz w:val="24"/>
              </w:rPr>
              <w:t>临聘人员经费</w:t>
            </w:r>
          </w:p>
        </w:tc>
      </w:tr>
      <w:tr>
        <w:tblPrEx>
          <w:tblCellMar>
            <w:top w:w="0" w:type="dxa"/>
            <w:left w:w="0" w:type="dxa"/>
            <w:bottom w:w="0" w:type="dxa"/>
            <w:right w:w="0" w:type="dxa"/>
          </w:tblCellMar>
        </w:tblPrEx>
        <w:trPr>
          <w:jc w:val="center"/>
        </w:trPr>
        <w:tc>
          <w:tcPr>
            <w:tcW w:w="40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预算单位</w:t>
            </w:r>
          </w:p>
        </w:tc>
        <w:tc>
          <w:tcPr>
            <w:tcW w:w="605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遂宁市安居区妇联合会</w:t>
            </w:r>
          </w:p>
        </w:tc>
      </w:tr>
      <w:tr>
        <w:tblPrEx>
          <w:tblCellMar>
            <w:top w:w="0" w:type="dxa"/>
            <w:left w:w="0" w:type="dxa"/>
            <w:bottom w:w="0" w:type="dxa"/>
            <w:right w:w="0" w:type="dxa"/>
          </w:tblCellMar>
        </w:tblPrEx>
        <w:trPr>
          <w:jc w:val="center"/>
        </w:trPr>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执行数:</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其中-财政拨款:</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4.5万元</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0</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其它资金:</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仿宋_GB2312"/>
                <w:kern w:val="0"/>
                <w:sz w:val="24"/>
              </w:rPr>
            </w:pPr>
            <w:r>
              <w:rPr>
                <w:rFonts w:ascii="Times New Roman" w:hAnsi="Times New Roman" w:eastAsia="仿宋_GB2312"/>
                <w:kern w:val="0"/>
                <w:sz w:val="24"/>
              </w:rPr>
              <w:t>0</w:t>
            </w:r>
          </w:p>
        </w:tc>
      </w:tr>
      <w:tr>
        <w:tblPrEx>
          <w:tblCellMar>
            <w:top w:w="0" w:type="dxa"/>
            <w:left w:w="0" w:type="dxa"/>
            <w:bottom w:w="0" w:type="dxa"/>
            <w:right w:w="0" w:type="dxa"/>
          </w:tblCellMar>
        </w:tblPrEx>
        <w:trPr>
          <w:jc w:val="center"/>
        </w:trPr>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预期目标</w:t>
            </w:r>
          </w:p>
        </w:tc>
        <w:tc>
          <w:tcPr>
            <w:tcW w:w="36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实际完成目标</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textAlignment w:val="center"/>
              <w:rPr>
                <w:rFonts w:ascii="Times New Roman" w:hAnsi="Times New Roman" w:eastAsia="仿宋_GB2312"/>
                <w:kern w:val="0"/>
                <w:sz w:val="24"/>
              </w:rPr>
            </w:pPr>
            <w:r>
              <w:rPr>
                <w:rFonts w:hint="eastAsia" w:ascii="Times New Roman" w:hAnsi="Times New Roman" w:eastAsia="仿宋_GB2312"/>
                <w:kern w:val="0"/>
                <w:sz w:val="24"/>
              </w:rPr>
              <w:t>单位按照区委区政府给予的用人指标聘用临时人员1名</w:t>
            </w:r>
          </w:p>
        </w:tc>
        <w:tc>
          <w:tcPr>
            <w:tcW w:w="365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3"/>
              <w:spacing w:before="0" w:beforeAutospacing="0" w:after="0" w:afterAutospacing="0"/>
              <w:rPr>
                <w:rFonts w:ascii="Times New Roman" w:hAnsi="Times New Roman" w:eastAsia="仿宋_GB2312"/>
              </w:rPr>
            </w:pPr>
            <w:r>
              <w:rPr>
                <w:rFonts w:hint="eastAsia" w:ascii="Times New Roman" w:hAnsi="Times New Roman" w:eastAsia="仿宋_GB2312"/>
              </w:rPr>
              <w:t>单位按照区委区政府给予的用人指标聘用临时人员1名</w:t>
            </w:r>
          </w:p>
        </w:tc>
      </w:tr>
      <w:tr>
        <w:tblPrEx>
          <w:tblCellMar>
            <w:top w:w="0" w:type="dxa"/>
            <w:left w:w="0" w:type="dxa"/>
            <w:bottom w:w="0" w:type="dxa"/>
            <w:right w:w="0" w:type="dxa"/>
          </w:tblCellMar>
        </w:tblPrEx>
        <w:trPr>
          <w:jc w:val="center"/>
        </w:trPr>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三级指标</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预期指标值(包含数字及文字描述)</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聘用人员</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extAlignment w:val="center"/>
              <w:rPr>
                <w:rFonts w:ascii="Times New Roman" w:hAnsi="Times New Roman" w:eastAsia="仿宋_GB2312"/>
                <w:kern w:val="0"/>
                <w:sz w:val="24"/>
              </w:rPr>
            </w:pPr>
            <w:r>
              <w:rPr>
                <w:rFonts w:hint="eastAsia" w:ascii="Times New Roman" w:hAnsi="Times New Roman" w:eastAsia="仿宋_GB2312"/>
                <w:kern w:val="0"/>
                <w:sz w:val="24"/>
              </w:rPr>
              <w:t>政府指标</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完成</w:t>
            </w:r>
            <w:r>
              <w:rPr>
                <w:rFonts w:hint="eastAsia" w:ascii="Times New Roman" w:hAnsi="Times New Roman" w:eastAsia="仿宋_GB2312"/>
                <w:sz w:val="24"/>
              </w:rPr>
              <w:t>临聘人员</w:t>
            </w:r>
            <w:r>
              <w:rPr>
                <w:rFonts w:hint="eastAsia" w:ascii="Times New Roman" w:hAnsi="Times New Roman" w:eastAsia="仿宋_GB2312"/>
                <w:kern w:val="0"/>
                <w:sz w:val="24"/>
              </w:rPr>
              <w:t>工作</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全年</w:t>
            </w:r>
            <w:r>
              <w:rPr>
                <w:rFonts w:hint="eastAsia" w:ascii="Times New Roman" w:hAnsi="Times New Roman" w:eastAsia="仿宋_GB2312"/>
                <w:sz w:val="24"/>
              </w:rPr>
              <w:t>临聘人员</w:t>
            </w:r>
            <w:r>
              <w:rPr>
                <w:rFonts w:hint="eastAsia" w:ascii="Times New Roman" w:hAnsi="Times New Roman" w:eastAsia="仿宋_GB2312"/>
                <w:kern w:val="0"/>
                <w:sz w:val="24"/>
              </w:rPr>
              <w:t>年终考核</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全年工作完成率，</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完成区委区政府交办的工作达标率。</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r>
        <w:tblPrEx>
          <w:tblCellMar>
            <w:top w:w="0" w:type="dxa"/>
            <w:left w:w="0" w:type="dxa"/>
            <w:bottom w:w="0" w:type="dxa"/>
            <w:right w:w="0" w:type="dxa"/>
          </w:tblCellMar>
        </w:tblPrEx>
        <w:trPr>
          <w:jc w:val="center"/>
        </w:trPr>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kern w:val="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hint="eastAsia" w:ascii="Times New Roman" w:hAnsi="Times New Roman" w:eastAsia="仿宋_GB2312"/>
                <w:kern w:val="0"/>
                <w:sz w:val="24"/>
              </w:rPr>
              <w:t>工作质量达标率。</w:t>
            </w:r>
          </w:p>
        </w:tc>
        <w:tc>
          <w:tcPr>
            <w:tcW w:w="19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Times New Roman" w:hAnsi="Times New Roman" w:eastAsia="仿宋_GB2312"/>
                <w:kern w:val="0"/>
                <w:sz w:val="24"/>
              </w:rPr>
            </w:pPr>
            <w:r>
              <w:rPr>
                <w:rFonts w:ascii="Times New Roman" w:hAnsi="Times New Roman" w:eastAsia="仿宋_GB2312"/>
                <w:kern w:val="0"/>
                <w:sz w:val="24"/>
              </w:rPr>
              <w:t>100%</w:t>
            </w:r>
          </w:p>
        </w:tc>
      </w:tr>
    </w:tbl>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3．项目完成进度</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经现场检查财务资料，项目严格按项目进度支付，项目资金预算</w:t>
      </w:r>
      <w:r>
        <w:rPr>
          <w:rFonts w:ascii="Times New Roman" w:hAnsi="Times New Roman" w:eastAsia="仿宋_GB2312"/>
          <w:kern w:val="2"/>
          <w:sz w:val="32"/>
          <w:szCs w:val="32"/>
        </w:rPr>
        <w:t>4.5万元，财政实际下达4.5万元已全部支付。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（二）项目效果</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项目资金按时拨付，保障了项目的正常运行，</w:t>
      </w:r>
      <w:r>
        <w:rPr>
          <w:rFonts w:hint="eastAsia" w:ascii="Times New Roman" w:hAnsi="Times New Roman" w:eastAsia="仿宋_GB2312"/>
          <w:sz w:val="32"/>
          <w:szCs w:val="32"/>
        </w:rPr>
        <w:t>临聘人员</w:t>
      </w:r>
      <w:r>
        <w:rPr>
          <w:rFonts w:hint="eastAsia" w:ascii="Times New Roman" w:hAnsi="Times New Roman" w:eastAsia="仿宋_GB2312"/>
          <w:kern w:val="2"/>
          <w:sz w:val="32"/>
          <w:szCs w:val="32"/>
        </w:rPr>
        <w:t>项目的实施改善了我单位行政作风环境，有效地促进政府工作规范，</w:t>
      </w:r>
      <w:r>
        <w:rPr>
          <w:rFonts w:hint="eastAsia" w:ascii="Times New Roman" w:hAnsi="Times New Roman" w:eastAsia="仿宋_GB2312"/>
          <w:kern w:val="2"/>
          <w:sz w:val="32"/>
          <w:szCs w:val="32"/>
          <w:lang w:eastAsia="zh-CN"/>
        </w:rPr>
        <w:t>依</w:t>
      </w:r>
      <w:r>
        <w:rPr>
          <w:rFonts w:hint="eastAsia" w:ascii="Times New Roman" w:hAnsi="Times New Roman" w:eastAsia="仿宋_GB2312"/>
          <w:kern w:val="2"/>
          <w:sz w:val="32"/>
          <w:szCs w:val="32"/>
        </w:rPr>
        <w:t>法行政、树立良好形象，同时也能较好地维护人民群众的合法利益</w:t>
      </w:r>
      <w:r>
        <w:rPr>
          <w:rFonts w:ascii="Times New Roman" w:hAnsi="Times New Roman" w:eastAsia="仿宋_GB2312"/>
          <w:kern w:val="2"/>
          <w:sz w:val="32"/>
          <w:szCs w:val="32"/>
        </w:rPr>
        <w:t>,为减少矛盾,维护稳定,保障经济健康发展创造了良好的人居环境和生产环境。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三、存在主要问题</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项目实施目标不够具体，根据《四川省项目支出绩效评价指标体系》的评分标准，需对项目目标进行量化。</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根据《四川省项目支出绩效评价指标体系》的评分标准，绩效目标的目标内容包括项目预期提供的产品、服务、效益或其他目标，要针对项目数量、质量、功能、受益群体满意度等提出绩效目标，最后达到目标量化。</w:t>
      </w:r>
    </w:p>
    <w:p>
      <w:pPr>
        <w:pStyle w:val="20"/>
        <w:spacing w:line="560" w:lineRule="exact"/>
        <w:ind w:firstLine="640"/>
        <w:jc w:val="left"/>
        <w:rPr>
          <w:rFonts w:ascii="黑体" w:hAnsi="黑体" w:eastAsia="黑体" w:cs="黑体"/>
          <w:sz w:val="32"/>
          <w:szCs w:val="32"/>
        </w:rPr>
      </w:pPr>
      <w:r>
        <w:rPr>
          <w:rFonts w:ascii="黑体" w:hAnsi="黑体" w:eastAsia="黑体" w:cs="黑体"/>
          <w:sz w:val="32"/>
          <w:szCs w:val="32"/>
        </w:rPr>
        <w:t>四、</w:t>
      </w:r>
      <w:r>
        <w:rPr>
          <w:rFonts w:hint="eastAsia" w:ascii="黑体" w:hAnsi="黑体" w:eastAsia="黑体" w:cs="黑体"/>
          <w:sz w:val="32"/>
          <w:szCs w:val="32"/>
        </w:rPr>
        <w:t>相关措施建议</w:t>
      </w:r>
    </w:p>
    <w:p>
      <w:pPr>
        <w:pStyle w:val="13"/>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1．参考《四川省项目支出绩效评价指标体系》，根据每年项目开展的实际情况，提出明确、合理的目标，制定绩效目标时应对目标进行量化，使项目实施做到科学合理。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2．加强资金管理，规范各项支出。</w:t>
      </w:r>
    </w:p>
    <w:p>
      <w:pPr>
        <w:ind w:firstLine="320" w:firstLineChars="100"/>
        <w:rPr>
          <w:rFonts w:ascii="Times New Roman" w:hAnsi="Times New Roman" w:eastAsia="仿宋_GB2312"/>
          <w:sz w:val="32"/>
          <w:szCs w:val="32"/>
        </w:rPr>
      </w:pPr>
    </w:p>
    <w:p>
      <w:pPr>
        <w:ind w:firstLine="320" w:firstLineChars="100"/>
        <w:rPr>
          <w:rFonts w:ascii="Times New Roman" w:hAnsi="Times New Roman" w:eastAsia="仿宋_GB2312"/>
          <w:sz w:val="32"/>
          <w:szCs w:val="32"/>
        </w:rPr>
      </w:pPr>
    </w:p>
    <w:p>
      <w:pPr>
        <w:numPr>
          <w:ilvl w:val="255"/>
          <w:numId w:val="0"/>
        </w:numPr>
        <w:jc w:val="left"/>
        <w:rPr>
          <w:rStyle w:val="29"/>
          <w:rFonts w:eastAsia="黑体"/>
          <w:b w:val="0"/>
        </w:rPr>
      </w:pPr>
      <w:bookmarkStart w:id="41" w:name="_Toc4943"/>
      <w:r>
        <w:rPr>
          <w:rStyle w:val="29"/>
          <w:rFonts w:eastAsia="黑体"/>
          <w:b w:val="0"/>
        </w:rPr>
        <w:br w:type="page"/>
      </w:r>
    </w:p>
    <w:p>
      <w:pPr>
        <w:spacing w:line="576" w:lineRule="exact"/>
        <w:jc w:val="center"/>
        <w:outlineLvl w:val="0"/>
        <w:rPr>
          <w:rStyle w:val="29"/>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bCs/>
          <w:kern w:val="44"/>
          <w:sz w:val="44"/>
          <w:szCs w:val="44"/>
        </w:rPr>
        <w:t>第五部分</w:t>
      </w:r>
      <w:r>
        <w:rPr>
          <w:rFonts w:ascii="方正小标宋简体" w:hAnsi="方正小标宋简体" w:eastAsia="方正小标宋简体" w:cs="方正小标宋简体"/>
          <w:bCs/>
          <w:kern w:val="44"/>
          <w:sz w:val="44"/>
          <w:szCs w:val="44"/>
        </w:rPr>
        <w:t xml:space="preserve">  </w:t>
      </w:r>
      <w:r>
        <w:rPr>
          <w:rStyle w:val="29"/>
          <w:rFonts w:hint="eastAsia" w:ascii="方正小标宋简体" w:hAnsi="方正小标宋简体" w:eastAsia="方正小标宋简体" w:cs="方正小标宋简体"/>
          <w:b w:val="0"/>
        </w:rPr>
        <w:t>附</w:t>
      </w:r>
      <w:r>
        <w:rPr>
          <w:rStyle w:val="29"/>
          <w:rFonts w:ascii="方正小标宋简体" w:hAnsi="方正小标宋简体" w:eastAsia="方正小标宋简体" w:cs="方正小标宋简体"/>
          <w:b w:val="0"/>
        </w:rPr>
        <w:t xml:space="preserve">  </w:t>
      </w:r>
      <w:r>
        <w:rPr>
          <w:rStyle w:val="29"/>
          <w:rFonts w:hint="eastAsia" w:ascii="方正小标宋简体" w:hAnsi="方正小标宋简体" w:eastAsia="方正小标宋简体" w:cs="方正小标宋简体"/>
          <w:b w:val="0"/>
        </w:rPr>
        <w:t>表</w:t>
      </w:r>
      <w:bookmarkEnd w:id="41"/>
      <w:bookmarkStart w:id="42" w:name="_Toc15396619"/>
    </w:p>
    <w:p>
      <w:pPr>
        <w:spacing w:line="576" w:lineRule="exact"/>
        <w:rPr>
          <w:rStyle w:val="29"/>
          <w:rFonts w:eastAsia="黑体"/>
          <w:b w:val="0"/>
        </w:rPr>
      </w:pPr>
    </w:p>
    <w:bookmarkEnd w:id="42"/>
    <w:tbl>
      <w:tblPr>
        <w:tblStyle w:val="14"/>
        <w:tblW w:w="4801" w:type="dxa"/>
        <w:tblInd w:w="93" w:type="dxa"/>
        <w:tblLayout w:type="autofit"/>
        <w:tblCellMar>
          <w:top w:w="0" w:type="dxa"/>
          <w:left w:w="108" w:type="dxa"/>
          <w:bottom w:w="0" w:type="dxa"/>
          <w:right w:w="108" w:type="dxa"/>
        </w:tblCellMar>
      </w:tblPr>
      <w:tblGrid>
        <w:gridCol w:w="7256"/>
      </w:tblGrid>
      <w:tr>
        <w:tblPrEx>
          <w:tblCellMar>
            <w:top w:w="0" w:type="dxa"/>
            <w:left w:w="108" w:type="dxa"/>
            <w:bottom w:w="0" w:type="dxa"/>
            <w:right w:w="108" w:type="dxa"/>
          </w:tblCellMar>
        </w:tblPrEx>
        <w:trPr>
          <w:trHeight w:val="255" w:hRule="atLeast"/>
        </w:trPr>
        <w:tc>
          <w:tcPr>
            <w:tcW w:w="4800" w:type="dxa"/>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一、收入支出决算总表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二、收入决算表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三、支出决算表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四、财政拨款收入支出决算总表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五、财政拨款支出决算明细表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六、一般公共预算财政拨款支出决算表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七、一般公共预算财政拨款支出决算明细表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八、一般公共预算财政拨款基本支出决算表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九、一般公共预算财政拨款项目支出决算表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十、政府性基金预算财政拨款收入支出决算表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十一、国有资本经营预算财政拨款收入支出决算表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十二、国有资本经营预算财政拨款支出决算表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pStyle w:val="6"/>
              <w:spacing w:before="93"/>
              <w:rPr>
                <w:rFonts w:ascii="Times New Roman" w:hAnsi="Times New Roman"/>
                <w:sz w:val="32"/>
                <w:szCs w:val="32"/>
              </w:rPr>
            </w:pPr>
            <w:r>
              <w:rPr>
                <w:rFonts w:hint="eastAsia" w:ascii="Times New Roman" w:hAnsi="Times New Roman"/>
                <w:sz w:val="32"/>
                <w:szCs w:val="32"/>
              </w:rPr>
              <w:t>十三、财政拨款“三公”经费支出决算表</w:t>
            </w:r>
          </w:p>
        </w:tc>
      </w:tr>
      <w:bookmarkEnd w:id="39"/>
    </w:tbl>
    <w:p>
      <w:pPr>
        <w:rPr>
          <w:rFonts w:ascii="Times New Roman" w:hAnsi="Times New Roman"/>
        </w:rPr>
      </w:pPr>
    </w:p>
    <w:sectPr>
      <w:footerReference r:id="rId5" w:type="default"/>
      <w:pgSz w:w="11906" w:h="16838"/>
      <w:pgMar w:top="2098" w:right="1474" w:bottom="1984" w:left="1587" w:header="851" w:footer="1559"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DD060-C662-4E49-A623-7C16BB078D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78049F02-EF7D-481B-BAA4-AD2AC221711D}"/>
  </w:font>
  <w:font w:name="仿宋">
    <w:panose1 w:val="02010609060101010101"/>
    <w:charset w:val="86"/>
    <w:family w:val="modern"/>
    <w:pitch w:val="default"/>
    <w:sig w:usb0="800002BF" w:usb1="38CF7CFA" w:usb2="00000016" w:usb3="00000000" w:csb0="00040001" w:csb1="00000000"/>
    <w:embedRegular r:id="rId3" w:fontKey="{E6A72104-EA9C-43F8-998B-25022DFAA7A2}"/>
  </w:font>
  <w:font w:name="方正仿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4" w:fontKey="{B772A69E-8D01-48E7-88AC-2F9EC2F19583}"/>
  </w:font>
  <w:font w:name="楷体_GB2312">
    <w:altName w:val="楷体"/>
    <w:panose1 w:val="00000000000000000000"/>
    <w:charset w:val="86"/>
    <w:family w:val="auto"/>
    <w:pitch w:val="default"/>
    <w:sig w:usb0="00000000" w:usb1="00000000" w:usb2="00000000" w:usb3="00000000" w:csb0="00040000" w:csb1="00000000"/>
    <w:embedRegular r:id="rId5" w:fontKey="{C5593806-CF91-4540-9447-0FF10C5DD55B}"/>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848CB600-84DF-4D9E-B49B-521F00C8E3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5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592"/>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40</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40</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671B"/>
    <w:multiLevelType w:val="singleLevel"/>
    <w:tmpl w:val="20C1671B"/>
    <w:lvl w:ilvl="0" w:tentative="0">
      <w:start w:val="1"/>
      <w:numFmt w:val="decimal"/>
      <w:pStyle w:val="5"/>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A41BED"/>
    <w:rsid w:val="00017B35"/>
    <w:rsid w:val="000D6C15"/>
    <w:rsid w:val="000F2878"/>
    <w:rsid w:val="001360E5"/>
    <w:rsid w:val="001533AC"/>
    <w:rsid w:val="001A707D"/>
    <w:rsid w:val="001B6F80"/>
    <w:rsid w:val="002112B6"/>
    <w:rsid w:val="00217185"/>
    <w:rsid w:val="0022772F"/>
    <w:rsid w:val="002327CC"/>
    <w:rsid w:val="00233C37"/>
    <w:rsid w:val="00294334"/>
    <w:rsid w:val="002B55EB"/>
    <w:rsid w:val="002F5A1B"/>
    <w:rsid w:val="00313D07"/>
    <w:rsid w:val="00335AE0"/>
    <w:rsid w:val="003467CC"/>
    <w:rsid w:val="003561A0"/>
    <w:rsid w:val="003A6610"/>
    <w:rsid w:val="003B59F1"/>
    <w:rsid w:val="004174FD"/>
    <w:rsid w:val="004741AB"/>
    <w:rsid w:val="00481210"/>
    <w:rsid w:val="004E3970"/>
    <w:rsid w:val="005177B3"/>
    <w:rsid w:val="00543EC8"/>
    <w:rsid w:val="005C5A2A"/>
    <w:rsid w:val="00682EA5"/>
    <w:rsid w:val="006A2F4D"/>
    <w:rsid w:val="007B4797"/>
    <w:rsid w:val="00855BAF"/>
    <w:rsid w:val="00890AA7"/>
    <w:rsid w:val="008D3809"/>
    <w:rsid w:val="008F1A20"/>
    <w:rsid w:val="009953F9"/>
    <w:rsid w:val="009F51E7"/>
    <w:rsid w:val="00A370A8"/>
    <w:rsid w:val="00A41BED"/>
    <w:rsid w:val="00A900E6"/>
    <w:rsid w:val="00AE65DE"/>
    <w:rsid w:val="00B270F1"/>
    <w:rsid w:val="00B47CDA"/>
    <w:rsid w:val="00C037E1"/>
    <w:rsid w:val="00C04BE7"/>
    <w:rsid w:val="00C12DE3"/>
    <w:rsid w:val="00C937A5"/>
    <w:rsid w:val="00CD4E4F"/>
    <w:rsid w:val="00D24B63"/>
    <w:rsid w:val="00DA747E"/>
    <w:rsid w:val="00E1070C"/>
    <w:rsid w:val="00E4188B"/>
    <w:rsid w:val="00E72CFE"/>
    <w:rsid w:val="00E86E5A"/>
    <w:rsid w:val="00EB1016"/>
    <w:rsid w:val="00EC73DB"/>
    <w:rsid w:val="00ED77E5"/>
    <w:rsid w:val="00EE5174"/>
    <w:rsid w:val="021B1471"/>
    <w:rsid w:val="0231002F"/>
    <w:rsid w:val="02B872FD"/>
    <w:rsid w:val="02C24C9D"/>
    <w:rsid w:val="04003C23"/>
    <w:rsid w:val="042D255E"/>
    <w:rsid w:val="04327DB8"/>
    <w:rsid w:val="061C1704"/>
    <w:rsid w:val="064F093B"/>
    <w:rsid w:val="06596A94"/>
    <w:rsid w:val="066030AA"/>
    <w:rsid w:val="06865F27"/>
    <w:rsid w:val="06FD682D"/>
    <w:rsid w:val="0741482C"/>
    <w:rsid w:val="07784AE7"/>
    <w:rsid w:val="079900AB"/>
    <w:rsid w:val="07AF5C82"/>
    <w:rsid w:val="083957B9"/>
    <w:rsid w:val="08886505"/>
    <w:rsid w:val="097F6870"/>
    <w:rsid w:val="0A172EE2"/>
    <w:rsid w:val="0A1945FF"/>
    <w:rsid w:val="0AAF1CB3"/>
    <w:rsid w:val="0B100BEF"/>
    <w:rsid w:val="0B18666F"/>
    <w:rsid w:val="0B353811"/>
    <w:rsid w:val="0C0C55E8"/>
    <w:rsid w:val="0C115DA8"/>
    <w:rsid w:val="0C1E2E71"/>
    <w:rsid w:val="0D2B7F62"/>
    <w:rsid w:val="0DD5003B"/>
    <w:rsid w:val="0E692E0B"/>
    <w:rsid w:val="0E714CC8"/>
    <w:rsid w:val="0E753A38"/>
    <w:rsid w:val="0ED7040F"/>
    <w:rsid w:val="0F4517BB"/>
    <w:rsid w:val="0FE12FC2"/>
    <w:rsid w:val="0FE72BEA"/>
    <w:rsid w:val="101D127C"/>
    <w:rsid w:val="1079390F"/>
    <w:rsid w:val="10B4760B"/>
    <w:rsid w:val="110C5584"/>
    <w:rsid w:val="112453F4"/>
    <w:rsid w:val="11FA13B1"/>
    <w:rsid w:val="11FC0FAC"/>
    <w:rsid w:val="121229E1"/>
    <w:rsid w:val="127F57FD"/>
    <w:rsid w:val="12BA3E6D"/>
    <w:rsid w:val="12C166E0"/>
    <w:rsid w:val="12ED7FB3"/>
    <w:rsid w:val="139D5626"/>
    <w:rsid w:val="141D28E0"/>
    <w:rsid w:val="148461AA"/>
    <w:rsid w:val="15CA32A0"/>
    <w:rsid w:val="162153B9"/>
    <w:rsid w:val="168E516C"/>
    <w:rsid w:val="16AD725D"/>
    <w:rsid w:val="16CB61AB"/>
    <w:rsid w:val="17315514"/>
    <w:rsid w:val="17C543F3"/>
    <w:rsid w:val="18383169"/>
    <w:rsid w:val="1851761A"/>
    <w:rsid w:val="1864706C"/>
    <w:rsid w:val="18E0046A"/>
    <w:rsid w:val="18F26A75"/>
    <w:rsid w:val="18F850A6"/>
    <w:rsid w:val="191C02F1"/>
    <w:rsid w:val="19DE19AB"/>
    <w:rsid w:val="1A585451"/>
    <w:rsid w:val="1A6C0332"/>
    <w:rsid w:val="1B840C55"/>
    <w:rsid w:val="1CDE7EC3"/>
    <w:rsid w:val="1CEA73D5"/>
    <w:rsid w:val="1CF17F8F"/>
    <w:rsid w:val="1DA566DB"/>
    <w:rsid w:val="1DE44C31"/>
    <w:rsid w:val="1DF274A3"/>
    <w:rsid w:val="1F0A01E3"/>
    <w:rsid w:val="1FA1178F"/>
    <w:rsid w:val="20081891"/>
    <w:rsid w:val="204E190C"/>
    <w:rsid w:val="21592161"/>
    <w:rsid w:val="223E3E3C"/>
    <w:rsid w:val="226F3FF6"/>
    <w:rsid w:val="22981C8A"/>
    <w:rsid w:val="22D8603F"/>
    <w:rsid w:val="22D86556"/>
    <w:rsid w:val="230C03A4"/>
    <w:rsid w:val="241D6CD3"/>
    <w:rsid w:val="248C2CCF"/>
    <w:rsid w:val="250255F5"/>
    <w:rsid w:val="25C428AA"/>
    <w:rsid w:val="2617284F"/>
    <w:rsid w:val="26726A99"/>
    <w:rsid w:val="26E05EF3"/>
    <w:rsid w:val="273E0E93"/>
    <w:rsid w:val="27DB3EDB"/>
    <w:rsid w:val="280478D6"/>
    <w:rsid w:val="280E1290"/>
    <w:rsid w:val="288758E7"/>
    <w:rsid w:val="28CD28B7"/>
    <w:rsid w:val="292C144E"/>
    <w:rsid w:val="298B6F5F"/>
    <w:rsid w:val="2A3337B7"/>
    <w:rsid w:val="2A594E6E"/>
    <w:rsid w:val="2AA57F13"/>
    <w:rsid w:val="2ADC2444"/>
    <w:rsid w:val="2B0025D7"/>
    <w:rsid w:val="2B054173"/>
    <w:rsid w:val="2B3F747D"/>
    <w:rsid w:val="2C1C6F4D"/>
    <w:rsid w:val="2C85550B"/>
    <w:rsid w:val="2CAC1558"/>
    <w:rsid w:val="2CB2323A"/>
    <w:rsid w:val="2D174D10"/>
    <w:rsid w:val="2D8F5E4F"/>
    <w:rsid w:val="2DB23A1A"/>
    <w:rsid w:val="2E0B706C"/>
    <w:rsid w:val="2E4610C5"/>
    <w:rsid w:val="2EAC1FF6"/>
    <w:rsid w:val="2EE81141"/>
    <w:rsid w:val="30817D16"/>
    <w:rsid w:val="30D45CC6"/>
    <w:rsid w:val="311F308B"/>
    <w:rsid w:val="316805E1"/>
    <w:rsid w:val="31754A04"/>
    <w:rsid w:val="31895BC1"/>
    <w:rsid w:val="31C36008"/>
    <w:rsid w:val="3220355E"/>
    <w:rsid w:val="322437A6"/>
    <w:rsid w:val="32445100"/>
    <w:rsid w:val="32B1515E"/>
    <w:rsid w:val="32EB3A86"/>
    <w:rsid w:val="3340306E"/>
    <w:rsid w:val="339C3CE5"/>
    <w:rsid w:val="34493D58"/>
    <w:rsid w:val="355E34EB"/>
    <w:rsid w:val="35927669"/>
    <w:rsid w:val="35CC2AA3"/>
    <w:rsid w:val="365645AD"/>
    <w:rsid w:val="367520FA"/>
    <w:rsid w:val="367A0699"/>
    <w:rsid w:val="36CB3D28"/>
    <w:rsid w:val="37831EE7"/>
    <w:rsid w:val="384B0133"/>
    <w:rsid w:val="39167387"/>
    <w:rsid w:val="39981987"/>
    <w:rsid w:val="3A1A2DAF"/>
    <w:rsid w:val="3AC662EA"/>
    <w:rsid w:val="3B164F65"/>
    <w:rsid w:val="3B695A4C"/>
    <w:rsid w:val="3B9662BA"/>
    <w:rsid w:val="3C1D2032"/>
    <w:rsid w:val="3CA75EAC"/>
    <w:rsid w:val="3D38109C"/>
    <w:rsid w:val="3E65064E"/>
    <w:rsid w:val="3E9F09FB"/>
    <w:rsid w:val="3EA25060"/>
    <w:rsid w:val="3EC23058"/>
    <w:rsid w:val="3F0B4B16"/>
    <w:rsid w:val="3F1347F4"/>
    <w:rsid w:val="3F177CE0"/>
    <w:rsid w:val="3F20114F"/>
    <w:rsid w:val="3F793746"/>
    <w:rsid w:val="408A3DD8"/>
    <w:rsid w:val="41F9457B"/>
    <w:rsid w:val="41FA461E"/>
    <w:rsid w:val="4213148C"/>
    <w:rsid w:val="421C3167"/>
    <w:rsid w:val="422229DB"/>
    <w:rsid w:val="423F7FC0"/>
    <w:rsid w:val="42577309"/>
    <w:rsid w:val="429F7971"/>
    <w:rsid w:val="42A31D6D"/>
    <w:rsid w:val="42AC2964"/>
    <w:rsid w:val="42BF416F"/>
    <w:rsid w:val="43A2307E"/>
    <w:rsid w:val="43BB0C28"/>
    <w:rsid w:val="44385B1F"/>
    <w:rsid w:val="444360F3"/>
    <w:rsid w:val="446C42DD"/>
    <w:rsid w:val="44986F84"/>
    <w:rsid w:val="46541381"/>
    <w:rsid w:val="47961EA1"/>
    <w:rsid w:val="47ED0A5B"/>
    <w:rsid w:val="48B270C6"/>
    <w:rsid w:val="495A6EFE"/>
    <w:rsid w:val="49753626"/>
    <w:rsid w:val="49DB1F32"/>
    <w:rsid w:val="4A6D2636"/>
    <w:rsid w:val="4B341A04"/>
    <w:rsid w:val="4B6F563A"/>
    <w:rsid w:val="4BD478C1"/>
    <w:rsid w:val="4C4625AC"/>
    <w:rsid w:val="4DB27309"/>
    <w:rsid w:val="4DD3352C"/>
    <w:rsid w:val="4E0B5254"/>
    <w:rsid w:val="4E4E112E"/>
    <w:rsid w:val="4FBE650E"/>
    <w:rsid w:val="50570D1F"/>
    <w:rsid w:val="508273B9"/>
    <w:rsid w:val="50F00906"/>
    <w:rsid w:val="514F4E55"/>
    <w:rsid w:val="51E52B06"/>
    <w:rsid w:val="527C0A42"/>
    <w:rsid w:val="52995F82"/>
    <w:rsid w:val="52B87B64"/>
    <w:rsid w:val="54A46818"/>
    <w:rsid w:val="55201A63"/>
    <w:rsid w:val="560A5808"/>
    <w:rsid w:val="56C22ED7"/>
    <w:rsid w:val="577D4497"/>
    <w:rsid w:val="58402C8D"/>
    <w:rsid w:val="59133E27"/>
    <w:rsid w:val="591F4D02"/>
    <w:rsid w:val="59381406"/>
    <w:rsid w:val="596325F7"/>
    <w:rsid w:val="598D4E92"/>
    <w:rsid w:val="59F16B2D"/>
    <w:rsid w:val="59F450D4"/>
    <w:rsid w:val="5A8C05C6"/>
    <w:rsid w:val="5BE1496E"/>
    <w:rsid w:val="5C1B0A57"/>
    <w:rsid w:val="5C2E2250"/>
    <w:rsid w:val="5C2E7413"/>
    <w:rsid w:val="5C540A2E"/>
    <w:rsid w:val="5D9E3BC1"/>
    <w:rsid w:val="5DAB37BF"/>
    <w:rsid w:val="5DC34EDD"/>
    <w:rsid w:val="5EC416ED"/>
    <w:rsid w:val="5F223539"/>
    <w:rsid w:val="5F700BF9"/>
    <w:rsid w:val="5F8340D3"/>
    <w:rsid w:val="5FB1711E"/>
    <w:rsid w:val="6004695C"/>
    <w:rsid w:val="60B36EBF"/>
    <w:rsid w:val="6124783C"/>
    <w:rsid w:val="617D20E0"/>
    <w:rsid w:val="61AC4C69"/>
    <w:rsid w:val="61D5719A"/>
    <w:rsid w:val="62352B71"/>
    <w:rsid w:val="62CC631F"/>
    <w:rsid w:val="62D90EC5"/>
    <w:rsid w:val="62F009B5"/>
    <w:rsid w:val="64256284"/>
    <w:rsid w:val="6496460F"/>
    <w:rsid w:val="6519611E"/>
    <w:rsid w:val="655544D6"/>
    <w:rsid w:val="65750EF0"/>
    <w:rsid w:val="65C750A6"/>
    <w:rsid w:val="65FA622E"/>
    <w:rsid w:val="6629526D"/>
    <w:rsid w:val="66D43D76"/>
    <w:rsid w:val="66E567C9"/>
    <w:rsid w:val="66F209E4"/>
    <w:rsid w:val="6729574E"/>
    <w:rsid w:val="68146291"/>
    <w:rsid w:val="682041EA"/>
    <w:rsid w:val="68580AF2"/>
    <w:rsid w:val="68790CF7"/>
    <w:rsid w:val="692D201B"/>
    <w:rsid w:val="6AE508C6"/>
    <w:rsid w:val="6BB006E3"/>
    <w:rsid w:val="6BD63F55"/>
    <w:rsid w:val="6BF344DF"/>
    <w:rsid w:val="6DCF41E3"/>
    <w:rsid w:val="6E077745"/>
    <w:rsid w:val="6F062BB9"/>
    <w:rsid w:val="6F5D32A0"/>
    <w:rsid w:val="6F6B4D60"/>
    <w:rsid w:val="6FC55BD1"/>
    <w:rsid w:val="6FF06817"/>
    <w:rsid w:val="701706B8"/>
    <w:rsid w:val="70AD723C"/>
    <w:rsid w:val="719164EF"/>
    <w:rsid w:val="71A51651"/>
    <w:rsid w:val="71F76539"/>
    <w:rsid w:val="722647B3"/>
    <w:rsid w:val="73E72609"/>
    <w:rsid w:val="73F52377"/>
    <w:rsid w:val="74232937"/>
    <w:rsid w:val="758E6B93"/>
    <w:rsid w:val="75A213EC"/>
    <w:rsid w:val="765661D4"/>
    <w:rsid w:val="77161E07"/>
    <w:rsid w:val="77DA3A4B"/>
    <w:rsid w:val="781C1D8D"/>
    <w:rsid w:val="788F4D15"/>
    <w:rsid w:val="7A7007FA"/>
    <w:rsid w:val="7AA91A0D"/>
    <w:rsid w:val="7ACD289A"/>
    <w:rsid w:val="7BB173DE"/>
    <w:rsid w:val="7C3F4E72"/>
    <w:rsid w:val="7C690A14"/>
    <w:rsid w:val="7DD95F7A"/>
    <w:rsid w:val="7DED5DED"/>
    <w:rsid w:val="7E745D91"/>
    <w:rsid w:val="7E801FD1"/>
    <w:rsid w:val="7E8835EA"/>
    <w:rsid w:val="7F342A2C"/>
    <w:rsid w:val="7F3A52D5"/>
    <w:rsid w:val="7F8508AD"/>
    <w:rsid w:val="7F8A7CBF"/>
    <w:rsid w:val="7F91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style>
  <w:style w:type="paragraph" w:styleId="5">
    <w:name w:val="List Number"/>
    <w:basedOn w:val="1"/>
    <w:qFormat/>
    <w:uiPriority w:val="0"/>
    <w:pPr>
      <w:numPr>
        <w:ilvl w:val="0"/>
        <w:numId w:val="1"/>
      </w:numPr>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toc 8"/>
    <w:basedOn w:val="1"/>
    <w:next w:val="1"/>
    <w:qFormat/>
    <w:uiPriority w:val="0"/>
    <w:pPr>
      <w:ind w:left="2940"/>
    </w:pPr>
  </w:style>
  <w:style w:type="paragraph" w:styleId="8">
    <w:name w:val="Balloon Text"/>
    <w:basedOn w:val="1"/>
    <w:link w:val="3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jc w:val="left"/>
    </w:pPr>
    <w:rPr>
      <w:kern w:val="0"/>
      <w:sz w:val="24"/>
    </w:rPr>
  </w:style>
  <w:style w:type="character" w:styleId="16">
    <w:name w:val="Strong"/>
    <w:basedOn w:val="15"/>
    <w:qFormat/>
    <w:uiPriority w:val="22"/>
    <w:rPr>
      <w:b/>
      <w:bCs/>
    </w:rPr>
  </w:style>
  <w:style w:type="paragraph" w:customStyle="1" w:styleId="17">
    <w:name w:val="常用样式（方正仿宋简）"/>
    <w:basedOn w:val="1"/>
    <w:next w:val="7"/>
    <w:qFormat/>
    <w:uiPriority w:val="99"/>
    <w:pPr>
      <w:spacing w:line="560" w:lineRule="exact"/>
      <w:ind w:firstLine="640" w:firstLineChars="200"/>
    </w:pPr>
    <w:rPr>
      <w:rFonts w:eastAsia="方正仿宋简体"/>
      <w:sz w:val="32"/>
    </w:rPr>
  </w:style>
  <w:style w:type="paragraph" w:customStyle="1" w:styleId="18">
    <w:name w:val="章标题"/>
    <w:basedOn w:val="1"/>
    <w:next w:val="19"/>
    <w:qFormat/>
    <w:uiPriority w:val="99"/>
    <w:pPr>
      <w:widowControl/>
      <w:spacing w:before="158" w:after="153" w:line="323" w:lineRule="atLeast"/>
      <w:ind w:right="-120"/>
      <w:jc w:val="left"/>
      <w:textAlignment w:val="baseline"/>
    </w:pPr>
    <w:rPr>
      <w:rFonts w:eastAsia="仿宋_GB2312"/>
      <w:color w:val="000000"/>
      <w:sz w:val="32"/>
    </w:rPr>
  </w:style>
  <w:style w:type="paragraph" w:customStyle="1" w:styleId="19">
    <w:name w:val="节标题"/>
    <w:basedOn w:val="1"/>
    <w:next w:val="1"/>
    <w:qFormat/>
    <w:uiPriority w:val="99"/>
    <w:pPr>
      <w:widowControl/>
      <w:spacing w:line="289" w:lineRule="atLeast"/>
      <w:jc w:val="center"/>
      <w:textAlignment w:val="baseline"/>
    </w:pPr>
    <w:rPr>
      <w:color w:val="000000"/>
      <w:sz w:val="28"/>
    </w:rPr>
  </w:style>
  <w:style w:type="paragraph" w:styleId="20">
    <w:name w:val="List Paragraph"/>
    <w:basedOn w:val="1"/>
    <w:qFormat/>
    <w:uiPriority w:val="34"/>
    <w:pPr>
      <w:ind w:firstLine="420" w:firstLineChars="200"/>
    </w:pPr>
  </w:style>
  <w:style w:type="character" w:customStyle="1" w:styleId="21">
    <w:name w:val="标题 1 Char"/>
    <w:basedOn w:val="15"/>
    <w:qFormat/>
    <w:uiPriority w:val="9"/>
    <w:rPr>
      <w:b/>
      <w:bCs/>
      <w:kern w:val="44"/>
      <w:sz w:val="44"/>
      <w:szCs w:val="44"/>
    </w:rPr>
  </w:style>
  <w:style w:type="character" w:customStyle="1" w:styleId="22">
    <w:name w:val="标题 2 Char"/>
    <w:basedOn w:val="15"/>
    <w:qFormat/>
    <w:uiPriority w:val="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4">
    <w:name w:val="标题 2 Char1"/>
    <w:link w:val="4"/>
    <w:qFormat/>
    <w:locked/>
    <w:uiPriority w:val="9"/>
    <w:rPr>
      <w:rFonts w:ascii="Cambria" w:hAnsi="Cambria"/>
      <w:b/>
      <w:bCs/>
      <w:sz w:val="32"/>
      <w:szCs w:val="32"/>
    </w:rPr>
  </w:style>
  <w:style w:type="character" w:customStyle="1" w:styleId="25">
    <w:name w:val="bjh-p"/>
    <w:qFormat/>
    <w:uiPriority w:val="0"/>
  </w:style>
  <w:style w:type="character" w:customStyle="1" w:styleId="26">
    <w:name w:val="NormalCharacter"/>
    <w:semiHidden/>
    <w:qFormat/>
    <w:uiPriority w:val="0"/>
    <w:rPr>
      <w:rFonts w:ascii="等线" w:hAnsi="等线" w:eastAsia="等线" w:cs="Times New Roman"/>
      <w:kern w:val="2"/>
      <w:sz w:val="21"/>
      <w:szCs w:val="22"/>
      <w:lang w:val="en-US" w:eastAsia="zh-CN" w:bidi="ar-SA"/>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9">
    <w:name w:val="标题 1 Char1"/>
    <w:basedOn w:val="15"/>
    <w:link w:val="3"/>
    <w:qFormat/>
    <w:locked/>
    <w:uiPriority w:val="9"/>
    <w:rPr>
      <w:rFonts w:ascii="Times New Roman" w:hAnsi="Times New Roman" w:cs="Times New Roman"/>
      <w:b/>
      <w:bCs/>
      <w:kern w:val="44"/>
      <w:sz w:val="44"/>
      <w:szCs w:val="44"/>
    </w:rPr>
  </w:style>
  <w:style w:type="character" w:customStyle="1" w:styleId="30">
    <w:name w:val="批注框文本 Char"/>
    <w:basedOn w:val="15"/>
    <w:link w:val="8"/>
    <w:qFormat/>
    <w:uiPriority w:val="0"/>
    <w:rPr>
      <w:rFonts w:ascii="Calibri" w:hAnsi="Calibri"/>
      <w:kern w:val="2"/>
      <w:sz w:val="18"/>
      <w:szCs w:val="18"/>
    </w:rPr>
  </w:style>
  <w:style w:type="paragraph" w:customStyle="1" w:styleId="31">
    <w:name w:val="修订1"/>
    <w:hidden/>
    <w:unhideWhenUsed/>
    <w:qFormat/>
    <w:uiPriority w:val="99"/>
    <w:rPr>
      <w:rFonts w:ascii="Calibri" w:hAnsi="Calibri" w:eastAsia="宋体" w:cs="Times New Roman"/>
      <w:kern w:val="2"/>
      <w:sz w:val="21"/>
      <w:szCs w:val="24"/>
      <w:lang w:val="en-US" w:eastAsia="zh-CN" w:bidi="ar-SA"/>
    </w:rPr>
  </w:style>
  <w:style w:type="character" w:customStyle="1" w:styleId="32">
    <w:name w:val="页眉 Char"/>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年收、支决算总计情况变动图</a:t>
            </a:r>
            <a:endParaRPr lang="zh-CN" altLang="en-US"/>
          </a:p>
        </c:rich>
      </c:tx>
      <c:layout/>
      <c:overlay val="0"/>
      <c:spPr>
        <a:noFill/>
        <a:ln>
          <a:noFill/>
        </a:ln>
        <a:effectLst/>
      </c:spPr>
    </c:title>
    <c:autoTitleDeleted val="0"/>
    <c:plotArea>
      <c:layout>
        <c:manualLayout>
          <c:layoutTarget val="inner"/>
          <c:xMode val="edge"/>
          <c:yMode val="edge"/>
          <c:x val="0.0466532802084583"/>
          <c:y val="0.295408062930187"/>
          <c:w val="0.902816839154127"/>
          <c:h val="0.592022756005057"/>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1"/>
                </a:solidFill>
                <a:prstDash val="sysDot"/>
                <a:round/>
              </a:ln>
              <a:effectLst/>
            </c:spPr>
            <c:trendlineType val="linear"/>
            <c:dispRSqr val="0"/>
            <c:dispEq val="0"/>
          </c:trendline>
          <c:cat>
            <c:strRef>
              <c:f>Sheet1!$A$2:$A$3</c:f>
              <c:strCache>
                <c:ptCount val="2"/>
                <c:pt idx="0">
                  <c:v>2021年财政收入总计</c:v>
                </c:pt>
                <c:pt idx="1">
                  <c:v>2022年财政收入总计</c:v>
                </c:pt>
              </c:strCache>
            </c:strRef>
          </c:cat>
          <c:val>
            <c:numRef>
              <c:f>Sheet1!$B$2:$B$3</c:f>
              <c:numCache>
                <c:formatCode>General</c:formatCode>
                <c:ptCount val="2"/>
                <c:pt idx="0">
                  <c:v>355.43</c:v>
                </c:pt>
                <c:pt idx="1">
                  <c:v>281.53</c:v>
                </c:pt>
              </c:numCache>
            </c:numRef>
          </c:val>
        </c:ser>
        <c:dLbls>
          <c:showLegendKey val="0"/>
          <c:showVal val="0"/>
          <c:showCatName val="0"/>
          <c:showSerName val="0"/>
          <c:showPercent val="0"/>
          <c:showBubbleSize val="0"/>
        </c:dLbls>
        <c:gapWidth val="219"/>
        <c:overlap val="-27"/>
        <c:axId val="67738240"/>
        <c:axId val="67748224"/>
      </c:barChart>
      <c:catAx>
        <c:axId val="677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748224"/>
        <c:crosses val="autoZero"/>
        <c:auto val="1"/>
        <c:lblAlgn val="ctr"/>
        <c:lblOffset val="0"/>
        <c:tickMarkSkip val="10"/>
        <c:noMultiLvlLbl val="0"/>
      </c:catAx>
      <c:valAx>
        <c:axId val="67748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738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2022</a:t>
            </a:r>
            <a:r>
              <a:rPr lang="zh-CN" altLang="en-US"/>
              <a:t>年公共预算拨款收入</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250.73</a:t>
                    </a:r>
                    <a:r>
                      <a:rPr lang="zh-CN" altLang="en-US"/>
                      <a:t>万元</a:t>
                    </a:r>
                    <a:r>
                      <a:rPr lang="en-US" altLang="zh-CN"/>
                      <a:t>, 89.06%</a:t>
                    </a:r>
                    <a:endParaRPr lang="en-US" altLang="zh-CN"/>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013125"/>
                  <c:y val="0.0092024539877300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30.8</a:t>
                    </a:r>
                    <a:r>
                      <a:rPr lang="zh-CN" altLang="en-US"/>
                      <a:t>万元</a:t>
                    </a:r>
                    <a:r>
                      <a:rPr lang="en-US" altLang="zh-CN"/>
                      <a:t>, </a:t>
                    </a:r>
                    <a:r>
                      <a:rPr lang="zh-CN" altLang="en-US"/>
                      <a:t>  </a:t>
                    </a:r>
                    <a:r>
                      <a:rPr lang="en-US" altLang="zh-CN"/>
                      <a:t>1</a:t>
                    </a:r>
                    <a:r>
                      <a:rPr lang="zh-CN" altLang="en-US"/>
                      <a:t> </a:t>
                    </a:r>
                    <a:r>
                      <a:rPr lang="en-US" altLang="zh-CN"/>
                      <a:t>0.94%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145"/>
                      <c:h val="0.110838445807771"/>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财政拨款收入</c:v>
                </c:pt>
                <c:pt idx="1">
                  <c:v>政府基金收入</c:v>
                </c:pt>
              </c:strCache>
            </c:strRef>
          </c:cat>
          <c:val>
            <c:numRef>
              <c:f>Sheet1!$B$2:$B$3</c:f>
              <c:numCache>
                <c:formatCode>General</c:formatCode>
                <c:ptCount val="2"/>
                <c:pt idx="0">
                  <c:v>250.73</c:v>
                </c:pt>
                <c:pt idx="1">
                  <c:v>30.8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a:t>2022</a:t>
            </a:r>
            <a:r>
              <a:rPr lang="zh-CN" altLang="en-US"/>
              <a:t>年公共财政决算支出统计</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2021年公共财政预算支出统计</c:v>
                </c:pt>
              </c:strCache>
            </c:strRef>
          </c:tx>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a:solidFill>
                          <a:schemeClr val="tx1"/>
                        </a:solidFill>
                      </a:rPr>
                      <a:t>59.28</a:t>
                    </a:r>
                    <a:r>
                      <a:rPr lang="zh-CN" altLang="en-US">
                        <a:solidFill>
                          <a:schemeClr val="tx1"/>
                        </a:solidFill>
                      </a:rPr>
                      <a:t>万元，</a:t>
                    </a:r>
                    <a:r>
                      <a:rPr lang="en-US" altLang="zh-CN">
                        <a:solidFill>
                          <a:schemeClr val="tx1"/>
                        </a:solidFill>
                      </a:rPr>
                      <a:t>21.51%</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r>
                      <a:rPr lang="en-US" altLang="zh-CN">
                        <a:solidFill>
                          <a:schemeClr val="tx1"/>
                        </a:solidFill>
                      </a:rPr>
                      <a:t>222.25</a:t>
                    </a:r>
                    <a:r>
                      <a:rPr lang="zh-CN" altLang="en-US">
                        <a:solidFill>
                          <a:schemeClr val="tx1"/>
                        </a:solidFill>
                      </a:rPr>
                      <a:t>万元，</a:t>
                    </a:r>
                    <a:r>
                      <a:rPr lang="en-US" altLang="zh-CN">
                        <a:solidFill>
                          <a:schemeClr val="tx1"/>
                        </a:solidFill>
                      </a:rPr>
                      <a:t>83.16%</a:t>
                    </a:r>
                    <a:endParaRPr lang="en-US" altLang="zh-CN">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1"/>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59.84</c:v>
                </c:pt>
                <c:pt idx="1">
                  <c:v>295.6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accent4">
        <a:lumMod val="60000"/>
        <a:lumOff val="40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2022</a:t>
            </a:r>
            <a:r>
              <a:rPr lang="zh-CN" altLang="en-US"/>
              <a:t>年收入支出决算总体统计</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2022年收入支出决算总体统计</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2021年收、支</c:v>
                </c:pt>
                <c:pt idx="1">
                  <c:v>2022年收、支</c:v>
                </c:pt>
              </c:strCache>
            </c:strRef>
          </c:cat>
          <c:val>
            <c:numRef>
              <c:f>Sheet1!$B$2:$B$3</c:f>
              <c:numCache>
                <c:formatCode>General</c:formatCode>
                <c:ptCount val="2"/>
                <c:pt idx="0">
                  <c:v>355.43</c:v>
                </c:pt>
                <c:pt idx="1">
                  <c:v>281.53</c:v>
                </c:pt>
              </c:numCache>
            </c:numRef>
          </c:val>
        </c:ser>
        <c:dLbls>
          <c:showLegendKey val="0"/>
          <c:showVal val="1"/>
          <c:showCatName val="0"/>
          <c:showSerName val="0"/>
          <c:showPercent val="0"/>
          <c:showBubbleSize val="0"/>
        </c:dLbls>
        <c:gapWidth val="65"/>
        <c:axId val="68504192"/>
        <c:axId val="68511232"/>
      </c:barChart>
      <c:catAx>
        <c:axId val="68504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68511232"/>
        <c:crosses val="autoZero"/>
        <c:auto val="1"/>
        <c:lblAlgn val="ctr"/>
        <c:lblOffset val="100"/>
        <c:noMultiLvlLbl val="0"/>
      </c:catAx>
      <c:valAx>
        <c:axId val="685112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504192"/>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2022</a:t>
            </a:r>
            <a:r>
              <a:rPr lang="zh-CN" altLang="en-US"/>
              <a:t>年一般公共预算财政支出决算结构情况</a:t>
            </a:r>
            <a:endParaRPr lang="zh-CN" altLang="en-US"/>
          </a:p>
        </c:rich>
      </c:tx>
      <c:layout/>
      <c:overlay val="0"/>
      <c:spPr>
        <a:noFill/>
        <a:ln>
          <a:noFill/>
        </a:ln>
        <a:effectLst/>
      </c:spPr>
    </c:title>
    <c:autoTitleDeleted val="0"/>
    <c:plotArea>
      <c:layout/>
      <c:pieChart>
        <c:varyColors val="1"/>
        <c:ser>
          <c:idx val="0"/>
          <c:order val="0"/>
          <c:spPr>
            <a:solidFill>
              <a:srgbClr val="63B1EF">
                <a:alpha val="67000"/>
              </a:srgbClr>
            </a:solidFill>
            <a:ln w="19050" cap="rnd">
              <a:noFill/>
              <a:round/>
            </a:ln>
            <a:effectLst/>
          </c:spPr>
          <c:explosion val="0"/>
          <c:dPt>
            <c:idx val="0"/>
            <c:bubble3D val="0"/>
            <c:spPr>
              <a:solidFill>
                <a:srgbClr val="63B1EF">
                  <a:alpha val="67000"/>
                </a:srgbClr>
              </a:solidFill>
              <a:ln w="19050" cap="rnd">
                <a:noFill/>
                <a:round/>
              </a:ln>
              <a:effectLst/>
            </c:spPr>
          </c:dPt>
          <c:dPt>
            <c:idx val="1"/>
            <c:bubble3D val="0"/>
            <c:spPr>
              <a:solidFill>
                <a:srgbClr val="75D890">
                  <a:alpha val="67000"/>
                </a:srgbClr>
              </a:solidFill>
              <a:ln w="19050" cap="rnd">
                <a:noFill/>
                <a:round/>
              </a:ln>
              <a:effectLst/>
            </c:spPr>
          </c:dPt>
          <c:dPt>
            <c:idx val="2"/>
            <c:bubble3D val="0"/>
            <c:spPr>
              <a:solidFill>
                <a:srgbClr val="FB7E72">
                  <a:alpha val="67000"/>
                </a:srgbClr>
              </a:solidFill>
              <a:ln w="19050" cap="rnd">
                <a:noFill/>
                <a:round/>
              </a:ln>
              <a:effectLst/>
            </c:spPr>
          </c:dPt>
          <c:dPt>
            <c:idx val="3"/>
            <c:bubble3D val="0"/>
            <c:spPr>
              <a:solidFill>
                <a:srgbClr val="F8AC41">
                  <a:alpha val="67000"/>
                </a:srgbClr>
              </a:solidFill>
              <a:ln w="19050" cap="rnd">
                <a:noFill/>
                <a:round/>
              </a:ln>
              <a:effectLst/>
            </c:spPr>
          </c:dPt>
          <c:dPt>
            <c:idx val="4"/>
            <c:bubble3D val="0"/>
            <c:spPr>
              <a:solidFill>
                <a:srgbClr val="63B1EF">
                  <a:alpha val="67000"/>
                </a:srgbClr>
              </a:solidFill>
              <a:ln w="19050" cap="rnd">
                <a:noFill/>
                <a:round/>
              </a:ln>
              <a:effectLst/>
            </c:spPr>
          </c:dPt>
          <c:dPt>
            <c:idx val="5"/>
            <c:bubble3D val="0"/>
            <c:spPr>
              <a:solidFill>
                <a:srgbClr val="63B1EF">
                  <a:alpha val="67000"/>
                </a:srgbClr>
              </a:solidFill>
              <a:ln w="19050" cap="rnd">
                <a:noFill/>
                <a:round/>
              </a:ln>
              <a:effectLst/>
            </c:spPr>
          </c:dPt>
          <c:dPt>
            <c:idx val="6"/>
            <c:bubble3D val="0"/>
            <c:spPr>
              <a:solidFill>
                <a:srgbClr val="63B1EF">
                  <a:alpha val="67000"/>
                </a:srgbClr>
              </a:solidFill>
              <a:ln w="19050" cap="rnd">
                <a:noFill/>
                <a:round/>
              </a:ln>
              <a:effectLst/>
            </c:spPr>
          </c:dPt>
          <c:dPt>
            <c:idx val="7"/>
            <c:bubble3D val="0"/>
            <c:spPr>
              <a:solidFill>
                <a:srgbClr val="63B1EF">
                  <a:alpha val="67000"/>
                </a:srgbClr>
              </a:solidFill>
              <a:ln w="19050" cap="rnd">
                <a:noFill/>
                <a:round/>
              </a:ln>
              <a:effectLst/>
            </c:spPr>
          </c:dPt>
          <c:dPt>
            <c:idx val="8"/>
            <c:bubble3D val="0"/>
            <c:spPr>
              <a:solidFill>
                <a:srgbClr val="63B1EF">
                  <a:alpha val="67000"/>
                </a:srgbClr>
              </a:solidFill>
              <a:ln w="19050" cap="rnd">
                <a:noFill/>
                <a:round/>
              </a:ln>
              <a:effectLst/>
            </c:spPr>
          </c:dPt>
          <c:dPt>
            <c:idx val="9"/>
            <c:bubble3D val="0"/>
            <c:spPr>
              <a:solidFill>
                <a:srgbClr val="63B1EF">
                  <a:alpha val="67000"/>
                </a:srgbClr>
              </a:solidFill>
              <a:ln w="19050" cap="rnd">
                <a:noFill/>
                <a:round/>
              </a:ln>
              <a:effectLst/>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Sheet1!$A$1:$A$10</c:f>
              <c:strCache>
                <c:ptCount val="10"/>
                <c:pt idx="0">
                  <c:v> 
一般公共预算财政拨款支出决算结构情况</c:v>
                </c:pt>
                <c:pt idx="1">
                  <c:v>一般公共服务支出</c:v>
                </c:pt>
                <c:pt idx="2">
                  <c:v>文化体育与传媒支出</c:v>
                </c:pt>
                <c:pt idx="3">
                  <c:v>社会保障和就业支出</c:v>
                </c:pt>
                <c:pt idx="4">
                  <c:v>卫生健康支出</c:v>
                </c:pt>
                <c:pt idx="5">
                  <c:v>节能环保支出</c:v>
                </c:pt>
                <c:pt idx="6">
                  <c:v>城乡社区支出</c:v>
                </c:pt>
                <c:pt idx="7">
                  <c:v>农林水支出</c:v>
                </c:pt>
                <c:pt idx="8">
                  <c:v>住房保障支出</c:v>
                </c:pt>
                <c:pt idx="9">
                  <c:v>其它支出</c:v>
                </c:pt>
              </c:strCache>
            </c:strRef>
          </c:cat>
          <c:val>
            <c:numRef>
              <c:f>Sheet1!$B$1:$B$10</c:f>
              <c:numCache>
                <c:formatCode>General</c:formatCode>
                <c:ptCount val="10"/>
                <c:pt idx="1">
                  <c:v>77.76</c:v>
                </c:pt>
                <c:pt idx="3">
                  <c:v>73.6</c:v>
                </c:pt>
                <c:pt idx="4">
                  <c:v>89.53</c:v>
                </c:pt>
                <c:pt idx="6">
                  <c:v>30.8</c:v>
                </c:pt>
                <c:pt idx="7">
                  <c:v>5</c:v>
                </c:pt>
                <c:pt idx="8">
                  <c:v>4.83</c:v>
                </c:pt>
                <c:pt idx="9">
                  <c:v>0</c:v>
                </c:pt>
              </c:numCache>
            </c:numRef>
          </c:val>
        </c:ser>
        <c:dLbls>
          <c:showLegendKey val="0"/>
          <c:showVal val="0"/>
          <c:showCatName val="1"/>
          <c:showSerName val="0"/>
          <c:showPercent val="1"/>
          <c:showBubbleSize val="0"/>
          <c:showLeaderLines val="1"/>
        </c:dLbls>
        <c:firstSliceAng val="0"/>
      </c:pieChart>
      <c:spPr>
        <a:pattFill prst="lgGrid">
          <a:fgClr>
            <a:srgbClr val="F8F8F8"/>
          </a:fgClr>
          <a:bgClr>
            <a:schemeClr val="bg1"/>
          </a:bgClr>
        </a:pattFill>
        <a:ln>
          <a:solidFill>
            <a:schemeClr val="bg1">
              <a:lumMod val="95000"/>
            </a:schemeClr>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年公务支出明细表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2021年公务支出明细表</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公务接待费支出</c:v>
                </c:pt>
                <c:pt idx="1">
                  <c:v>因公出国（境）费支出</c:v>
                </c:pt>
                <c:pt idx="2">
                  <c:v>公务用车购置及运行维护费支出</c:v>
                </c:pt>
              </c:strCache>
            </c:strRef>
          </c:cat>
          <c:val>
            <c:numRef>
              <c:f>Sheet1!$B$2:$B$4</c:f>
              <c:numCache>
                <c:formatCode>General</c:formatCode>
                <c:ptCount val="3"/>
                <c:pt idx="0">
                  <c:v>0</c:v>
                </c:pt>
                <c:pt idx="1">
                  <c:v>0.68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16021</Words>
  <Characters>17009</Characters>
  <Lines>16</Lines>
  <Paragraphs>36</Paragraphs>
  <TotalTime>86</TotalTime>
  <ScaleCrop>false</ScaleCrop>
  <LinksUpToDate>false</LinksUpToDate>
  <CharactersWithSpaces>17094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惠</cp:lastModifiedBy>
  <cp:lastPrinted>2023-08-21T06:41:00Z</cp:lastPrinted>
  <dcterms:modified xsi:type="dcterms:W3CDTF">2023-08-25T06:20:22Z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E03FF5D9E63240AB8654166E053A2A17</vt:lpwstr>
  </property>
</Properties>
</file>