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both"/>
        <w:rPr>
          <w:rFonts w:hint="default" w:ascii="Times New Roman" w:hAnsi="Times New Roman" w:eastAsia="方正小标宋简体" w:cs="Times New Roman"/>
          <w:spacing w:val="-18"/>
          <w:w w:val="98"/>
          <w:sz w:val="44"/>
          <w:szCs w:val="44"/>
        </w:rPr>
      </w:pPr>
      <w:bookmarkStart w:id="0" w:name="_Toc50372514"/>
    </w:p>
    <w:p>
      <w:pPr>
        <w:spacing w:line="520" w:lineRule="exact"/>
        <w:jc w:val="both"/>
        <w:rPr>
          <w:rFonts w:hint="default" w:ascii="Times New Roman" w:hAnsi="Times New Roman" w:eastAsia="方正小标宋简体" w:cs="Times New Roman"/>
          <w:spacing w:val="-18"/>
          <w:w w:val="98"/>
          <w:sz w:val="44"/>
          <w:szCs w:val="44"/>
        </w:rPr>
      </w:pPr>
    </w:p>
    <w:p>
      <w:pPr>
        <w:spacing w:after="0" w:line="576" w:lineRule="exact"/>
        <w:jc w:val="both"/>
        <w:rPr>
          <w:rFonts w:hint="default" w:ascii="Times New Roman" w:hAnsi="Times New Roman" w:eastAsia="方正小标宋简体" w:cs="Times New Roman"/>
          <w:sz w:val="44"/>
          <w:szCs w:val="44"/>
        </w:rPr>
      </w:pPr>
    </w:p>
    <w:p>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遂宁市安居区国民经济和社会发展</w:t>
      </w:r>
    </w:p>
    <w:p>
      <w:pPr>
        <w:jc w:val="center"/>
        <w:rPr>
          <w:rFonts w:hint="eastAsia" w:ascii="方正小标宋简体" w:hAnsi="方正小标宋简体" w:eastAsia="方正小标宋简体" w:cs="方正小标宋简体"/>
          <w:b w:val="0"/>
          <w:bCs w:val="0"/>
          <w:spacing w:val="-20"/>
          <w:w w:val="90"/>
          <w:sz w:val="44"/>
          <w:szCs w:val="44"/>
        </w:rPr>
      </w:pPr>
      <w:r>
        <w:rPr>
          <w:rFonts w:hint="eastAsia" w:ascii="方正小标宋简体" w:hAnsi="方正小标宋简体" w:eastAsia="方正小标宋简体" w:cs="方正小标宋简体"/>
          <w:b w:val="0"/>
          <w:bCs w:val="0"/>
          <w:spacing w:val="0"/>
          <w:w w:val="100"/>
          <w:sz w:val="44"/>
          <w:szCs w:val="44"/>
        </w:rPr>
        <w:t>第十四个五年规划和二〇三五年远景目标纲要</w:t>
      </w:r>
    </w:p>
    <w:p>
      <w:pPr>
        <w:jc w:val="center"/>
        <w:rPr>
          <w:rFonts w:hint="eastAsia" w:ascii="方正小标宋简体" w:hAnsi="方正小标宋简体" w:eastAsia="方正小标宋简体" w:cs="方正小标宋简体"/>
          <w:b/>
          <w:bCs/>
          <w:sz w:val="44"/>
          <w:szCs w:val="44"/>
        </w:rPr>
      </w:pPr>
    </w:p>
    <w:p>
      <w:pPr>
        <w:pStyle w:val="12"/>
        <w:rPr>
          <w:rFonts w:hint="eastAsia" w:ascii="方正黑体_GBK" w:hAnsi="Courier New" w:eastAsia="方正仿宋_GBK" w:cstheme="minorBidi"/>
          <w:b w:val="0"/>
          <w:bCs w:val="0"/>
          <w:sz w:val="32"/>
          <w:szCs w:val="21"/>
        </w:rPr>
      </w:pPr>
    </w:p>
    <w:p>
      <w:pPr>
        <w:jc w:val="center"/>
        <w:rPr>
          <w:rFonts w:ascii="Times New Roman" w:hAnsi="Times New Roman" w:eastAsia="华文中宋" w:cs="Times New Roman"/>
          <w:b/>
          <w:bCs/>
          <w:sz w:val="52"/>
          <w:szCs w:val="52"/>
        </w:rPr>
      </w:pPr>
    </w:p>
    <w:p>
      <w:pPr>
        <w:jc w:val="center"/>
        <w:rPr>
          <w:rFonts w:ascii="Times New Roman" w:hAnsi="Times New Roman" w:cs="Times New Roman"/>
          <w:sz w:val="44"/>
          <w:szCs w:val="44"/>
        </w:rPr>
      </w:pPr>
    </w:p>
    <w:p>
      <w:pPr>
        <w:pStyle w:val="12"/>
      </w:pPr>
    </w:p>
    <w:p>
      <w:pPr>
        <w:jc w:val="center"/>
        <w:rPr>
          <w:rFonts w:ascii="Times New Roman" w:hAnsi="Times New Roman" w:cs="Times New Roman"/>
          <w:sz w:val="44"/>
          <w:szCs w:val="44"/>
        </w:rPr>
      </w:pPr>
    </w:p>
    <w:p>
      <w:pPr>
        <w:pStyle w:val="12"/>
      </w:pPr>
    </w:p>
    <w:p>
      <w:pPr>
        <w:jc w:val="center"/>
        <w:rPr>
          <w:rFonts w:ascii="Times New Roman" w:hAnsi="Times New Roman" w:cs="Times New Roman"/>
          <w:sz w:val="44"/>
          <w:szCs w:val="44"/>
        </w:rPr>
      </w:pPr>
    </w:p>
    <w:p>
      <w:pPr>
        <w:jc w:val="center"/>
        <w:rPr>
          <w:rFonts w:ascii="Times New Roman" w:hAnsi="Times New Roman" w:cs="Times New Roman"/>
          <w:sz w:val="44"/>
          <w:szCs w:val="44"/>
        </w:rPr>
      </w:pPr>
    </w:p>
    <w:p>
      <w:pPr>
        <w:pStyle w:val="2"/>
      </w:pPr>
    </w:p>
    <w:p>
      <w:pPr>
        <w:jc w:val="center"/>
        <w:rPr>
          <w:rFonts w:ascii="Times New Roman" w:hAnsi="Times New Roman" w:cs="Times New Roman"/>
          <w:sz w:val="44"/>
          <w:szCs w:val="44"/>
        </w:rPr>
      </w:pPr>
      <w:r>
        <w:rPr>
          <w:rFonts w:ascii="Times New Roman" w:hAnsi="Times New Roman" w:eastAsia="黑体" w:cs="Times New Roman"/>
          <w:b/>
          <w:sz w:val="36"/>
          <w:szCs w:val="36"/>
        </w:rPr>
        <w:pict>
          <v:shape id="_x0000_s1026" o:spid="_x0000_s1026" o:spt="3" alt="说明: ciecc-kkk3" type="#_x0000_t3" style="position:absolute;left:0pt;margin-left:-219.1pt;margin-top:14.75pt;height:55.7pt;width:64.95pt;mso-position-horizontal-relative:margin;z-index:251660288;v-text-anchor:middle;mso-width-relative:page;mso-height-relative:page;" filled="t" stroked="f" coordsize="21600,21600" o:gfxdata="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">
            <v:path/>
            <v:fill type="frame" on="t" o:title=" ciecc-kkk3" focussize="0,0" recolor="t" r:id="rId7"/>
            <v:stroke on="f"/>
            <v:imagedata o:title=""/>
            <o:lock v:ext="edit"/>
            <v:textbox>
              <w:txbxContent>
                <w:p/>
              </w:txbxContent>
            </v:textbox>
          </v:shape>
        </w:pict>
      </w:r>
    </w:p>
    <w:p>
      <w:pPr>
        <w:pStyle w:val="12"/>
        <w:ind w:firstLine="640"/>
        <w:rPr>
          <w:rFonts w:ascii="Times New Roman" w:hAnsi="Times New Roman" w:cs="Times New Roman"/>
        </w:rPr>
      </w:pPr>
    </w:p>
    <w:p>
      <w:pPr>
        <w:snapToGrid w:val="0"/>
        <w:jc w:val="center"/>
        <w:rPr>
          <w:rFonts w:ascii="楷体" w:hAnsi="楷体" w:eastAsia="楷体" w:cs="楷体"/>
          <w:b/>
          <w:bCs/>
          <w:sz w:val="32"/>
          <w:szCs w:val="32"/>
        </w:rPr>
      </w:pPr>
      <w:r>
        <w:rPr>
          <w:rFonts w:hint="eastAsia" w:ascii="楷体" w:hAnsi="楷体" w:eastAsia="楷体" w:cs="楷体"/>
          <w:b/>
          <w:bCs/>
          <w:sz w:val="32"/>
          <w:szCs w:val="32"/>
        </w:rPr>
        <w:t>遂宁市安居区人民政府</w:t>
      </w:r>
    </w:p>
    <w:p>
      <w:pPr>
        <w:snapToGrid w:val="0"/>
        <w:jc w:val="center"/>
        <w:rPr>
          <w:rFonts w:ascii="Times New Roman" w:hAnsi="Times New Roman" w:eastAsia="楷体" w:cs="Times New Roman"/>
          <w:b/>
          <w:bCs/>
          <w:sz w:val="32"/>
          <w:szCs w:val="32"/>
        </w:rPr>
      </w:pPr>
      <w:r>
        <w:rPr>
          <w:rFonts w:hint="default" w:ascii="Times New Roman" w:hAnsi="Times New Roman" w:eastAsia="楷体" w:cs="Times New Roman"/>
          <w:b/>
          <w:bCs/>
          <w:sz w:val="32"/>
          <w:szCs w:val="32"/>
        </w:rPr>
        <w:t>2021年</w:t>
      </w:r>
      <w:r>
        <w:rPr>
          <w:rFonts w:hint="default" w:ascii="Times New Roman" w:hAnsi="Times New Roman" w:eastAsia="楷体" w:cs="Times New Roman"/>
          <w:b/>
          <w:bCs/>
          <w:sz w:val="32"/>
          <w:szCs w:val="32"/>
          <w:lang w:val="en-US" w:eastAsia="zh-CN"/>
        </w:rPr>
        <w:t>7</w:t>
      </w:r>
      <w:r>
        <w:rPr>
          <w:rFonts w:hint="default" w:ascii="Times New Roman" w:hAnsi="Times New Roman" w:eastAsia="楷体" w:cs="Times New Roman"/>
          <w:b/>
          <w:bCs/>
          <w:sz w:val="32"/>
          <w:szCs w:val="32"/>
        </w:rPr>
        <w:t>月</w:t>
      </w:r>
    </w:p>
    <w:p>
      <w:pPr>
        <w:rPr>
          <w:rFonts w:ascii="Times New Roman" w:hAnsi="Times New Roman" w:cs="Times New Roman"/>
          <w:sz w:val="32"/>
          <w:szCs w:val="32"/>
        </w:rPr>
        <w:sectPr>
          <w:pgSz w:w="11906" w:h="16838"/>
          <w:pgMar w:top="2098" w:right="1474" w:bottom="1984" w:left="1587" w:header="851" w:footer="1247" w:gutter="0"/>
          <w:pgNumType w:fmt="upperRoman" w:start="1"/>
          <w:cols w:space="0" w:num="1"/>
          <w:docGrid w:type="lines" w:linePitch="319" w:charSpace="0"/>
        </w:sectPr>
      </w:pPr>
    </w:p>
    <w:p>
      <w:pPr>
        <w:pStyle w:val="12"/>
        <w:ind w:firstLine="640"/>
        <w:rPr>
          <w:rFonts w:hint="default" w:ascii="Times New Roman" w:hAnsi="Times New Roman" w:eastAsia="方正仿宋_GBK" w:cs="Times New Roman"/>
          <w:lang w:val="en-US" w:eastAsia="zh-CN"/>
        </w:rPr>
        <w:sectPr>
          <w:footerReference r:id="rId3" w:type="default"/>
          <w:pgSz w:w="11906" w:h="16838"/>
          <w:pgMar w:top="2098" w:right="1474" w:bottom="1984" w:left="1587" w:header="851" w:footer="1247" w:gutter="0"/>
          <w:pgNumType w:fmt="upperRoman" w:start="1"/>
          <w:cols w:space="0" w:num="1"/>
          <w:docGrid w:type="lines" w:linePitch="319" w:charSpace="0"/>
        </w:sectPr>
      </w:pPr>
      <w:r>
        <w:rPr>
          <w:rFonts w:hint="eastAsia" w:ascii="Times New Roman" w:hAnsi="Times New Roman" w:cs="Times New Roman"/>
          <w:lang w:val="en-US" w:eastAsia="zh-CN"/>
        </w:rPr>
        <w:t xml:space="preserve"> </w:t>
      </w:r>
    </w:p>
    <w:p>
      <w:pPr>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目  录</w:t>
      </w:r>
    </w:p>
    <w:p>
      <w:pPr>
        <w:pStyle w:val="12"/>
        <w:spacing w:line="500" w:lineRule="exact"/>
        <w:rPr>
          <w:rFonts w:hint="eastAsia" w:ascii="仿宋_GB2312" w:hAnsi="仿宋_GB2312" w:eastAsia="仿宋_GB2312" w:cs="仿宋_GB2312"/>
          <w:b w:val="0"/>
          <w:bCs w:val="0"/>
          <w:sz w:val="28"/>
          <w:szCs w:val="28"/>
        </w:rPr>
      </w:pP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TOC \o "1-2" \h \z \u </w:instrText>
      </w:r>
      <w:r>
        <w:rPr>
          <w:rFonts w:hint="eastAsia" w:ascii="仿宋_GB2312" w:hAnsi="仿宋_GB2312" w:eastAsia="仿宋_GB2312" w:cs="仿宋_GB2312"/>
          <w:b w:val="0"/>
          <w:bCs w:val="0"/>
          <w:sz w:val="28"/>
          <w:szCs w:val="28"/>
        </w:rPr>
        <w:fldChar w:fldCharType="separate"/>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_Toc743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第一篇 小康社会全面建成，现代化建设迈入新征程</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_Toc743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_Toc637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第一章 规划背景</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_Toc637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_Toc25801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第二章 总体要求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_Toc25801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_Toc2474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w:t>
      </w:r>
      <w:r>
        <w:rPr>
          <w:rFonts w:hint="eastAsia" w:ascii="仿宋_GB2312" w:hAnsi="仿宋_GB2312" w:eastAsia="仿宋_GB2312" w:cs="仿宋_GB2312"/>
          <w:b w:val="0"/>
          <w:bCs w:val="0"/>
          <w:sz w:val="28"/>
          <w:szCs w:val="28"/>
          <w:lang w:val="en-US" w:eastAsia="zh-CN"/>
        </w:rPr>
        <w:t>三</w:t>
      </w:r>
      <w:r>
        <w:rPr>
          <w:rFonts w:hint="eastAsia" w:ascii="仿宋_GB2312" w:hAnsi="仿宋_GB2312" w:eastAsia="仿宋_GB2312" w:cs="仿宋_GB2312"/>
          <w:b w:val="0"/>
          <w:bCs w:val="0"/>
          <w:sz w:val="28"/>
          <w:szCs w:val="28"/>
        </w:rPr>
        <w:t xml:space="preserve">章 </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十四五</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战略目标、战略重点、战略支撑</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_Toc2474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8</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_Toc10988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第二篇 全面融入新发展格局，打造改革开放新高地</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_Toc10988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_Toc32226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pacing w:val="0"/>
          <w:sz w:val="28"/>
          <w:szCs w:val="28"/>
        </w:rPr>
        <w:t xml:space="preserve">第四章 </w:t>
      </w:r>
      <w:r>
        <w:rPr>
          <w:rFonts w:hint="eastAsia" w:ascii="仿宋_GB2312" w:hAnsi="仿宋_GB2312" w:eastAsia="仿宋_GB2312" w:cs="仿宋_GB2312"/>
          <w:b w:val="0"/>
          <w:bCs w:val="0"/>
          <w:sz w:val="28"/>
          <w:szCs w:val="28"/>
        </w:rPr>
        <w:t>引领遂潼川渝毗邻地区一体化发展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_Toc32226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12</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_Toc28029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pacing w:val="0"/>
          <w:sz w:val="28"/>
          <w:szCs w:val="28"/>
        </w:rPr>
        <w:t>第五章</w:t>
      </w:r>
      <w:r>
        <w:rPr>
          <w:rFonts w:hint="eastAsia" w:ascii="仿宋_GB2312" w:hAnsi="仿宋_GB2312" w:eastAsia="仿宋_GB2312" w:cs="仿宋_GB2312"/>
          <w:b w:val="0"/>
          <w:bCs w:val="0"/>
          <w:sz w:val="28"/>
          <w:szCs w:val="28"/>
        </w:rPr>
        <w:t xml:space="preserve"> 务实推动开放合作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_Toc28029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14</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_Toc32547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第六章 深入推进科技创新</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_Toc32547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16</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_Toc6911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第七章 坚持全面深化改革</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_Toc6911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_Toc15991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第三篇 深入推进新型城镇化，促进城乡协调发展</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_Toc15991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_Toc29334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第八章 塑造高质量国土空间发展格局</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_Toc29334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19</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_Toc12177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第九章 促进中心城区核心引领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_Toc12177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_Toc3532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第十章 多点多极支撑区域协调发展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_Toc3532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23</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_Toc4103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第十一章 全面提升新型城镇化水平</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_Toc4103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23</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_Toc23876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第十二章 构筑现代基础设施网络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_Toc23876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24</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_Toc14767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第四篇 加速动能转化，推动现代产业高质量发展</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_Toc14767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_Toc22584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第十三章 大力发展“3+2”现代工业</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_Toc22584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28</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_Toc8370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第十四章 加快发展“4+2”现代服务业</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_Toc8370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33</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_Toc23733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第十五章 加快培育数字经济</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_Toc23733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37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_Toc9030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第十六章 切实提升园区承载能力</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_Toc9030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39</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_Toc28404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第五篇 推进乡村振兴，实现农业强区跨越式发展</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_Toc28404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_Toc16437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第十七章 推动农业高质量发展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_Toc16437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41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_Toc14403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第十八章 实施乡村建设行动</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_Toc14403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45</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_Toc12951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第十九章 深化农业农村改革</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_Toc12951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47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_Toc27218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第六篇 践行两山理念，推动人与自然和谐共生</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_Toc27218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_Toc9324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第二十章 强化生态环境保护与修复</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_Toc9324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48</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_Toc4588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第二十一章 推进环境治理现代化建设</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_Toc4588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50</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_Toc30457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第二十二章 大力推动绿色低碳循环发展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_Toc30457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54</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_Toc31832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第七篇 保障改善民生，建设高品质生活宜居地</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_Toc31832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_Toc22293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第二十三章 繁荣发展文化事业</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_Toc22293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56</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_Toc11522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第二十四章 办好人民满意教育</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_Toc11522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_Toc17603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第二十五章 加快建设健康安居</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_Toc17603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59</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_Toc3348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第二十六章 完善就业创业服务体系</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_Toc3348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_Toc12502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第二十七章 完善多层次社会保障体系</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_Toc12502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62</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_Toc3363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第八篇 统筹发展和安全，建设法治安居平安安居</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_Toc3363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65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_Toc10348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第二十八章 加快推进社会治理现代化</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_Toc10348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65</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_Toc28974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第二十九章 加强和改进城乡基层治理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_Toc28974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66</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_Toc1410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第三十章 强化风险防控和应急能力建设</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_Toc1410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67</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_Toc364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第九篇 强化措施建设，全力保障规划顺利实施</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_Toc364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69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_Toc5361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第三十一章 坚持党的全面领导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_Toc5361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69</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21"/>
        <w:tabs>
          <w:tab w:val="right" w:leader="dot" w:pos="8845"/>
          <w:tab w:val="clear" w:pos="8296"/>
        </w:tabs>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_Toc28356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第三十二章 完善规划实施保障措施</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PAGEREF _Toc28356 \h </w:instrText>
      </w:r>
      <w:r>
        <w:rPr>
          <w:rFonts w:hint="eastAsia" w:ascii="仿宋_GB2312" w:hAnsi="仿宋_GB2312" w:eastAsia="仿宋_GB2312" w:cs="仿宋_GB2312"/>
          <w:b w:val="0"/>
          <w:bCs w:val="0"/>
          <w:sz w:val="28"/>
          <w:szCs w:val="28"/>
        </w:rPr>
        <w:fldChar w:fldCharType="separate"/>
      </w:r>
      <w:r>
        <w:rPr>
          <w:rFonts w:hint="eastAsia" w:ascii="仿宋_GB2312" w:hAnsi="仿宋_GB2312" w:eastAsia="仿宋_GB2312" w:cs="仿宋_GB2312"/>
          <w:b w:val="0"/>
          <w:bCs w:val="0"/>
          <w:sz w:val="28"/>
          <w:szCs w:val="28"/>
        </w:rPr>
        <w:t>71</w:t>
      </w:r>
      <w:r>
        <w:rPr>
          <w:rFonts w:hint="eastAsia" w:ascii="仿宋_GB2312" w:hAnsi="仿宋_GB2312" w:eastAsia="仿宋_GB2312" w:cs="仿宋_GB2312"/>
          <w:b w:val="0"/>
          <w:bCs w:val="0"/>
          <w:sz w:val="28"/>
          <w:szCs w:val="28"/>
        </w:rPr>
        <w:fldChar w:fldCharType="end"/>
      </w:r>
      <w:r>
        <w:rPr>
          <w:rFonts w:hint="eastAsia" w:ascii="仿宋_GB2312" w:hAnsi="仿宋_GB2312" w:eastAsia="仿宋_GB2312" w:cs="仿宋_GB2312"/>
          <w:b w:val="0"/>
          <w:bCs w:val="0"/>
          <w:sz w:val="28"/>
          <w:szCs w:val="28"/>
        </w:rPr>
        <w:fldChar w:fldCharType="end"/>
      </w:r>
    </w:p>
    <w:p>
      <w:pPr>
        <w:pStyle w:val="17"/>
        <w:tabs>
          <w:tab w:val="right" w:leader="dot" w:pos="8845"/>
          <w:tab w:val="clear" w:pos="8296"/>
        </w:tabs>
        <w:spacing w:line="520" w:lineRule="exac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_Toc26008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名词解释</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_Toc26008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74</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21"/>
        <w:spacing w:line="520" w:lineRule="exact"/>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end"/>
      </w:r>
    </w:p>
    <w:p>
      <w:pPr>
        <w:pStyle w:val="21"/>
        <w:spacing w:line="520" w:lineRule="exact"/>
        <w:ind w:firstLine="560" w:firstLineChars="200"/>
        <w:rPr>
          <w:rFonts w:hint="eastAsia" w:ascii="仿宋_GB2312" w:hAnsi="仿宋_GB2312" w:eastAsia="仿宋_GB2312" w:cs="仿宋_GB2312"/>
          <w:b w:val="0"/>
          <w:bCs w:val="0"/>
          <w:sz w:val="28"/>
          <w:szCs w:val="28"/>
        </w:rPr>
        <w:sectPr>
          <w:footerReference r:id="rId4" w:type="default"/>
          <w:pgSz w:w="11906" w:h="16838"/>
          <w:pgMar w:top="2098" w:right="1474" w:bottom="1984" w:left="1587" w:header="851" w:footer="1247" w:gutter="0"/>
          <w:pgNumType w:fmt="upperRoman" w:start="1"/>
          <w:cols w:space="0" w:num="1"/>
          <w:docGrid w:type="lines" w:linePitch="319" w:charSpace="0"/>
        </w:sectPr>
      </w:pPr>
    </w:p>
    <w:p>
      <w:pPr>
        <w:spacing w:line="520" w:lineRule="exact"/>
        <w:ind w:firstLine="560" w:firstLineChars="200"/>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28"/>
          <w:szCs w:val="32"/>
          <w:lang w:val="en-US" w:eastAsia="zh-CN"/>
        </w:rPr>
        <w:t>遂宁市</w:t>
      </w:r>
      <w:r>
        <w:rPr>
          <w:rFonts w:ascii="Times New Roman" w:hAnsi="Times New Roman" w:eastAsia="仿宋_GB2312" w:cs="Times New Roman"/>
          <w:snapToGrid w:val="0"/>
          <w:kern w:val="0"/>
          <w:sz w:val="28"/>
          <w:szCs w:val="32"/>
        </w:rPr>
        <w:t>安居区国民经济和社会发展第十四个五年规划和二〇三五年远景目标纲要，根据《中共遂宁市安居区委关于制定遂宁市安居区国民经济和社会发展第十四个五年规划和二〇三五年远景目标的建议》编制，主要阐明未来五年经济社会发展的宏伟目标、主要任务和重大举措，展望2035年远景目标，是全区人民的共同愿景，是政府履行职责的重要依据，是引导市场主体自主决策的重要参考，是奠定全区基本实现社会主义现代化坚实基础的重要行动纲领。</w:t>
      </w:r>
    </w:p>
    <w:p>
      <w:pPr>
        <w:pStyle w:val="3"/>
        <w:spacing w:before="313" w:beforeLines="100" w:after="313" w:afterLines="100"/>
        <w:jc w:val="center"/>
        <w:rPr>
          <w:rFonts w:hint="eastAsia" w:ascii="Calibri" w:hAnsi="Calibri" w:eastAsia="方正小标宋简体"/>
          <w:sz w:val="32"/>
        </w:rPr>
      </w:pPr>
      <w:bookmarkStart w:id="1" w:name="_Toc31804"/>
      <w:bookmarkStart w:id="2" w:name="_Toc743"/>
      <w:bookmarkStart w:id="3" w:name="_Toc65153164"/>
      <w:bookmarkStart w:id="4" w:name="_Toc19735"/>
      <w:r>
        <w:rPr>
          <w:rFonts w:hint="default" w:ascii="Calibri" w:hAnsi="Calibri" w:eastAsia="方正小标宋简体"/>
          <w:sz w:val="32"/>
        </w:rPr>
        <w:t xml:space="preserve">第一篇 </w:t>
      </w:r>
      <w:bookmarkEnd w:id="0"/>
      <w:r>
        <w:rPr>
          <w:rFonts w:hint="default" w:ascii="Calibri" w:hAnsi="Calibri" w:eastAsia="方正小标宋简体"/>
          <w:sz w:val="32"/>
        </w:rPr>
        <w:t>小康社会全面建成，现代化建设迈入新征程</w:t>
      </w:r>
      <w:bookmarkEnd w:id="1"/>
      <w:bookmarkEnd w:id="2"/>
      <w:bookmarkEnd w:id="3"/>
      <w:bookmarkEnd w:id="4"/>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“十四五”时期是安居谱写高质量发展新篇章、开启全面建设社会主义现代化新征程的关键时期，要立足新发展阶段、贯彻新发展理念、融入新发展格局，推动富民强区再上新台阶。</w:t>
      </w:r>
    </w:p>
    <w:p>
      <w:pPr>
        <w:pStyle w:val="4"/>
        <w:spacing w:before="312" w:beforeLines="100" w:after="156" w:afterLines="50" w:line="576" w:lineRule="exact"/>
        <w:jc w:val="center"/>
        <w:rPr>
          <w:rFonts w:hint="eastAsia" w:ascii="方正黑体简体" w:hAnsi="方正黑体简体" w:eastAsia="方正黑体简体" w:cs="方正黑体简体"/>
          <w:b w:val="0"/>
          <w:bCs w:val="0"/>
        </w:rPr>
      </w:pPr>
      <w:bookmarkStart w:id="5" w:name="_Toc17953"/>
      <w:bookmarkStart w:id="6" w:name="_Toc637"/>
      <w:bookmarkStart w:id="7" w:name="_Toc65153165"/>
      <w:bookmarkStart w:id="8" w:name="_Toc2729"/>
      <w:r>
        <w:rPr>
          <w:rFonts w:hint="eastAsia" w:ascii="方正黑体简体" w:hAnsi="方正黑体简体" w:eastAsia="方正黑体简体" w:cs="方正黑体简体"/>
          <w:b w:val="0"/>
          <w:bCs w:val="0"/>
        </w:rPr>
        <w:t>第一章 规划背景</w:t>
      </w:r>
      <w:bookmarkEnd w:id="5"/>
      <w:bookmarkEnd w:id="6"/>
      <w:bookmarkEnd w:id="7"/>
      <w:bookmarkEnd w:id="8"/>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“十三五”发展成就</w:t>
      </w:r>
    </w:p>
    <w:p>
      <w:pPr>
        <w:spacing w:line="520" w:lineRule="exact"/>
        <w:ind w:firstLine="560" w:firstLineChars="200"/>
        <w:rPr>
          <w:rFonts w:ascii="Times New Roman" w:hAnsi="Times New Roman" w:eastAsia="仿宋_GB2312" w:cs="Times New Roman"/>
          <w:sz w:val="28"/>
          <w:szCs w:val="32"/>
        </w:rPr>
      </w:pPr>
      <w:bookmarkStart w:id="9" w:name="_Toc50372516"/>
      <w:r>
        <w:rPr>
          <w:rFonts w:ascii="Times New Roman" w:hAnsi="Times New Roman" w:eastAsia="仿宋_GB2312" w:cs="Times New Roman"/>
          <w:sz w:val="28"/>
          <w:szCs w:val="32"/>
        </w:rPr>
        <w:t>“十三五”时期，是安居全面践行新发展理念、决胜全面小康取得决定性成就的五年，是积势蓄能布新局、追赶跨越谱新篇的五年。五年来，全区上下坚持以习近平新时代中国特色社会主义思想为指导，坚决贯彻落实党中央和省委、市委决策部署，紧紧围绕市委赋予安居“建设成渝地区特色工业示范区和清洁能源示范基地，打造遂潼川渝毗邻地区一体化发展引领区”战略定位，加快建设全省特色工业示范区、乡村振兴示范区、公园城市示范区，大力实施富民强区“七大行动”</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，“十三五”规划确定的主要指标完成情况符合预期，各项事业取得重大进展，如期与全国、全省、全市同步全面建成小康社会。</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经济发展量质齐升。</w:t>
      </w:r>
      <w:r>
        <w:rPr>
          <w:rFonts w:ascii="Times New Roman" w:hAnsi="Times New Roman" w:eastAsia="仿宋_GB2312" w:cs="Times New Roman"/>
          <w:sz w:val="28"/>
          <w:szCs w:val="32"/>
        </w:rPr>
        <w:t>全区地区生产总值每年跃升近20亿元，年均增长8.3%，2020年达到203.11亿元，地方一般公共预算收入年均增长14.87%，2020年达到9.56亿元，两项指标增速连续5年稳居全市前列。规上工业总产值突破百亿元大关，增加值年均增长11%，连续5年排位全市第一。产业结构持续优化，“3+2”现代工业产业体系</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、“5+10”现代农业产业体系</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3</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、“4+2”现代服务业产业体系</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4</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加速成势，三次产业结构由2015年的34.9:36.7:28.4优化到2020年的22.2:49.7:28.1。工业成为全区经济发展最强动力，2020年对GDP的贡献率达到60.3%，拉动GDP增长3.56个百分点。</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城乡面貌提档升级。</w:t>
      </w:r>
      <w:r>
        <w:rPr>
          <w:rFonts w:ascii="Times New Roman" w:hAnsi="Times New Roman" w:eastAsia="仿宋_GB2312" w:cs="Times New Roman"/>
          <w:sz w:val="28"/>
          <w:szCs w:val="32"/>
        </w:rPr>
        <w:t>城乡统筹协调发展，全面形成“1+1+4+8”</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5</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县域城镇发展体系，大力实施“南改、北融、西拓、东进”城市发展战略，“三园三路三改一街”</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6</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重点项目加快建设，城市建成区面积扩大到14.5平方公里、增长55.9%，城镇化率较2015年提升10.7个百分点，人均公园绿地面积达到16.1平方米，琼江生态湿地公园、</w:t>
      </w:r>
      <w:r>
        <w:rPr>
          <w:rFonts w:hint="eastAsia" w:ascii="Times New Roman" w:hAnsi="Times New Roman" w:eastAsia="仿宋_GB2312" w:cs="Times New Roman"/>
          <w:sz w:val="28"/>
          <w:szCs w:val="32"/>
        </w:rPr>
        <w:t>凤凰栖中国凤凰文化主题公园</w:t>
      </w:r>
      <w:r>
        <w:rPr>
          <w:rFonts w:ascii="Times New Roman" w:hAnsi="Times New Roman" w:eastAsia="仿宋_GB2312" w:cs="Times New Roman"/>
          <w:sz w:val="28"/>
          <w:szCs w:val="32"/>
        </w:rPr>
        <w:t>、凤舞琼花公园、头陀寺公园建成开园，高质量承办全市文化和旅游发展大会，荣获全国文明城市、全国绿色发展优秀城市等多张国家级名片。构建“一环三横四纵六射”</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7</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区域交通路网，建成主城区到乡镇半小时交通圈。加快推进乡村振兴，横山镇、西眉镇、三家镇成为全省“百镇建设行动”扩面增量试点镇，拦江镇入选全国无障碍环境达标镇，常理镇海龙村创建全国乡村治理示范村、棕树坪村创建省级文化扶贫示范村，玉丰镇金鸡村创建全国文明村，白马镇毗卢寺村获评四川十大最美古村落。“湖光山色、安逸安居”城市品牌日趋响亮。</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发展动能显著增强。</w:t>
      </w:r>
      <w:r>
        <w:rPr>
          <w:rFonts w:ascii="Times New Roman" w:hAnsi="Times New Roman" w:eastAsia="仿宋_GB2312" w:cs="Times New Roman"/>
          <w:sz w:val="28"/>
          <w:szCs w:val="32"/>
        </w:rPr>
        <w:t>行政机构、乡镇区划、村建制调整、村民小组合并和社区建制优化五项改革圆满完成，进一步优化空间格局、重塑经济地理版图，“五个必谈”</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8</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“五个不减”</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9</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等经验为全省提供了“安居样本”。成功申报全国建制县隐性债务化解试点县，为发展提供了空间。“放管服”改革深入实施，营商环境加速优化，新增市场主体9975户，资源要素配置能力大大提升。全市唯一的全国紧密型县域医疗卫生共同体试点加快推进，国家知识产权强县试点通过验收。科技领域改革取得突破，新增国家高新技术企业5家，“安居造”新能源商用车批量投产。</w:t>
      </w:r>
      <w:r>
        <w:rPr>
          <w:rFonts w:hint="eastAsia" w:ascii="Times New Roman" w:hAnsi="Times New Roman" w:eastAsia="仿宋_GB2312" w:cs="Times New Roman"/>
          <w:sz w:val="28"/>
          <w:szCs w:val="32"/>
        </w:rPr>
        <w:t>安居经开区成功创建省级经开区、省级绿色园区、省级新型工业化示范基地</w:t>
      </w:r>
      <w:r>
        <w:rPr>
          <w:rFonts w:ascii="Times New Roman" w:hAnsi="Times New Roman" w:eastAsia="仿宋_GB2312" w:cs="Times New Roman"/>
          <w:sz w:val="28"/>
          <w:szCs w:val="32"/>
        </w:rPr>
        <w:t>。</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开放合作纵深推进。</w:t>
      </w:r>
      <w:r>
        <w:rPr>
          <w:rFonts w:ascii="Times New Roman" w:hAnsi="Times New Roman" w:eastAsia="仿宋_GB2312" w:cs="Times New Roman"/>
          <w:sz w:val="28"/>
          <w:szCs w:val="32"/>
        </w:rPr>
        <w:t>深度融入成渝地区双城经济圈建设，加入成渝轴线区（市）县协同发展联盟，签订基础设施、生态环保、公共服务等方面战略协议31个，成渝地区首条跨省城际公交、首条跨省农村客运开通运营，全面融入成渝地区1小时交通圈。“1+1+N”</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10</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招商模式成效突出，累计签约亿元以上项目91个、总投资520.3亿元。锂电及新材料产业从无到有，项目招引建刷新“安居速度”。综合施策促进对外贸易，累计完成进出口产值1.13亿元，年均增长6.3%。</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民生福祉切实改善。</w:t>
      </w:r>
      <w:r>
        <w:rPr>
          <w:rFonts w:ascii="Times New Roman" w:hAnsi="Times New Roman" w:eastAsia="仿宋_GB2312" w:cs="Times New Roman"/>
          <w:sz w:val="28"/>
          <w:szCs w:val="32"/>
        </w:rPr>
        <w:t>5.8万名建档立卡贫困人口全部脱贫、82个贫困村顺利退出，</w:t>
      </w:r>
      <w:r>
        <w:rPr>
          <w:rFonts w:hint="eastAsia" w:ascii="Times New Roman" w:hAnsi="Times New Roman" w:eastAsia="仿宋_GB2312" w:cs="Times New Roman"/>
          <w:sz w:val="28"/>
          <w:szCs w:val="32"/>
        </w:rPr>
        <w:t>首创</w:t>
      </w:r>
      <w:r>
        <w:rPr>
          <w:rFonts w:ascii="Times New Roman" w:hAnsi="Times New Roman" w:eastAsia="仿宋_GB2312" w:cs="Times New Roman"/>
          <w:sz w:val="28"/>
          <w:szCs w:val="32"/>
        </w:rPr>
        <w:t>“两线合一”</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11</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“四个三”</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12</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等脱贫攻坚创新做法在全省推广。城乡居民收入增幅达50%以上，城镇登记失业率降至3.68%，基本医疗保险参保率达100%，基本养老保险参保率达83%。义务教育均衡发展高质量通过国家验收，省级现代公共文化服务体系示范县创建通过中期评估，成功创建全省农村住房建设试点县、全省首批“四好农村路”示范县、全省未成年人思想道德建设工作先进县。民主法治建设迈出坚实步伐，历史遗留问题有序化解，国省“重点关注”毒签成功摘除、铁腕禁毒“六个四”</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13</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工作法全国推广，新冠肺炎疫情防控“一卡三员四不准”</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14</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工作法全省推广，守住“零输入”“零感染”安居净土，社会大局和谐稳定。</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生态环境根本好转。</w:t>
      </w:r>
      <w:r>
        <w:rPr>
          <w:rFonts w:ascii="Times New Roman" w:hAnsi="Times New Roman" w:eastAsia="仿宋_GB2312" w:cs="Times New Roman"/>
          <w:sz w:val="28"/>
          <w:szCs w:val="32"/>
        </w:rPr>
        <w:t>琼江流域污染防治攻坚取得阶段性成效，乡镇污水管网改造全面完成，乡镇污水处理厂全部实现提标扩容，萝卜园、三仙湖水库建成投用，琼江大安出川断面水质</w:t>
      </w:r>
      <w:r>
        <w:rPr>
          <w:rFonts w:hint="eastAsia" w:ascii="Times New Roman" w:hAnsi="Times New Roman" w:eastAsia="仿宋_GB2312" w:cs="Times New Roman"/>
          <w:sz w:val="28"/>
          <w:szCs w:val="32"/>
          <w:lang w:val="en-US" w:eastAsia="zh-CN"/>
        </w:rPr>
        <w:t>稳定保持</w:t>
      </w:r>
      <w:r>
        <w:rPr>
          <w:rFonts w:ascii="Times New Roman" w:hAnsi="Times New Roman" w:eastAsia="仿宋_GB2312" w:cs="Times New Roman"/>
          <w:sz w:val="28"/>
          <w:szCs w:val="32"/>
        </w:rPr>
        <w:t>Ⅲ类标准，“122N”</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15</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河长制经验全省交流推广。空气质量持续改善，优良天数率达94</w:t>
      </w:r>
      <w:r>
        <w:rPr>
          <w:rFonts w:hint="eastAsia" w:ascii="Times New Roman" w:hAnsi="Times New Roman" w:eastAsia="仿宋_GB2312" w:cs="Times New Roman"/>
          <w:sz w:val="28"/>
          <w:szCs w:val="32"/>
          <w:lang w:val="en-US" w:eastAsia="zh-CN"/>
        </w:rPr>
        <w:t>.5</w:t>
      </w:r>
      <w:r>
        <w:rPr>
          <w:rFonts w:ascii="Times New Roman" w:hAnsi="Times New Roman" w:eastAsia="仿宋_GB2312" w:cs="Times New Roman"/>
          <w:sz w:val="28"/>
          <w:szCs w:val="32"/>
        </w:rPr>
        <w:t>%，提前一年进入达标城市序列。森林覆盖率持续提高，绿色经济体系不断完善，绿色生产生活方式加速形成。</w:t>
      </w:r>
    </w:p>
    <w:p>
      <w:pPr>
        <w:spacing w:line="520" w:lineRule="exact"/>
        <w:ind w:firstLine="562" w:firstLineChars="200"/>
        <w:rPr>
          <w:rFonts w:ascii="Times New Roman" w:hAnsi="Times New Roman" w:eastAsia="仿宋_GB2312" w:cs="Times New Roman"/>
          <w:sz w:val="28"/>
          <w:szCs w:val="32"/>
        </w:rPr>
      </w:pPr>
      <w:r>
        <w:rPr>
          <w:rFonts w:ascii="Times New Roman" w:hAnsi="Times New Roman" w:eastAsia="仿宋_GB2312" w:cs="Times New Roman"/>
          <w:b/>
          <w:sz w:val="28"/>
          <w:szCs w:val="32"/>
        </w:rPr>
        <w:t>党的建设全面加强。</w:t>
      </w:r>
      <w:r>
        <w:rPr>
          <w:rFonts w:ascii="Times New Roman" w:hAnsi="Times New Roman" w:eastAsia="仿宋_GB2312" w:cs="Times New Roman"/>
          <w:sz w:val="28"/>
          <w:szCs w:val="32"/>
        </w:rPr>
        <w:t>扎实开展“两学一做”“不忘初心、牢记使命”主题教育等学习活动，广大党员干部切实增强“四个意识”、坚定“四个自信”、做到“两个维护”。意识形态领域引导和管理不断加强，社会主义核心价值观深入人心。实干实绩用人导向更加鲜明，选人用人公信度进一步提升。持之以恒正风肃纪，“清淤”“清畅”“清险”专项行动和“四大亮剑行动”</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16</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z w:val="28"/>
          <w:szCs w:val="32"/>
        </w:rPr>
        <w:t>纵深推进，“群众最不满意的10件事”“企业最不满意的10件事”持续整治，全省党风廉政建设社会评价满意度排名连年上升，风清气正的政治生态不断巩固和发展。</w:t>
      </w:r>
    </w:p>
    <w:bookmarkEnd w:id="9"/>
    <w:p>
      <w:pPr>
        <w:spacing w:line="520" w:lineRule="exact"/>
        <w:jc w:val="center"/>
        <w:outlineLvl w:val="2"/>
        <w:rPr>
          <w:rFonts w:hint="eastAsia" w:ascii="楷体_GB2312" w:hAnsi="楷体_GB2312" w:eastAsia="楷体_GB2312" w:cs="楷体_GB2312"/>
          <w:b/>
          <w:sz w:val="28"/>
          <w:szCs w:val="28"/>
        </w:rPr>
      </w:pPr>
      <w:bookmarkStart w:id="10" w:name="_Toc50372522"/>
      <w:r>
        <w:rPr>
          <w:rFonts w:hint="eastAsia" w:ascii="楷体_GB2312" w:hAnsi="楷体_GB2312" w:eastAsia="楷体_GB2312" w:cs="楷体_GB2312"/>
          <w:b/>
          <w:sz w:val="28"/>
          <w:szCs w:val="28"/>
        </w:rPr>
        <w:t>第二节 “十四五”发展环境</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当今世界正经历百年未有之大变局，“十四五”时期安居区的发展环境面临深刻复杂变化。</w:t>
      </w:r>
      <w:r>
        <w:rPr>
          <w:rFonts w:ascii="Times New Roman" w:hAnsi="Times New Roman" w:eastAsia="仿宋_GB2312" w:cs="Times New Roman"/>
          <w:b/>
          <w:bCs/>
          <w:snapToGrid w:val="0"/>
          <w:kern w:val="0"/>
          <w:sz w:val="28"/>
          <w:szCs w:val="32"/>
        </w:rPr>
        <w:t>从国际看</w:t>
      </w:r>
      <w:r>
        <w:rPr>
          <w:rFonts w:ascii="Times New Roman" w:hAnsi="Times New Roman" w:eastAsia="仿宋_GB2312" w:cs="Times New Roman"/>
          <w:snapToGrid w:val="0"/>
          <w:kern w:val="0"/>
          <w:sz w:val="28"/>
          <w:szCs w:val="32"/>
        </w:rPr>
        <w:t>，国际环境日趋复杂，新冠肺炎疫情影响深远，经济全球化遭遇逆流，不稳定性不确定性因素明显增加，新一轮科技革命和产业变革加速演进，人类命运共同体理念深入人心，和平和发展仍然是时代主题。</w:t>
      </w:r>
      <w:r>
        <w:rPr>
          <w:rFonts w:ascii="Times New Roman" w:hAnsi="Times New Roman" w:eastAsia="仿宋_GB2312" w:cs="Times New Roman"/>
          <w:b/>
          <w:bCs/>
          <w:snapToGrid w:val="0"/>
          <w:kern w:val="0"/>
          <w:sz w:val="28"/>
          <w:szCs w:val="32"/>
        </w:rPr>
        <w:t>从国内看</w:t>
      </w:r>
      <w:r>
        <w:rPr>
          <w:rFonts w:ascii="Times New Roman" w:hAnsi="Times New Roman" w:eastAsia="仿宋_GB2312" w:cs="Times New Roman"/>
          <w:snapToGrid w:val="0"/>
          <w:kern w:val="0"/>
          <w:sz w:val="28"/>
          <w:szCs w:val="32"/>
        </w:rPr>
        <w:t>，我国由全面建成小康社会转向全面建设社会主义现代化强国，当前和今后一个时期，发展仍然处于重要战略机遇期，但机遇和挑战都有新的变化。大国消费韧性、完整产业链、高效治理能力、人才红利、制度优势等是我国持续健康发展的重要基础，加快构建形成以国内大循环为主体、国内国际双循环相促进的新发展格局，推进区域协调发展，将进一步扩大需求、激活市场潜力。</w:t>
      </w:r>
      <w:r>
        <w:rPr>
          <w:rFonts w:ascii="Times New Roman" w:hAnsi="Times New Roman" w:eastAsia="仿宋_GB2312" w:cs="Times New Roman"/>
          <w:b/>
          <w:bCs/>
          <w:snapToGrid w:val="0"/>
          <w:kern w:val="0"/>
          <w:sz w:val="28"/>
          <w:szCs w:val="32"/>
        </w:rPr>
        <w:t>从省内看</w:t>
      </w:r>
      <w:r>
        <w:rPr>
          <w:rFonts w:ascii="Times New Roman" w:hAnsi="Times New Roman" w:eastAsia="仿宋_GB2312" w:cs="Times New Roman"/>
          <w:snapToGrid w:val="0"/>
          <w:kern w:val="0"/>
          <w:sz w:val="28"/>
          <w:szCs w:val="32"/>
        </w:rPr>
        <w:t>，发展水平迈上新台阶，空间布局整体优化，创新能力、开放水平、治理水平不断提高，生态环境、人民生活更加美好，“一带一路”</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17</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、新时代西部大开发及成渝地区双城经济圈等国家战略的实施将不断提升四川位势。</w:t>
      </w:r>
      <w:r>
        <w:rPr>
          <w:rFonts w:ascii="Times New Roman" w:hAnsi="Times New Roman" w:eastAsia="仿宋_GB2312" w:cs="Times New Roman"/>
          <w:b/>
          <w:bCs/>
          <w:snapToGrid w:val="0"/>
          <w:kern w:val="0"/>
          <w:sz w:val="28"/>
          <w:szCs w:val="32"/>
        </w:rPr>
        <w:t>从全市看</w:t>
      </w:r>
      <w:r>
        <w:rPr>
          <w:rFonts w:ascii="Times New Roman" w:hAnsi="Times New Roman" w:eastAsia="仿宋_GB2312" w:cs="Times New Roman"/>
          <w:snapToGrid w:val="0"/>
          <w:kern w:val="0"/>
          <w:sz w:val="28"/>
          <w:szCs w:val="32"/>
        </w:rPr>
        <w:t>，富民强市各项事业持续健康发展，经济实力实现跃升、协同发展全面深化、开放合作成效明显、发展动能更加强劲、生态环境持续向好、民生福祉不断改善，</w:t>
      </w:r>
      <w:r>
        <w:rPr>
          <w:rFonts w:hint="eastAsia" w:ascii="Times New Roman" w:hAnsi="Times New Roman" w:eastAsia="仿宋_GB2312" w:cs="Times New Roman"/>
          <w:snapToGrid w:val="0"/>
          <w:kern w:val="0"/>
          <w:sz w:val="28"/>
          <w:szCs w:val="32"/>
        </w:rPr>
        <w:t>“一核三片、四区协同”</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18</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snapToGrid w:val="0"/>
          <w:kern w:val="0"/>
          <w:sz w:val="28"/>
          <w:szCs w:val="32"/>
        </w:rPr>
        <w:t>区域经济布局</w:t>
      </w:r>
      <w:r>
        <w:rPr>
          <w:rFonts w:ascii="Times New Roman" w:hAnsi="Times New Roman" w:eastAsia="仿宋_GB2312" w:cs="Times New Roman"/>
          <w:snapToGrid w:val="0"/>
          <w:kern w:val="0"/>
          <w:sz w:val="28"/>
          <w:szCs w:val="32"/>
        </w:rPr>
        <w:t>深入实施，进一步明确了经济社会高质量发展的方向和路径。</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安居区的经济社会发展已经进入到滚石上山、爬坡过坎的关键阶段，与全省、全市一样处于转型发展、创新发展、跨越发展的关键时期，战略机遇与风险挑战并存，但机遇大于挑战。</w:t>
      </w:r>
      <w:r>
        <w:rPr>
          <w:rFonts w:ascii="Times New Roman" w:hAnsi="Times New Roman" w:eastAsia="仿宋_GB2312" w:cs="Times New Roman"/>
          <w:b/>
          <w:bCs/>
          <w:snapToGrid w:val="0"/>
          <w:kern w:val="0"/>
          <w:sz w:val="28"/>
          <w:szCs w:val="32"/>
        </w:rPr>
        <w:t>挑战在于：</w:t>
      </w:r>
      <w:r>
        <w:rPr>
          <w:rFonts w:hint="eastAsia" w:ascii="Times New Roman" w:hAnsi="Times New Roman" w:eastAsia="仿宋_GB2312" w:cs="Times New Roman"/>
          <w:snapToGrid w:val="0"/>
          <w:kern w:val="0"/>
          <w:sz w:val="28"/>
          <w:szCs w:val="32"/>
        </w:rPr>
        <w:t>经济总量小、人均水平低，产业结构不优、创新能力不足，资源优势未能充分转化为经济优势；城市规划建设滞后，中心城区首位度低，城乡人口空心化突出，城市人气商气还需提升；民生保障水平偏低，医疗、教育、养老等公共服务与人民群众期望还有差距；基础设施短板明显，三次产业融合程度不够，土地、人才、电力、资金等要素保障不足</w:t>
      </w:r>
      <w:r>
        <w:rPr>
          <w:rFonts w:ascii="Times New Roman" w:hAnsi="Times New Roman" w:eastAsia="仿宋_GB2312" w:cs="Times New Roman"/>
          <w:snapToGrid w:val="0"/>
          <w:kern w:val="0"/>
          <w:sz w:val="28"/>
          <w:szCs w:val="32"/>
        </w:rPr>
        <w:t>。</w:t>
      </w:r>
      <w:r>
        <w:rPr>
          <w:rFonts w:ascii="Times New Roman" w:hAnsi="Times New Roman" w:eastAsia="仿宋_GB2312" w:cs="Times New Roman"/>
          <w:b/>
          <w:bCs/>
          <w:snapToGrid w:val="0"/>
          <w:kern w:val="0"/>
          <w:sz w:val="28"/>
          <w:szCs w:val="32"/>
        </w:rPr>
        <w:t>机遇在于：</w:t>
      </w:r>
      <w:r>
        <w:rPr>
          <w:rFonts w:ascii="Times New Roman" w:hAnsi="Times New Roman" w:eastAsia="仿宋_GB2312" w:cs="Times New Roman"/>
          <w:snapToGrid w:val="0"/>
          <w:kern w:val="0"/>
          <w:sz w:val="28"/>
          <w:szCs w:val="32"/>
        </w:rPr>
        <w:t>既具有国家重大战略多重叠加的政策优势，又具有独特便利的区位优势、厚积薄发的产业基础、持续向好的发展环境。在成渝地区双城经济圈建设、遂潼川渝毗邻地区一体化发展先行区和全市“一城三区、一带两廊”</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19</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协调发展加快推进的发展背景下，安居坐拥成渝腹心、公路铁路航空立体交通网络节点等区位优势，有“3+2”现代工业产业体系与龙头企业引领，拥有湖光山色、安逸安居的发展环境，“十四五”时期安居必将发挥优势、彰显特色、释放潜能，形成对内对外开放新格局，成为建设制造业强省、制造业强市的强劲引擎，打造成渝地区投资兴业首选地。</w:t>
      </w:r>
    </w:p>
    <w:p>
      <w:pPr>
        <w:pStyle w:val="12"/>
        <w:adjustRightInd w:val="0"/>
        <w:snapToGrid w:val="0"/>
        <w:ind w:firstLine="0" w:firstLineChars="0"/>
        <w:jc w:val="center"/>
        <w:rPr>
          <w:rFonts w:ascii="Times New Roman" w:hAnsi="Times New Roman" w:cs="Times New Roman"/>
        </w:rPr>
      </w:pPr>
      <w:r>
        <w:rPr>
          <w:rFonts w:ascii="Times New Roman" w:hAnsi="Times New Roman" w:eastAsia="仿宋_GB2312" w:cs="Times New Roman"/>
          <w:sz w:val="28"/>
          <w:szCs w:val="32"/>
        </w:rPr>
        <w:drawing>
          <wp:inline distT="0" distB="0" distL="114300" distR="114300">
            <wp:extent cx="4845050" cy="3164205"/>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cstate="print"/>
                    <a:stretch>
                      <a:fillRect/>
                    </a:stretch>
                  </pic:blipFill>
                  <pic:spPr>
                    <a:xfrm>
                      <a:off x="0" y="0"/>
                      <a:ext cx="4855568" cy="3171393"/>
                    </a:xfrm>
                    <a:prstGeom prst="rect">
                      <a:avLst/>
                    </a:prstGeom>
                  </pic:spPr>
                </pic:pic>
              </a:graphicData>
            </a:graphic>
          </wp:inline>
        </w:drawing>
      </w:r>
    </w:p>
    <w:p>
      <w:pPr>
        <w:widowControl/>
        <w:jc w:val="center"/>
        <w:rPr>
          <w:rFonts w:hint="eastAsia" w:ascii="Times New Roman" w:hAnsi="Times New Roman" w:eastAsia="仿宋" w:cs="Times New Roman"/>
          <w:b/>
          <w:bCs w:val="0"/>
          <w:sz w:val="28"/>
          <w:szCs w:val="28"/>
        </w:rPr>
      </w:pPr>
      <w:r>
        <w:rPr>
          <w:rFonts w:hint="eastAsia" w:ascii="Times New Roman" w:hAnsi="Times New Roman" w:eastAsia="仿宋" w:cs="Times New Roman"/>
          <w:b/>
          <w:bCs w:val="0"/>
          <w:sz w:val="28"/>
          <w:szCs w:val="28"/>
        </w:rPr>
        <w:t>图1</w:t>
      </w:r>
      <w:r>
        <w:rPr>
          <w:rFonts w:ascii="Times New Roman" w:hAnsi="Times New Roman" w:eastAsia="仿宋" w:cs="Times New Roman"/>
          <w:b/>
          <w:bCs w:val="0"/>
          <w:sz w:val="28"/>
          <w:szCs w:val="28"/>
        </w:rPr>
        <w:t xml:space="preserve">-1 </w:t>
      </w:r>
      <w:r>
        <w:rPr>
          <w:rFonts w:hint="eastAsia" w:ascii="Times New Roman" w:hAnsi="Times New Roman" w:eastAsia="仿宋" w:cs="Times New Roman"/>
          <w:b/>
          <w:bCs w:val="0"/>
          <w:sz w:val="28"/>
          <w:szCs w:val="28"/>
        </w:rPr>
        <w:t>安居区</w:t>
      </w:r>
      <w:r>
        <w:rPr>
          <w:rFonts w:ascii="Times New Roman" w:hAnsi="Times New Roman" w:eastAsia="仿宋" w:cs="Times New Roman"/>
          <w:b/>
          <w:bCs w:val="0"/>
          <w:sz w:val="28"/>
          <w:szCs w:val="28"/>
        </w:rPr>
        <w:t>在</w:t>
      </w:r>
      <w:r>
        <w:rPr>
          <w:rFonts w:hint="eastAsia" w:ascii="Times New Roman" w:hAnsi="Times New Roman" w:eastAsia="仿宋" w:cs="Times New Roman"/>
          <w:b/>
          <w:bCs w:val="0"/>
          <w:sz w:val="28"/>
          <w:szCs w:val="28"/>
        </w:rPr>
        <w:t>成渝</w:t>
      </w:r>
      <w:r>
        <w:rPr>
          <w:rFonts w:ascii="Times New Roman" w:hAnsi="Times New Roman" w:eastAsia="仿宋" w:cs="Times New Roman"/>
          <w:b/>
          <w:bCs w:val="0"/>
          <w:sz w:val="28"/>
          <w:szCs w:val="28"/>
        </w:rPr>
        <w:t>地区的</w:t>
      </w:r>
      <w:r>
        <w:rPr>
          <w:rFonts w:hint="eastAsia" w:ascii="Times New Roman" w:hAnsi="Times New Roman" w:eastAsia="仿宋" w:cs="Times New Roman"/>
          <w:b/>
          <w:bCs w:val="0"/>
          <w:sz w:val="28"/>
          <w:szCs w:val="28"/>
        </w:rPr>
        <w:t>区位</w:t>
      </w:r>
    </w:p>
    <w:bookmarkEnd w:id="10"/>
    <w:p>
      <w:pPr>
        <w:pStyle w:val="4"/>
        <w:spacing w:before="312" w:beforeLines="100" w:after="156" w:afterLines="50" w:line="576" w:lineRule="exact"/>
        <w:jc w:val="center"/>
        <w:rPr>
          <w:rFonts w:hint="eastAsia" w:ascii="方正黑体简体" w:hAnsi="方正黑体简体" w:eastAsia="方正黑体简体" w:cs="方正黑体简体"/>
          <w:b w:val="0"/>
          <w:bCs w:val="0"/>
        </w:rPr>
      </w:pPr>
      <w:bookmarkStart w:id="11" w:name="_Toc18101"/>
      <w:bookmarkStart w:id="12" w:name="_Toc65153166"/>
      <w:bookmarkStart w:id="13" w:name="_Toc25801"/>
      <w:bookmarkStart w:id="14" w:name="_Toc18232"/>
      <w:r>
        <w:rPr>
          <w:rFonts w:hint="eastAsia" w:ascii="方正黑体简体" w:hAnsi="方正黑体简体" w:eastAsia="方正黑体简体" w:cs="方正黑体简体"/>
          <w:b w:val="0"/>
          <w:bCs w:val="0"/>
        </w:rPr>
        <w:t>第二章 总体要求</w:t>
      </w:r>
      <w:bookmarkEnd w:id="11"/>
      <w:bookmarkEnd w:id="12"/>
      <w:bookmarkEnd w:id="13"/>
      <w:bookmarkEnd w:id="14"/>
    </w:p>
    <w:p>
      <w:pPr>
        <w:spacing w:line="520" w:lineRule="exact"/>
        <w:jc w:val="center"/>
        <w:outlineLvl w:val="2"/>
        <w:rPr>
          <w:rFonts w:hint="eastAsia" w:ascii="楷体_GB2312" w:hAnsi="楷体_GB2312" w:eastAsia="楷体_GB2312" w:cs="楷体_GB2312"/>
          <w:b/>
          <w:sz w:val="28"/>
          <w:szCs w:val="28"/>
        </w:rPr>
      </w:pPr>
      <w:bookmarkStart w:id="15" w:name="_Toc50372525"/>
      <w:r>
        <w:rPr>
          <w:rFonts w:hint="eastAsia" w:ascii="楷体_GB2312" w:hAnsi="楷体_GB2312" w:eastAsia="楷体_GB2312" w:cs="楷体_GB2312"/>
          <w:b/>
          <w:sz w:val="28"/>
          <w:szCs w:val="28"/>
        </w:rPr>
        <w:t>第一节 指导思想</w:t>
      </w:r>
      <w:bookmarkEnd w:id="15"/>
    </w:p>
    <w:p>
      <w:pPr>
        <w:spacing w:line="520" w:lineRule="exact"/>
        <w:ind w:firstLine="560" w:firstLineChars="200"/>
        <w:rPr>
          <w:rFonts w:ascii="Times New Roman" w:hAnsi="Times New Roman" w:eastAsia="仿宋_GB2312" w:cs="Times New Roman"/>
          <w:snapToGrid w:val="0"/>
          <w:kern w:val="0"/>
          <w:sz w:val="28"/>
          <w:szCs w:val="32"/>
        </w:rPr>
      </w:pPr>
      <w:bookmarkStart w:id="16" w:name="_Toc50372526"/>
      <w:r>
        <w:rPr>
          <w:rFonts w:hint="eastAsia" w:ascii="Times New Roman" w:hAnsi="Times New Roman" w:eastAsia="仿宋_GB2312" w:cs="Times New Roman"/>
          <w:snapToGrid w:val="0"/>
          <w:kern w:val="0"/>
          <w:sz w:val="28"/>
          <w:szCs w:val="32"/>
        </w:rPr>
        <w:t>高举中国特色社会主义伟大旗帜，坚持以马克思列宁主义、毛泽东思想、邓小平理论、“三个代表”重要思想、科学发展观、习近平新时代中国特色社会主义思想为指导，全面贯彻党的基本理论、基本路线、基本方略，全面贯彻党的十九大和十九届二中、三中、四中、五中全会精神，全面贯彻习近平总书记对四川工作系列重要指示精神，全面落实中央和省委、市委决策部署，统筹推进“五位一体”总体布局</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20</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snapToGrid w:val="0"/>
          <w:kern w:val="0"/>
          <w:sz w:val="28"/>
          <w:szCs w:val="32"/>
        </w:rPr>
        <w:t>，协调推进“四个全面”战略布局</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21</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snapToGrid w:val="0"/>
          <w:kern w:val="0"/>
          <w:sz w:val="28"/>
          <w:szCs w:val="32"/>
        </w:rPr>
        <w:t>，立足新发展阶段，贯彻新发展理念，融入新发展格局，以推动高质量发展为主题，以深化供给侧结构性改革为主线，以改革创新为根本动力，以满足人民日益增长的美好生活需要为根本目的，统筹发展与安全，大力实施“1336发展战略”，昂首阔步走在全市发展最前列，为全面建设社会主义现代化安居而努力奋斗</w:t>
      </w:r>
      <w:r>
        <w:rPr>
          <w:rFonts w:ascii="Times New Roman" w:hAnsi="Times New Roman" w:eastAsia="仿宋_GB2312" w:cs="Times New Roman"/>
          <w:snapToGrid w:val="0"/>
          <w:kern w:val="0"/>
          <w:sz w:val="28"/>
          <w:szCs w:val="32"/>
        </w:rPr>
        <w:t>。</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 xml:space="preserve">第二节 </w:t>
      </w:r>
      <w:r>
        <w:rPr>
          <w:rFonts w:hint="eastAsia" w:ascii="楷体_GB2312" w:hAnsi="楷体_GB2312" w:eastAsia="楷体_GB2312" w:cs="楷体_GB2312"/>
          <w:b/>
          <w:sz w:val="28"/>
          <w:szCs w:val="28"/>
          <w:lang w:eastAsia="zh-CN"/>
        </w:rPr>
        <w:t>“</w:t>
      </w:r>
      <w:r>
        <w:rPr>
          <w:rFonts w:hint="eastAsia" w:ascii="楷体_GB2312" w:hAnsi="楷体_GB2312" w:eastAsia="楷体_GB2312" w:cs="楷体_GB2312"/>
          <w:b/>
          <w:sz w:val="28"/>
          <w:szCs w:val="28"/>
          <w:lang w:val="en-US" w:eastAsia="zh-CN"/>
        </w:rPr>
        <w:t>十四五</w:t>
      </w:r>
      <w:r>
        <w:rPr>
          <w:rFonts w:hint="eastAsia" w:ascii="楷体_GB2312" w:hAnsi="楷体_GB2312" w:eastAsia="楷体_GB2312" w:cs="楷体_GB2312"/>
          <w:b/>
          <w:sz w:val="28"/>
          <w:szCs w:val="28"/>
          <w:lang w:eastAsia="zh-CN"/>
        </w:rPr>
        <w:t>”</w:t>
      </w:r>
      <w:r>
        <w:rPr>
          <w:rFonts w:hint="eastAsia" w:ascii="楷体_GB2312" w:hAnsi="楷体_GB2312" w:eastAsia="楷体_GB2312" w:cs="楷体_GB2312"/>
          <w:b/>
          <w:sz w:val="28"/>
          <w:szCs w:val="28"/>
          <w:lang w:val="en-US" w:eastAsia="zh-CN"/>
        </w:rPr>
        <w:t>时期主要目标</w:t>
      </w:r>
      <w:bookmarkEnd w:id="16"/>
    </w:p>
    <w:p>
      <w:pPr>
        <w:spacing w:line="520" w:lineRule="exact"/>
        <w:ind w:firstLine="560" w:firstLineChars="200"/>
        <w:rPr>
          <w:rFonts w:hint="eastAsia" w:ascii="Times New Roman" w:hAnsi="Times New Roman" w:eastAsia="仿宋_GB2312" w:cs="Times New Roman"/>
          <w:bCs/>
          <w:sz w:val="28"/>
          <w:szCs w:val="32"/>
        </w:rPr>
      </w:pPr>
      <w:bookmarkStart w:id="17" w:name="_Toc50372527"/>
      <w:r>
        <w:rPr>
          <w:rFonts w:hint="eastAsia" w:ascii="Times New Roman" w:hAnsi="Times New Roman" w:eastAsia="仿宋_GB2312" w:cs="Times New Roman"/>
          <w:bCs/>
          <w:sz w:val="28"/>
          <w:szCs w:val="32"/>
        </w:rPr>
        <w:t>大力实施“1336发展战略”，即“1”个战略目标、“3”大百亿产业集群、“3”大特色高地、“6”大工程。紧紧围绕建设“‘成渝之星’安居极核”</w:t>
      </w:r>
      <w:r>
        <w:rPr>
          <w:rFonts w:hint="eastAsia" w:ascii="Times New Roman" w:hAnsi="Times New Roman" w:eastAsia="仿宋_GB2312" w:cs="Times New Roman"/>
          <w:bCs/>
          <w:sz w:val="28"/>
          <w:szCs w:val="32"/>
          <w:lang w:val="en-US" w:eastAsia="zh-CN"/>
        </w:rPr>
        <w:t>和湖光山色中的安逸安居</w:t>
      </w:r>
      <w:r>
        <w:rPr>
          <w:rFonts w:hint="eastAsia" w:ascii="Times New Roman" w:hAnsi="Times New Roman" w:eastAsia="仿宋_GB2312" w:cs="Times New Roman"/>
          <w:bCs/>
          <w:sz w:val="28"/>
          <w:szCs w:val="32"/>
        </w:rPr>
        <w:t>这一战略目标，做大做强锂电及新材料、汽车与装备制造、天然气清洁能源“三大百亿产业集群”，建设成渝营商环境新高地、西部休闲旅游必选地、全国乡村振兴样板地等“三大特色高地”，大力实施特色产业大跨越、公园城市大提质、乡村振兴大升级、全域开放大突破、民生幸福大升温、党建强基大引领等“六大工程”，做到一年初见成效、三年取得突破、五年塑成优势。</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w:t>
      </w:r>
      <w:r>
        <w:rPr>
          <w:rFonts w:hint="eastAsia" w:ascii="楷体_GB2312" w:hAnsi="楷体_GB2312" w:eastAsia="楷体_GB2312" w:cs="楷体_GB2312"/>
          <w:b/>
          <w:sz w:val="28"/>
          <w:szCs w:val="28"/>
          <w:lang w:val="en-US" w:eastAsia="zh-CN"/>
        </w:rPr>
        <w:t>三</w:t>
      </w:r>
      <w:r>
        <w:rPr>
          <w:rFonts w:hint="eastAsia" w:ascii="楷体_GB2312" w:hAnsi="楷体_GB2312" w:eastAsia="楷体_GB2312" w:cs="楷体_GB2312"/>
          <w:b/>
          <w:sz w:val="28"/>
          <w:szCs w:val="28"/>
        </w:rPr>
        <w:t>节 二〇三五年远景目标</w:t>
      </w:r>
    </w:p>
    <w:p>
      <w:pPr>
        <w:spacing w:line="520" w:lineRule="exact"/>
        <w:ind w:firstLine="560" w:firstLineChars="200"/>
        <w:outlineLvl w:val="9"/>
        <w:rPr>
          <w:rFonts w:hint="eastAsia" w:ascii="Times New Roman" w:hAnsi="Times New Roman" w:eastAsia="仿宋_GB2312" w:cs="Times New Roman"/>
          <w:b w:val="0"/>
          <w:sz w:val="28"/>
          <w:szCs w:val="32"/>
        </w:rPr>
      </w:pPr>
      <w:r>
        <w:rPr>
          <w:rFonts w:hint="eastAsia" w:ascii="Times New Roman" w:hAnsi="Times New Roman" w:eastAsia="仿宋_GB2312" w:cs="Times New Roman"/>
          <w:b w:val="0"/>
          <w:sz w:val="28"/>
          <w:szCs w:val="32"/>
        </w:rPr>
        <w:t>展望到2035年，安居将与全国、全省、全市同步基本实现社会主义现代化，在成渝地区中部率先崛起，成功创建全省县域经济发展</w:t>
      </w:r>
      <w:r>
        <w:rPr>
          <w:rFonts w:hint="eastAsia" w:ascii="Times New Roman" w:hAnsi="Times New Roman" w:eastAsia="仿宋_GB2312" w:cs="Times New Roman"/>
          <w:b w:val="0"/>
          <w:sz w:val="28"/>
          <w:szCs w:val="32"/>
          <w:lang w:val="en-US" w:eastAsia="zh-CN"/>
        </w:rPr>
        <w:t>先进县</w:t>
      </w:r>
      <w:r>
        <w:rPr>
          <w:rFonts w:hint="eastAsia" w:ascii="Times New Roman" w:hAnsi="Times New Roman" w:eastAsia="仿宋_GB2312" w:cs="Times New Roman"/>
          <w:b w:val="0"/>
          <w:sz w:val="28"/>
          <w:szCs w:val="32"/>
        </w:rPr>
        <w:t>，建成遂潼川渝毗邻地区一体化发展引领区，成为展示国家重大区域发展战略成果重要窗口。制造业强区全面实现，建成遂潼涪江创新产业园区核心区、成渝地区特色工业示范区和清洁能源示范基地。交通强区基本建成，成为全市国家物流枢纽的重要功能配套区、联动成渝重要门户枢纽的桥头堡。科技创新成为经济增长的主要动力，建成现代产业创新城和成渝地区创业之都。人城境业和谐统一，建成川渝毗邻地区文商农旅融合发展示范区，打造成渝地区安逸安居公园城市新典范和国家级全域旅游示范区。基本实现治理体系和治理能力现代化，法治政府、法治社会达到更高水平。人民生活更加美好，市民素质和社会文明程度达到新高度，基本建成川渝毗邻地区文旅名城、教育名城、医养健康名城。</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lang w:val="en-US" w:eastAsia="zh-CN"/>
        </w:rPr>
      </w:pPr>
      <w:bookmarkStart w:id="18" w:name="_Toc26810"/>
      <w:bookmarkStart w:id="19" w:name="_Toc9614"/>
      <w:bookmarkStart w:id="20" w:name="_Toc2474"/>
      <w:r>
        <w:rPr>
          <w:rFonts w:hint="eastAsia" w:ascii="方正黑体简体" w:hAnsi="方正黑体简体" w:eastAsia="方正黑体简体" w:cs="方正黑体简体"/>
          <w:b w:val="0"/>
          <w:bCs w:val="0"/>
        </w:rPr>
        <w:t>第</w:t>
      </w:r>
      <w:r>
        <w:rPr>
          <w:rFonts w:hint="eastAsia" w:ascii="方正黑体简体" w:hAnsi="方正黑体简体" w:eastAsia="方正黑体简体" w:cs="方正黑体简体"/>
          <w:b w:val="0"/>
          <w:bCs w:val="0"/>
          <w:lang w:val="en-US" w:eastAsia="zh-CN"/>
        </w:rPr>
        <w:t>三</w:t>
      </w:r>
      <w:r>
        <w:rPr>
          <w:rFonts w:hint="eastAsia" w:ascii="方正黑体简体" w:hAnsi="方正黑体简体" w:eastAsia="方正黑体简体" w:cs="方正黑体简体"/>
          <w:b w:val="0"/>
          <w:bCs w:val="0"/>
        </w:rPr>
        <w:t xml:space="preserve">章 </w:t>
      </w:r>
      <w:r>
        <w:rPr>
          <w:rFonts w:hint="eastAsia" w:ascii="方正黑体简体" w:hAnsi="方正黑体简体" w:eastAsia="方正黑体简体" w:cs="方正黑体简体"/>
          <w:b w:val="0"/>
          <w:bCs w:val="0"/>
          <w:lang w:eastAsia="zh-CN"/>
        </w:rPr>
        <w:t>“</w:t>
      </w:r>
      <w:r>
        <w:rPr>
          <w:rFonts w:hint="eastAsia" w:ascii="方正黑体简体" w:hAnsi="方正黑体简体" w:eastAsia="方正黑体简体" w:cs="方正黑体简体"/>
          <w:b w:val="0"/>
          <w:bCs w:val="0"/>
          <w:lang w:val="en-US" w:eastAsia="zh-CN"/>
        </w:rPr>
        <w:t>十四五</w:t>
      </w:r>
      <w:r>
        <w:rPr>
          <w:rFonts w:hint="eastAsia" w:ascii="方正黑体简体" w:hAnsi="方正黑体简体" w:eastAsia="方正黑体简体" w:cs="方正黑体简体"/>
          <w:b w:val="0"/>
          <w:bCs w:val="0"/>
          <w:lang w:eastAsia="zh-CN"/>
        </w:rPr>
        <w:t>”</w:t>
      </w:r>
      <w:r>
        <w:rPr>
          <w:rFonts w:hint="eastAsia" w:ascii="方正黑体简体" w:hAnsi="方正黑体简体" w:eastAsia="方正黑体简体" w:cs="方正黑体简体"/>
          <w:b w:val="0"/>
          <w:bCs w:val="0"/>
          <w:lang w:val="en-US" w:eastAsia="zh-CN"/>
        </w:rPr>
        <w:t>战略目标、战略重点、战略支撑</w:t>
      </w:r>
      <w:bookmarkEnd w:id="18"/>
      <w:bookmarkEnd w:id="19"/>
      <w:bookmarkEnd w:id="20"/>
    </w:p>
    <w:p>
      <w:pPr>
        <w:spacing w:line="520" w:lineRule="exact"/>
        <w:ind w:firstLine="0" w:firstLineChars="0"/>
        <w:jc w:val="center"/>
        <w:outlineLvl w:val="2"/>
        <w:rPr>
          <w:rFonts w:hint="eastAsia" w:ascii="楷体_GB2312" w:hAnsi="楷体_GB2312" w:eastAsia="楷体_GB2312" w:cs="楷体_GB2312"/>
          <w:b/>
          <w:snapToGrid/>
          <w:kern w:val="2"/>
          <w:sz w:val="28"/>
          <w:szCs w:val="28"/>
          <w:lang w:val="en-US" w:eastAsia="zh-CN"/>
        </w:rPr>
      </w:pPr>
      <w:r>
        <w:rPr>
          <w:rFonts w:hint="eastAsia" w:ascii="楷体_GB2312" w:hAnsi="楷体_GB2312" w:eastAsia="楷体_GB2312" w:cs="楷体_GB2312"/>
          <w:b/>
          <w:sz w:val="28"/>
          <w:szCs w:val="28"/>
        </w:rPr>
        <w:t>第</w:t>
      </w:r>
      <w:r>
        <w:rPr>
          <w:rFonts w:hint="eastAsia" w:ascii="楷体_GB2312" w:hAnsi="楷体_GB2312" w:eastAsia="楷体_GB2312" w:cs="楷体_GB2312"/>
          <w:b/>
          <w:sz w:val="28"/>
          <w:szCs w:val="28"/>
          <w:lang w:val="en-US" w:eastAsia="zh-CN"/>
        </w:rPr>
        <w:t>一</w:t>
      </w:r>
      <w:r>
        <w:rPr>
          <w:rFonts w:hint="eastAsia" w:ascii="楷体_GB2312" w:hAnsi="楷体_GB2312" w:eastAsia="楷体_GB2312" w:cs="楷体_GB2312"/>
          <w:b/>
          <w:sz w:val="28"/>
          <w:szCs w:val="28"/>
        </w:rPr>
        <w:t>节</w:t>
      </w:r>
      <w:r>
        <w:rPr>
          <w:rFonts w:hint="eastAsia" w:ascii="楷体_GB2312" w:hAnsi="楷体_GB2312" w:eastAsia="楷体_GB2312" w:cs="楷体_GB2312"/>
          <w:b/>
          <w:sz w:val="28"/>
          <w:szCs w:val="28"/>
          <w:lang w:val="en-US" w:eastAsia="zh-CN"/>
        </w:rPr>
        <w:t xml:space="preserve"> </w:t>
      </w:r>
      <w:r>
        <w:rPr>
          <w:rFonts w:hint="eastAsia" w:ascii="楷体_GB2312" w:hAnsi="楷体_GB2312" w:eastAsia="楷体_GB2312" w:cs="楷体_GB2312"/>
          <w:b/>
          <w:snapToGrid/>
          <w:kern w:val="2"/>
          <w:sz w:val="28"/>
          <w:szCs w:val="28"/>
          <w:lang w:val="en-US" w:eastAsia="zh-CN"/>
        </w:rPr>
        <w:t>战略目标</w:t>
      </w:r>
    </w:p>
    <w:p>
      <w:pPr>
        <w:spacing w:line="520" w:lineRule="exact"/>
        <w:ind w:firstLine="560" w:firstLineChars="200"/>
        <w:rPr>
          <w:rFonts w:hint="eastAsia" w:ascii="Times New Roman" w:hAnsi="Times New Roman" w:eastAsia="仿宋_GB2312" w:cs="Times New Roman"/>
          <w:bCs/>
          <w:sz w:val="28"/>
          <w:szCs w:val="32"/>
        </w:rPr>
      </w:pPr>
      <w:r>
        <w:rPr>
          <w:rFonts w:hint="eastAsia" w:ascii="Times New Roman" w:hAnsi="Times New Roman" w:eastAsia="仿宋_GB2312" w:cs="Times New Roman"/>
          <w:bCs/>
          <w:sz w:val="28"/>
          <w:szCs w:val="32"/>
        </w:rPr>
        <w:t>坚持“用项目发言、用数据说话、用排位打表”的竞进精神，秉持“埋头苦干、真抓实干、创新巧干”的攻坚激情，保持“重实干、强执行、抓落实”的务实作风，全力打造“成渝之星”安居极核</w:t>
      </w:r>
      <w:r>
        <w:rPr>
          <w:rFonts w:hint="eastAsia" w:ascii="Times New Roman" w:hAnsi="Times New Roman" w:eastAsia="仿宋_GB2312" w:cs="Times New Roman"/>
          <w:bCs/>
          <w:sz w:val="28"/>
          <w:szCs w:val="32"/>
          <w:lang w:val="en-US" w:eastAsia="zh-CN"/>
        </w:rPr>
        <w:t>和湖光山色中的安逸安居</w:t>
      </w:r>
      <w:r>
        <w:rPr>
          <w:rFonts w:hint="eastAsia" w:ascii="Times New Roman" w:hAnsi="Times New Roman" w:eastAsia="仿宋_GB2312" w:cs="Times New Roman"/>
          <w:bCs/>
          <w:sz w:val="28"/>
          <w:szCs w:val="32"/>
        </w:rPr>
        <w:t>。奋斗方向是：</w:t>
      </w:r>
    </w:p>
    <w:p>
      <w:pPr>
        <w:spacing w:line="520" w:lineRule="exact"/>
        <w:ind w:firstLine="560" w:firstLineChars="200"/>
        <w:rPr>
          <w:rFonts w:hint="eastAsia" w:ascii="Times New Roman" w:hAnsi="Times New Roman" w:eastAsia="仿宋_GB2312" w:cs="Times New Roman"/>
          <w:bCs/>
          <w:sz w:val="28"/>
          <w:szCs w:val="32"/>
        </w:rPr>
      </w:pPr>
      <w:r>
        <w:rPr>
          <w:rFonts w:hint="eastAsia" w:ascii="Times New Roman" w:hAnsi="Times New Roman" w:eastAsia="仿宋_GB2312" w:cs="Times New Roman"/>
          <w:bCs/>
          <w:sz w:val="28"/>
          <w:szCs w:val="32"/>
        </w:rPr>
        <w:t>——让安居更安全。贯彻落实总体国家安全观，统筹发展和安全两件大事，社会治理效能得到新提升，社会主义民主法治更加健全，基层治理水平不断提高，创新创造一批社会治理“安居模式”“安居样板”“安居经验”，争创全省法治政府建设示范区。</w:t>
      </w:r>
    </w:p>
    <w:p>
      <w:pPr>
        <w:spacing w:line="520" w:lineRule="exact"/>
        <w:ind w:firstLine="560" w:firstLineChars="200"/>
        <w:rPr>
          <w:rFonts w:hint="eastAsia" w:ascii="Times New Roman" w:hAnsi="Times New Roman" w:eastAsia="仿宋_GB2312" w:cs="Times New Roman"/>
          <w:bCs/>
          <w:sz w:val="28"/>
          <w:szCs w:val="32"/>
        </w:rPr>
      </w:pPr>
      <w:r>
        <w:rPr>
          <w:rFonts w:hint="eastAsia" w:ascii="Times New Roman" w:hAnsi="Times New Roman" w:eastAsia="仿宋_GB2312" w:cs="Times New Roman"/>
          <w:bCs/>
          <w:sz w:val="28"/>
          <w:szCs w:val="32"/>
        </w:rPr>
        <w:t>——让安居更安居。践行生态优先理念，把绿水青山与金山银山、道法自然与以人为本统筹起来，对自然保持最大敬畏之心，高点起步、高端切入、高质推进，以最少投入、做最小改动、收到最好效果，让城在林中、家在园中、人在绿中的生态美景随处可见，成为“西部水都”中最美风景。到2025年，公园城市特点初步显现；到2030年，全面建成湖光山色中的安逸安居公园城市，成为成渝地区公园城市新典范。</w:t>
      </w:r>
    </w:p>
    <w:p>
      <w:pPr>
        <w:spacing w:line="520" w:lineRule="exact"/>
        <w:ind w:firstLine="560" w:firstLineChars="200"/>
        <w:jc w:val="left"/>
        <w:rPr>
          <w:rFonts w:ascii="Times New Roman" w:hAnsi="Times New Roman" w:eastAsia="仿宋_GB2312" w:cs="Times New Roman"/>
          <w:sz w:val="28"/>
          <w:szCs w:val="32"/>
        </w:rPr>
      </w:pPr>
      <w:r>
        <w:rPr>
          <w:rFonts w:hint="eastAsia" w:ascii="Times New Roman" w:hAnsi="Times New Roman" w:eastAsia="仿宋_GB2312" w:cs="Times New Roman"/>
          <w:bCs/>
          <w:sz w:val="28"/>
          <w:szCs w:val="32"/>
        </w:rPr>
        <w:t>——让安居更安逸。主要经济指标增速持续领跑全市，综合实力跻身全省中等收入县区上游水平。到2025年，全面实现“五个领跑、两个提升”</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22</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sz w:val="28"/>
          <w:szCs w:val="32"/>
        </w:rPr>
        <w:t>，地区生产总值突破300亿元，一般公共预算收入增幅高于全市、全省平均水平，人均地区生产总值、财政收入占地区生产总值比重、常住人口城镇化率与全国、全省、全市平均水平差距持续缩小，加快创建全省县域经济发展先进县；到2035年，与全国、全省、全市同步基本实现社会主义现代化。</w:t>
      </w:r>
      <w:bookmarkStart w:id="21" w:name="_Toc65153167"/>
    </w:p>
    <w:bookmarkEnd w:id="17"/>
    <w:bookmarkEnd w:id="21"/>
    <w:p>
      <w:pPr>
        <w:spacing w:line="520" w:lineRule="exact"/>
        <w:jc w:val="center"/>
        <w:outlineLvl w:val="2"/>
        <w:rPr>
          <w:rFonts w:hint="eastAsia" w:ascii="楷体_GB2312" w:hAnsi="楷体_GB2312" w:eastAsia="楷体_GB2312" w:cs="楷体_GB2312"/>
          <w:b/>
          <w:sz w:val="28"/>
          <w:szCs w:val="28"/>
          <w:lang w:eastAsia="zh-CN"/>
        </w:rPr>
      </w:pPr>
      <w:bookmarkStart w:id="22" w:name="_Toc50372528"/>
      <w:r>
        <w:rPr>
          <w:rFonts w:hint="eastAsia" w:ascii="楷体_GB2312" w:hAnsi="楷体_GB2312" w:eastAsia="楷体_GB2312" w:cs="楷体_GB2312"/>
          <w:b/>
          <w:sz w:val="28"/>
          <w:szCs w:val="28"/>
        </w:rPr>
        <w:t>第</w:t>
      </w:r>
      <w:r>
        <w:rPr>
          <w:rFonts w:hint="eastAsia" w:ascii="楷体_GB2312" w:hAnsi="楷体_GB2312" w:eastAsia="楷体_GB2312" w:cs="楷体_GB2312"/>
          <w:b/>
          <w:sz w:val="28"/>
          <w:szCs w:val="28"/>
          <w:lang w:val="en-US" w:eastAsia="zh-CN"/>
        </w:rPr>
        <w:t>二</w:t>
      </w:r>
      <w:r>
        <w:rPr>
          <w:rFonts w:hint="eastAsia" w:ascii="楷体_GB2312" w:hAnsi="楷体_GB2312" w:eastAsia="楷体_GB2312" w:cs="楷体_GB2312"/>
          <w:b/>
          <w:sz w:val="28"/>
          <w:szCs w:val="28"/>
        </w:rPr>
        <w:t>节 战略</w:t>
      </w:r>
      <w:r>
        <w:rPr>
          <w:rFonts w:hint="eastAsia" w:ascii="楷体_GB2312" w:hAnsi="楷体_GB2312" w:eastAsia="楷体_GB2312" w:cs="楷体_GB2312"/>
          <w:b/>
          <w:sz w:val="28"/>
          <w:szCs w:val="28"/>
          <w:lang w:val="en-US" w:eastAsia="zh-CN"/>
        </w:rPr>
        <w:t>重点</w:t>
      </w:r>
    </w:p>
    <w:p>
      <w:pPr>
        <w:spacing w:line="520" w:lineRule="exact"/>
        <w:ind w:firstLine="560" w:firstLineChars="200"/>
        <w:rPr>
          <w:rFonts w:hint="eastAsia" w:ascii="Times New Roman" w:hAnsi="Times New Roman" w:eastAsia="仿宋_GB2312" w:cs="Times New Roman"/>
          <w:sz w:val="28"/>
          <w:szCs w:val="32"/>
        </w:rPr>
      </w:pPr>
      <w:r>
        <w:rPr>
          <w:rFonts w:hint="eastAsia" w:ascii="Times New Roman" w:hAnsi="Times New Roman" w:eastAsia="仿宋_GB2312" w:cs="Times New Roman"/>
          <w:sz w:val="28"/>
          <w:szCs w:val="32"/>
        </w:rPr>
        <w:t>立足安居崛起，强化产业支撑，突出集群引爆，打造千亿园区，培育大企业、发展大产业、构建大集群，全面开启工业高质量发展新篇章。</w:t>
      </w:r>
    </w:p>
    <w:p>
      <w:pPr>
        <w:spacing w:line="520" w:lineRule="exact"/>
        <w:ind w:firstLine="560" w:firstLineChars="200"/>
        <w:rPr>
          <w:rFonts w:hint="eastAsia" w:ascii="Times New Roman" w:hAnsi="Times New Roman" w:eastAsia="仿宋_GB2312" w:cs="Times New Roman"/>
          <w:sz w:val="28"/>
          <w:szCs w:val="32"/>
        </w:rPr>
      </w:pPr>
      <w:r>
        <w:rPr>
          <w:rFonts w:hint="eastAsia" w:ascii="Times New Roman" w:hAnsi="Times New Roman" w:eastAsia="仿宋_GB2312" w:cs="Times New Roman"/>
          <w:sz w:val="28"/>
          <w:szCs w:val="32"/>
        </w:rPr>
        <w:t>——推动锂电及新材料产业集群强势崛起。锂电及新材料产业是“一号工程”，也是安居最具爆发力的支柱产业。坚持“延链补链、优化提升”思路，以招强引优为抓手，培育壮大四川裕能等龙头企业，壮大产业集群，构建全产业链条。到2022年，率先建成百亿产业，在全市锂电及新材料产业总产值中占比超过1/3；到2025年，产业总产值达到200亿元，成为遂宁建设“世界锂都”的排头兵、引领区。</w:t>
      </w:r>
    </w:p>
    <w:p>
      <w:pPr>
        <w:spacing w:line="520" w:lineRule="exact"/>
        <w:ind w:firstLine="560" w:firstLineChars="200"/>
        <w:rPr>
          <w:rFonts w:hint="eastAsia" w:ascii="Times New Roman" w:hAnsi="Times New Roman" w:eastAsia="仿宋_GB2312" w:cs="Times New Roman"/>
          <w:sz w:val="28"/>
          <w:szCs w:val="32"/>
        </w:rPr>
      </w:pPr>
      <w:r>
        <w:rPr>
          <w:rFonts w:hint="eastAsia" w:ascii="Times New Roman" w:hAnsi="Times New Roman" w:eastAsia="仿宋_GB2312" w:cs="Times New Roman"/>
          <w:sz w:val="28"/>
          <w:szCs w:val="32"/>
        </w:rPr>
        <w:t>——推动汽车与装备制造产业集群提档升级。汽车与装备制造产业是集成产业，也是安居的情结产业。坚持“整车带动、前沿配套”思路，实施“再造一个四川江淮”计划，统筹汽车研发、汽车装备配套、汽车文化发展，加快建设成渝地区汽车产业配套集群。到2022年，产业总产值达到75亿元，在全市机械与装备制造产业总产值中占比达到1/3；到2025年，产业总产值突破100亿元，汽车及零部件企业达到100家。</w:t>
      </w:r>
    </w:p>
    <w:p>
      <w:pPr>
        <w:spacing w:line="520" w:lineRule="exact"/>
        <w:ind w:firstLine="560" w:firstLineChars="200"/>
        <w:rPr>
          <w:rFonts w:hint="eastAsia" w:ascii="Times New Roman" w:hAnsi="Times New Roman" w:eastAsia="仿宋_GB2312" w:cs="Times New Roman"/>
          <w:sz w:val="28"/>
          <w:szCs w:val="32"/>
        </w:rPr>
      </w:pPr>
      <w:r>
        <w:rPr>
          <w:rFonts w:hint="eastAsia" w:ascii="Times New Roman" w:hAnsi="Times New Roman" w:eastAsia="仿宋_GB2312" w:cs="Times New Roman"/>
          <w:sz w:val="28"/>
          <w:szCs w:val="32"/>
        </w:rPr>
        <w:t>——推动天然气清洁能源产业集群多元发展。天然气清洁能源产业是现代工业的基础产业，也是安居地企合作典范的重点产业。坚持“就地转化、振兴突围”思路，积极抢抓国家能源产业调整振兴战略契机，依托中遂净化、川能投储气调峰、华电天然气发电等重点项目，加强就地转化、提升产业层级、完善产业链条，加快建设成渝地区清洁能源示范基地。到2023年，产业总产值达到40亿元，在全市油气盐化工产业总产值中占比达到1/3；到2025年，产业总产值突破100亿元，成为遂宁建设“东方气都”的主力军、主阵地。</w:t>
      </w:r>
    </w:p>
    <w:p>
      <w:pPr>
        <w:spacing w:line="520" w:lineRule="exact"/>
        <w:ind w:firstLine="0" w:firstLineChars="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w:t>
      </w:r>
      <w:r>
        <w:rPr>
          <w:rFonts w:hint="eastAsia" w:ascii="楷体_GB2312" w:hAnsi="楷体_GB2312" w:eastAsia="楷体_GB2312" w:cs="楷体_GB2312"/>
          <w:b/>
          <w:sz w:val="28"/>
          <w:szCs w:val="28"/>
          <w:lang w:val="en-US" w:eastAsia="zh-CN"/>
        </w:rPr>
        <w:t>三</w:t>
      </w:r>
      <w:r>
        <w:rPr>
          <w:rFonts w:hint="eastAsia" w:ascii="楷体_GB2312" w:hAnsi="楷体_GB2312" w:eastAsia="楷体_GB2312" w:cs="楷体_GB2312"/>
          <w:b/>
          <w:sz w:val="28"/>
          <w:szCs w:val="28"/>
        </w:rPr>
        <w:t>节 战略</w:t>
      </w:r>
      <w:r>
        <w:rPr>
          <w:rFonts w:hint="eastAsia" w:ascii="楷体_GB2312" w:hAnsi="楷体_GB2312" w:eastAsia="楷体_GB2312" w:cs="楷体_GB2312"/>
          <w:b/>
          <w:sz w:val="28"/>
          <w:szCs w:val="28"/>
          <w:lang w:val="en-US" w:eastAsia="zh-CN"/>
        </w:rPr>
        <w:t>支撑</w:t>
      </w:r>
    </w:p>
    <w:p>
      <w:pPr>
        <w:keepNext w:val="0"/>
        <w:keepLines w:val="0"/>
        <w:pageBreakBefore w:val="0"/>
        <w:widowControl/>
        <w:numPr>
          <w:ilvl w:val="-1"/>
          <w:numId w:val="0"/>
        </w:numPr>
        <w:suppressLineNumbers w:val="0"/>
        <w:kinsoku/>
        <w:wordWrap/>
        <w:overflowPunct/>
        <w:topLinePunct w:val="0"/>
        <w:autoSpaceDE/>
        <w:autoSpaceDN/>
        <w:bidi w:val="0"/>
        <w:spacing w:line="520" w:lineRule="exact"/>
        <w:ind w:firstLine="560" w:firstLineChars="200"/>
        <w:jc w:val="left"/>
        <w:textAlignment w:val="auto"/>
        <w:rPr>
          <w:rFonts w:hint="eastAsia" w:ascii="Times New Roman" w:hAnsi="Times New Roman" w:eastAsia="仿宋_GB2312" w:cs="Times New Roman"/>
          <w:b w:val="0"/>
          <w:kern w:val="2"/>
          <w:sz w:val="28"/>
          <w:szCs w:val="32"/>
          <w:lang w:val="en-US" w:eastAsia="zh-CN"/>
        </w:rPr>
      </w:pPr>
      <w:r>
        <w:rPr>
          <w:rFonts w:hint="eastAsia" w:ascii="Times New Roman" w:hAnsi="Times New Roman" w:eastAsia="仿宋_GB2312" w:cs="Times New Roman"/>
          <w:caps w:val="0"/>
          <w:spacing w:val="0"/>
          <w:kern w:val="2"/>
          <w:sz w:val="28"/>
          <w:szCs w:val="32"/>
          <w:shd w:val="clear"/>
          <w:lang w:eastAsia="zh-CN"/>
        </w:rPr>
        <w:t>把</w:t>
      </w:r>
      <w:r>
        <w:rPr>
          <w:rFonts w:hint="eastAsia" w:ascii="Times New Roman" w:hAnsi="Times New Roman" w:eastAsia="仿宋_GB2312" w:cs="Times New Roman"/>
          <w:caps w:val="0"/>
          <w:spacing w:val="0"/>
          <w:kern w:val="2"/>
          <w:sz w:val="28"/>
          <w:szCs w:val="32"/>
          <w:shd w:val="clear"/>
          <w:lang w:val="en-US" w:eastAsia="zh-CN"/>
        </w:rPr>
        <w:t>做出特色、打造亮点、塑造品牌</w:t>
      </w:r>
      <w:r>
        <w:rPr>
          <w:rFonts w:hint="eastAsia" w:ascii="Times New Roman" w:hAnsi="Times New Roman" w:eastAsia="仿宋_GB2312" w:cs="Times New Roman"/>
          <w:caps w:val="0"/>
          <w:spacing w:val="0"/>
          <w:kern w:val="2"/>
          <w:sz w:val="28"/>
          <w:szCs w:val="32"/>
          <w:shd w:val="clear"/>
        </w:rPr>
        <w:t>作为夺取胜利的重中之重，支撑全</w:t>
      </w:r>
      <w:r>
        <w:rPr>
          <w:rFonts w:hint="eastAsia" w:ascii="Times New Roman" w:hAnsi="Times New Roman" w:eastAsia="仿宋_GB2312" w:cs="Times New Roman"/>
          <w:caps w:val="0"/>
          <w:spacing w:val="0"/>
          <w:kern w:val="2"/>
          <w:sz w:val="28"/>
          <w:szCs w:val="32"/>
          <w:shd w:val="clear"/>
          <w:lang w:eastAsia="zh-CN"/>
        </w:rPr>
        <w:t>区</w:t>
      </w:r>
      <w:r>
        <w:rPr>
          <w:rFonts w:hint="eastAsia" w:ascii="Times New Roman" w:hAnsi="Times New Roman" w:eastAsia="仿宋_GB2312" w:cs="Times New Roman"/>
          <w:caps w:val="0"/>
          <w:spacing w:val="0"/>
          <w:kern w:val="2"/>
          <w:sz w:val="28"/>
          <w:szCs w:val="32"/>
          <w:shd w:val="clear"/>
        </w:rPr>
        <w:t>高质量发展行稳致远。</w:t>
      </w:r>
    </w:p>
    <w:p>
      <w:pPr>
        <w:keepNext w:val="0"/>
        <w:keepLines w:val="0"/>
        <w:pageBreakBefore w:val="0"/>
        <w:widowControl/>
        <w:kinsoku/>
        <w:wordWrap/>
        <w:overflowPunct/>
        <w:topLinePunct w:val="0"/>
        <w:autoSpaceDE/>
        <w:autoSpaceDN/>
        <w:bidi w:val="0"/>
        <w:spacing w:line="520" w:lineRule="exact"/>
        <w:ind w:firstLine="560" w:firstLineChars="200"/>
        <w:jc w:val="left"/>
        <w:textAlignment w:val="auto"/>
        <w:rPr>
          <w:rFonts w:hint="eastAsia" w:ascii="Times New Roman" w:hAnsi="Times New Roman" w:eastAsia="仿宋_GB2312" w:cs="Times New Roman"/>
          <w:kern w:val="2"/>
          <w:sz w:val="28"/>
          <w:szCs w:val="32"/>
        </w:rPr>
      </w:pPr>
      <w:r>
        <w:rPr>
          <w:rFonts w:hint="eastAsia" w:ascii="Times New Roman" w:hAnsi="Times New Roman" w:eastAsia="仿宋_GB2312" w:cs="Times New Roman"/>
          <w:b w:val="0"/>
          <w:kern w:val="2"/>
          <w:sz w:val="28"/>
          <w:szCs w:val="32"/>
        </w:rPr>
        <w:t>——全面打造成渝营商环境新高地。</w:t>
      </w:r>
      <w:r>
        <w:rPr>
          <w:rFonts w:hint="eastAsia" w:ascii="Times New Roman" w:hAnsi="Times New Roman" w:eastAsia="仿宋_GB2312" w:cs="Times New Roman"/>
          <w:b w:val="0"/>
          <w:kern w:val="2"/>
          <w:sz w:val="28"/>
          <w:szCs w:val="32"/>
          <w:lang w:val="en-US" w:eastAsia="zh-CN"/>
        </w:rPr>
        <w:t>深化行政审批制度改革，</w:t>
      </w:r>
      <w:r>
        <w:rPr>
          <w:rFonts w:hint="eastAsia" w:ascii="Times New Roman" w:hAnsi="Times New Roman" w:eastAsia="仿宋_GB2312" w:cs="Times New Roman"/>
          <w:kern w:val="2"/>
          <w:sz w:val="28"/>
          <w:szCs w:val="32"/>
        </w:rPr>
        <w:t>坚持主动服务、上门服务、跟踪服务，尊重企业家、尊重纳税人，</w:t>
      </w:r>
      <w:r>
        <w:rPr>
          <w:rFonts w:hint="eastAsia" w:ascii="Times New Roman" w:hAnsi="Times New Roman" w:eastAsia="仿宋_GB2312" w:cs="Times New Roman"/>
          <w:kern w:val="2"/>
          <w:sz w:val="28"/>
          <w:szCs w:val="32"/>
          <w:lang w:val="en-US" w:eastAsia="zh-CN"/>
        </w:rPr>
        <w:t>持续整治“企业最不满意的10件事”，</w:t>
      </w:r>
      <w:r>
        <w:rPr>
          <w:rFonts w:hint="eastAsia" w:ascii="Times New Roman" w:hAnsi="Times New Roman" w:eastAsia="仿宋_GB2312" w:cs="Times New Roman"/>
          <w:kern w:val="2"/>
          <w:sz w:val="28"/>
          <w:szCs w:val="32"/>
        </w:rPr>
        <w:t>为企业提供全要素保障、全生命周期管理，让四川裕能“安居速度”固化成为项目建设“安居模式”。注重社会信用体系建设，构建亲清政商关系，让亲商爱商在安居蔚然成风，将安居打造成为成渝地区“门槛低于周边、服务高于周边”的投资兴业热土。</w:t>
      </w:r>
    </w:p>
    <w:p>
      <w:pPr>
        <w:keepNext w:val="0"/>
        <w:keepLines w:val="0"/>
        <w:pageBreakBefore w:val="0"/>
        <w:widowControl/>
        <w:kinsoku/>
        <w:wordWrap/>
        <w:overflowPunct/>
        <w:topLinePunct w:val="0"/>
        <w:autoSpaceDE/>
        <w:autoSpaceDN/>
        <w:bidi w:val="0"/>
        <w:spacing w:line="520" w:lineRule="exact"/>
        <w:ind w:firstLine="560" w:firstLineChars="200"/>
        <w:jc w:val="left"/>
        <w:textAlignment w:val="auto"/>
        <w:rPr>
          <w:rFonts w:hint="eastAsia" w:ascii="Times New Roman" w:hAnsi="Times New Roman" w:eastAsia="仿宋_GB2312" w:cs="Times New Roman"/>
          <w:kern w:val="2"/>
          <w:sz w:val="28"/>
          <w:szCs w:val="32"/>
        </w:rPr>
      </w:pPr>
      <w:r>
        <w:rPr>
          <w:rFonts w:hint="eastAsia" w:ascii="Times New Roman" w:hAnsi="Times New Roman" w:eastAsia="仿宋_GB2312" w:cs="Times New Roman"/>
          <w:b w:val="0"/>
          <w:kern w:val="2"/>
          <w:sz w:val="28"/>
          <w:szCs w:val="32"/>
        </w:rPr>
        <w:t>——全面打造西部休闲旅游必选地。</w:t>
      </w:r>
      <w:r>
        <w:rPr>
          <w:rFonts w:hint="eastAsia" w:ascii="Times New Roman" w:hAnsi="Times New Roman" w:eastAsia="仿宋_GB2312" w:cs="Times New Roman"/>
          <w:kern w:val="2"/>
          <w:sz w:val="28"/>
          <w:szCs w:val="32"/>
        </w:rPr>
        <w:t>深挖山水、人文、红色等资源，坚持景城一体化、景观独特化、设施标准化、产品特色化、服务人性化，写好</w:t>
      </w:r>
      <w:r>
        <w:rPr>
          <w:rFonts w:hint="eastAsia" w:ascii="Times New Roman" w:hAnsi="Times New Roman" w:eastAsia="仿宋_GB2312" w:cs="Times New Roman"/>
          <w:kern w:val="2"/>
          <w:sz w:val="28"/>
          <w:szCs w:val="32"/>
          <w:lang w:val="en-US" w:eastAsia="zh-CN"/>
        </w:rPr>
        <w:t>全市</w:t>
      </w:r>
      <w:r>
        <w:rPr>
          <w:rFonts w:hint="eastAsia" w:ascii="Times New Roman" w:hAnsi="Times New Roman" w:eastAsia="仿宋_GB2312" w:cs="Times New Roman"/>
          <w:kern w:val="2"/>
          <w:sz w:val="28"/>
          <w:szCs w:val="32"/>
        </w:rPr>
        <w:t>文旅大会“后半篇”文章，全面打通绿水青山转化为金山银山的通道，推进文农旅融合发展，实现由“过路效应”向“磁场效应”转化，真正把安居建设成为</w:t>
      </w:r>
      <w:r>
        <w:rPr>
          <w:rFonts w:hint="eastAsia" w:ascii="Times New Roman" w:hAnsi="Times New Roman" w:eastAsia="仿宋_GB2312" w:cs="Times New Roman"/>
          <w:kern w:val="2"/>
          <w:sz w:val="28"/>
          <w:szCs w:val="32"/>
          <w:lang w:val="en-US" w:eastAsia="zh-CN"/>
        </w:rPr>
        <w:t>西部</w:t>
      </w:r>
      <w:r>
        <w:rPr>
          <w:rFonts w:hint="eastAsia" w:ascii="Times New Roman" w:hAnsi="Times New Roman" w:eastAsia="仿宋_GB2312" w:cs="Times New Roman"/>
          <w:kern w:val="2"/>
          <w:sz w:val="28"/>
          <w:szCs w:val="32"/>
        </w:rPr>
        <w:t>“近者悦、远者来”的休闲旅游重要目的地，</w:t>
      </w:r>
      <w:r>
        <w:rPr>
          <w:rFonts w:hint="eastAsia" w:ascii="Times New Roman" w:hAnsi="Times New Roman" w:eastAsia="仿宋_GB2312" w:cs="Times New Roman"/>
          <w:kern w:val="2"/>
          <w:sz w:val="28"/>
          <w:szCs w:val="32"/>
          <w:lang w:val="en-US" w:eastAsia="zh-CN"/>
        </w:rPr>
        <w:t>全力</w:t>
      </w:r>
      <w:r>
        <w:rPr>
          <w:rFonts w:hint="eastAsia" w:ascii="Times New Roman" w:hAnsi="Times New Roman" w:eastAsia="仿宋_GB2312" w:cs="Times New Roman"/>
          <w:kern w:val="2"/>
          <w:sz w:val="28"/>
          <w:szCs w:val="32"/>
        </w:rPr>
        <w:t>争创国家级和省级全域旅游示范区。</w:t>
      </w:r>
    </w:p>
    <w:p>
      <w:pPr>
        <w:keepNext w:val="0"/>
        <w:keepLines w:val="0"/>
        <w:pageBreakBefore w:val="0"/>
        <w:widowControl/>
        <w:kinsoku/>
        <w:wordWrap/>
        <w:overflowPunct/>
        <w:topLinePunct w:val="0"/>
        <w:autoSpaceDE/>
        <w:autoSpaceDN/>
        <w:bidi w:val="0"/>
        <w:spacing w:line="520" w:lineRule="exact"/>
        <w:ind w:firstLine="560" w:firstLineChars="200"/>
        <w:jc w:val="left"/>
        <w:textAlignment w:val="auto"/>
        <w:rPr>
          <w:rFonts w:hint="eastAsia" w:ascii="Times New Roman" w:hAnsi="Times New Roman" w:eastAsia="仿宋_GB2312" w:cs="Times New Roman"/>
          <w:kern w:val="2"/>
          <w:sz w:val="28"/>
          <w:szCs w:val="32"/>
        </w:rPr>
      </w:pPr>
      <w:r>
        <w:rPr>
          <w:rFonts w:hint="eastAsia" w:ascii="Times New Roman" w:hAnsi="Times New Roman" w:eastAsia="仿宋_GB2312" w:cs="Times New Roman"/>
          <w:b w:val="0"/>
          <w:kern w:val="2"/>
          <w:sz w:val="28"/>
          <w:szCs w:val="32"/>
        </w:rPr>
        <w:t>——全面打造全国乡村振兴样板地。</w:t>
      </w:r>
      <w:r>
        <w:rPr>
          <w:rFonts w:hint="eastAsia" w:ascii="Times New Roman" w:hAnsi="Times New Roman" w:eastAsia="仿宋_GB2312" w:cs="Times New Roman"/>
          <w:kern w:val="2"/>
          <w:sz w:val="28"/>
          <w:szCs w:val="32"/>
        </w:rPr>
        <w:t>按照大地景观化、庭院园林化、农田田园化、产业特色化、城乡一体化理念，坚持生态、文态、业态、形态“四态合一”，</w:t>
      </w:r>
      <w:r>
        <w:rPr>
          <w:rFonts w:hint="eastAsia" w:ascii="Times New Roman" w:hAnsi="Times New Roman" w:eastAsia="仿宋_GB2312" w:cs="Times New Roman"/>
          <w:b w:val="0"/>
          <w:kern w:val="2"/>
          <w:sz w:val="28"/>
          <w:szCs w:val="32"/>
          <w:lang w:val="en-US" w:eastAsia="zh-CN"/>
        </w:rPr>
        <w:t>加快建设田园、庄园、乐园“三园一体”的美丽幸福乡村。</w:t>
      </w:r>
      <w:r>
        <w:rPr>
          <w:rFonts w:hint="eastAsia" w:ascii="Times New Roman" w:hAnsi="Times New Roman" w:eastAsia="仿宋_GB2312" w:cs="Times New Roman"/>
          <w:kern w:val="2"/>
          <w:sz w:val="28"/>
          <w:szCs w:val="32"/>
        </w:rPr>
        <w:t>突出中国沼气能源革命第一村“凯歌公社”试点示范引领，稳步推进全域振兴，着力打造成渝现代高效特色农业带重要极核，争创国家级和省级现代农业园区、省级乡村振兴先进县，真正把安居建设成为全省</w:t>
      </w:r>
      <w:r>
        <w:rPr>
          <w:rFonts w:hint="eastAsia" w:ascii="Times New Roman" w:hAnsi="Times New Roman" w:eastAsia="仿宋_GB2312" w:cs="Times New Roman"/>
          <w:kern w:val="2"/>
          <w:sz w:val="28"/>
          <w:szCs w:val="32"/>
          <w:lang w:eastAsia="zh-CN"/>
        </w:rPr>
        <w:t>、</w:t>
      </w:r>
      <w:r>
        <w:rPr>
          <w:rFonts w:hint="eastAsia" w:ascii="Times New Roman" w:hAnsi="Times New Roman" w:eastAsia="仿宋_GB2312" w:cs="Times New Roman"/>
          <w:kern w:val="2"/>
          <w:sz w:val="28"/>
          <w:szCs w:val="32"/>
        </w:rPr>
        <w:t>全国乡村振兴示范新标杆。</w:t>
      </w:r>
    </w:p>
    <w:bookmarkEnd w:id="22"/>
    <w:p>
      <w:pPr>
        <w:pStyle w:val="12"/>
        <w:ind w:firstLine="640"/>
        <w:rPr>
          <w:rFonts w:ascii="Times New Roman" w:hAnsi="Times New Roman" w:eastAsia="仿宋" w:cs="Times New Roman"/>
          <w:b/>
          <w:sz w:val="28"/>
          <w:szCs w:val="28"/>
        </w:rPr>
        <w:sectPr>
          <w:footerReference r:id="rId5" w:type="default"/>
          <w:pgSz w:w="11906" w:h="16838"/>
          <w:pgMar w:top="2098" w:right="1474" w:bottom="1984" w:left="1587" w:header="851" w:footer="1587" w:gutter="0"/>
          <w:pgNumType w:fmt="decimal" w:start="1"/>
          <w:cols w:space="0" w:num="1"/>
          <w:docGrid w:type="lines" w:linePitch="319" w:charSpace="0"/>
        </w:sectPr>
      </w:pPr>
      <w:r>
        <w:rPr>
          <w:rFonts w:ascii="Times New Roman" w:hAnsi="Times New Roman" w:cs="Times New Roman"/>
          <w:snapToGrid w:val="0"/>
        </w:rPr>
        <w:br w:type="page"/>
      </w:r>
    </w:p>
    <w:p>
      <w:pPr>
        <w:widowControl/>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 xml:space="preserve">表1-1 </w:t>
      </w:r>
      <w:r>
        <w:rPr>
          <w:rFonts w:ascii="Times New Roman" w:hAnsi="Times New Roman" w:eastAsia="仿宋" w:cs="Times New Roman"/>
          <w:b/>
          <w:sz w:val="28"/>
          <w:szCs w:val="28"/>
        </w:rPr>
        <w:t>“十四五”时期</w:t>
      </w:r>
      <w:r>
        <w:rPr>
          <w:rFonts w:hint="eastAsia" w:ascii="Times New Roman" w:hAnsi="Times New Roman" w:eastAsia="仿宋" w:cs="Times New Roman"/>
          <w:b/>
          <w:sz w:val="28"/>
          <w:szCs w:val="28"/>
        </w:rPr>
        <w:t>经济社会</w:t>
      </w:r>
      <w:r>
        <w:rPr>
          <w:rFonts w:ascii="Times New Roman" w:hAnsi="Times New Roman" w:eastAsia="仿宋" w:cs="Times New Roman"/>
          <w:b/>
          <w:sz w:val="28"/>
          <w:szCs w:val="28"/>
        </w:rPr>
        <w:t>发展</w:t>
      </w:r>
      <w:r>
        <w:rPr>
          <w:rFonts w:hint="eastAsia" w:ascii="Times New Roman" w:hAnsi="Times New Roman" w:eastAsia="仿宋" w:cs="Times New Roman"/>
          <w:b/>
          <w:sz w:val="28"/>
          <w:szCs w:val="28"/>
        </w:rPr>
        <w:t>主要指标</w:t>
      </w:r>
    </w:p>
    <w:tbl>
      <w:tblPr>
        <w:tblStyle w:val="25"/>
        <w:tblW w:w="5208" w:type="pct"/>
        <w:jc w:val="center"/>
        <w:tblLayout w:type="fixed"/>
        <w:tblCellMar>
          <w:top w:w="0" w:type="dxa"/>
          <w:left w:w="108" w:type="dxa"/>
          <w:bottom w:w="0" w:type="dxa"/>
          <w:right w:w="108" w:type="dxa"/>
        </w:tblCellMar>
      </w:tblPr>
      <w:tblGrid>
        <w:gridCol w:w="574"/>
        <w:gridCol w:w="765"/>
        <w:gridCol w:w="1830"/>
        <w:gridCol w:w="1260"/>
        <w:gridCol w:w="1505"/>
        <w:gridCol w:w="1131"/>
        <w:gridCol w:w="1248"/>
        <w:gridCol w:w="1125"/>
      </w:tblGrid>
      <w:tr>
        <w:tblPrEx>
          <w:tblCellMar>
            <w:top w:w="0" w:type="dxa"/>
            <w:left w:w="108" w:type="dxa"/>
            <w:bottom w:w="0" w:type="dxa"/>
            <w:right w:w="108" w:type="dxa"/>
          </w:tblCellMar>
        </w:tblPrEx>
        <w:trPr>
          <w:trHeight w:val="891" w:hRule="atLeast"/>
          <w:tblHeader/>
          <w:jc w:val="center"/>
        </w:trPr>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bookmarkStart w:id="23" w:name="_Toc60864820"/>
            <w:bookmarkStart w:id="24" w:name="_Toc60670630"/>
            <w:r>
              <w:rPr>
                <w:rFonts w:hint="eastAsia" w:ascii="方正黑体简体" w:hAnsi="方正黑体简体" w:eastAsia="方正黑体简体" w:cs="方正黑体简体"/>
                <w:b w:val="0"/>
                <w:bCs/>
                <w:color w:val="000000"/>
                <w:kern w:val="0"/>
                <w:sz w:val="21"/>
                <w:szCs w:val="21"/>
              </w:rPr>
              <w:t>序号</w:t>
            </w:r>
          </w:p>
        </w:tc>
        <w:tc>
          <w:tcPr>
            <w:tcW w:w="204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指标</w:t>
            </w: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2020年</w:t>
            </w:r>
          </w:p>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完成</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2025年</w:t>
            </w:r>
          </w:p>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目标</w:t>
            </w:r>
          </w:p>
        </w:tc>
        <w:tc>
          <w:tcPr>
            <w:tcW w:w="6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年均增速或【累计数】</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hint="eastAsia" w:ascii="方正黑体简体" w:hAnsi="方正黑体简体" w:eastAsia="方正黑体简体" w:cs="方正黑体简体"/>
                <w:b w:val="0"/>
                <w:bCs/>
                <w:color w:val="000000"/>
                <w:kern w:val="0"/>
                <w:sz w:val="21"/>
                <w:szCs w:val="21"/>
              </w:rPr>
            </w:pPr>
            <w:r>
              <w:rPr>
                <w:rFonts w:hint="eastAsia" w:ascii="方正黑体简体" w:hAnsi="方正黑体简体" w:eastAsia="方正黑体简体" w:cs="方正黑体简体"/>
                <w:b w:val="0"/>
                <w:bCs/>
                <w:color w:val="000000"/>
                <w:kern w:val="0"/>
                <w:sz w:val="21"/>
                <w:szCs w:val="21"/>
              </w:rPr>
              <w:t>属性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40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经济发展</w:t>
            </w: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地区生产总值（亿元）</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203.11</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w:t>
            </w:r>
            <w:r>
              <w:rPr>
                <w:rFonts w:hint="eastAsia" w:ascii="Times New Roman" w:hAnsi="Times New Roman" w:eastAsia="仿宋_GB2312" w:cs="Times New Roman"/>
                <w:color w:val="000000"/>
                <w:kern w:val="0"/>
                <w:sz w:val="21"/>
                <w:szCs w:val="21"/>
              </w:rPr>
              <w:t>00</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hint="eastAsia" w:ascii="Times New Roman" w:hAnsi="Times New Roman" w:eastAsia="仿宋_GB2312" w:cs="Times New Roman"/>
                <w:color w:val="000000"/>
                <w:kern w:val="0"/>
                <w:sz w:val="21"/>
                <w:szCs w:val="21"/>
              </w:rPr>
              <w:t>7</w:t>
            </w:r>
            <w:r>
              <w:rPr>
                <w:rFonts w:ascii="Times New Roman" w:hAnsi="Times New Roman" w:eastAsia="仿宋_GB2312" w:cs="Times New Roman"/>
                <w:color w:val="000000"/>
                <w:kern w:val="0"/>
                <w:sz w:val="21"/>
                <w:szCs w:val="21"/>
              </w:rPr>
              <w:t>.5</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w:t>
            </w:r>
          </w:p>
        </w:tc>
        <w:tc>
          <w:tcPr>
            <w:tcW w:w="405" w:type="pct"/>
            <w:vMerge w:val="continue"/>
            <w:tcBorders>
              <w:top w:val="nil"/>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常住人口城镇化率（%）</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hint="default" w:ascii="Times New Roman" w:hAnsi="Times New Roman" w:eastAsia="仿宋_GB2312" w:cs="Times New Roman"/>
                <w:color w:val="auto"/>
                <w:kern w:val="0"/>
                <w:sz w:val="21"/>
                <w:szCs w:val="21"/>
                <w:lang w:val="en-US"/>
              </w:rPr>
            </w:pPr>
            <w:r>
              <w:rPr>
                <w:rFonts w:ascii="Times New Roman" w:hAnsi="Times New Roman" w:eastAsia="仿宋_GB2312" w:cs="Times New Roman"/>
                <w:color w:val="auto"/>
                <w:kern w:val="0"/>
                <w:sz w:val="21"/>
                <w:szCs w:val="21"/>
              </w:rPr>
              <w:t>36.</w:t>
            </w:r>
            <w:r>
              <w:rPr>
                <w:rFonts w:hint="eastAsia" w:ascii="Times New Roman" w:hAnsi="Times New Roman" w:eastAsia="仿宋_GB2312" w:cs="Times New Roman"/>
                <w:color w:val="auto"/>
                <w:kern w:val="0"/>
                <w:sz w:val="21"/>
                <w:szCs w:val="21"/>
                <w:lang w:val="en-US" w:eastAsia="zh-CN"/>
              </w:rPr>
              <w:t>32*</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auto"/>
                <w:kern w:val="0"/>
                <w:sz w:val="21"/>
                <w:szCs w:val="21"/>
              </w:rPr>
            </w:pPr>
            <w:r>
              <w:rPr>
                <w:rFonts w:ascii="Times New Roman" w:hAnsi="Times New Roman" w:eastAsia="仿宋_GB2312" w:cs="Times New Roman"/>
                <w:color w:val="auto"/>
                <w:kern w:val="0"/>
                <w:sz w:val="21"/>
                <w:szCs w:val="21"/>
              </w:rPr>
              <w:t>46</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w:t>
            </w:r>
          </w:p>
        </w:tc>
        <w:tc>
          <w:tcPr>
            <w:tcW w:w="405" w:type="pct"/>
            <w:vMerge w:val="continue"/>
            <w:tcBorders>
              <w:top w:val="nil"/>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全员劳动生产率增长（%）</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8</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w:t>
            </w:r>
          </w:p>
        </w:tc>
        <w:tc>
          <w:tcPr>
            <w:tcW w:w="405" w:type="pct"/>
            <w:vMerge w:val="continue"/>
            <w:tcBorders>
              <w:top w:val="nil"/>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三次产业结构比</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22:50:28</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16:53:31</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w:t>
            </w:r>
          </w:p>
        </w:tc>
        <w:tc>
          <w:tcPr>
            <w:tcW w:w="405" w:type="pct"/>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创新驱动</w:t>
            </w: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研发经费投入增长（%）</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超过全市平均水平</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891"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6</w:t>
            </w:r>
          </w:p>
        </w:tc>
        <w:tc>
          <w:tcPr>
            <w:tcW w:w="405" w:type="pct"/>
            <w:vMerge w:val="continue"/>
            <w:tcBorders>
              <w:top w:val="nil"/>
              <w:left w:val="single" w:color="auto" w:sz="4" w:space="0"/>
              <w:bottom w:val="single" w:color="000000"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研发经费投入强度（%）</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0.45</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0.8</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kern w:val="0"/>
                <w:sz w:val="21"/>
                <w:szCs w:val="21"/>
              </w:rPr>
            </w:pPr>
            <w:r>
              <w:rPr>
                <w:rFonts w:ascii="Times New Roman" w:hAnsi="Times New Roman" w:eastAsia="仿宋_GB2312" w:cs="Times New Roman"/>
                <w:kern w:val="0"/>
                <w:sz w:val="21"/>
                <w:szCs w:val="21"/>
              </w:rPr>
              <w:t>增幅与全市平均水平持平</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w:t>
            </w:r>
          </w:p>
        </w:tc>
        <w:tc>
          <w:tcPr>
            <w:tcW w:w="405" w:type="pct"/>
            <w:vMerge w:val="continue"/>
            <w:tcBorders>
              <w:top w:val="nil"/>
              <w:left w:val="single" w:color="auto" w:sz="4" w:space="0"/>
              <w:bottom w:val="single" w:color="000000"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数字经济核心产业增加值占GDP比重（%）</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达到全市平均值</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8</w:t>
            </w:r>
          </w:p>
        </w:tc>
        <w:tc>
          <w:tcPr>
            <w:tcW w:w="405" w:type="pct"/>
            <w:vMerge w:val="continue"/>
            <w:tcBorders>
              <w:top w:val="nil"/>
              <w:left w:val="single" w:color="auto" w:sz="4" w:space="0"/>
              <w:bottom w:val="single" w:color="000000"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每万人口</w:t>
            </w:r>
            <w:r>
              <w:rPr>
                <w:rFonts w:hint="eastAsia" w:ascii="Times New Roman" w:hAnsi="Times New Roman" w:eastAsia="仿宋_GB2312" w:cs="Times New Roman"/>
                <w:color w:val="000000"/>
                <w:kern w:val="0"/>
                <w:sz w:val="21"/>
                <w:szCs w:val="21"/>
              </w:rPr>
              <w:t>高价值</w:t>
            </w:r>
            <w:r>
              <w:rPr>
                <w:rFonts w:ascii="Times New Roman" w:hAnsi="Times New Roman" w:eastAsia="仿宋_GB2312" w:cs="Times New Roman"/>
                <w:color w:val="000000"/>
                <w:kern w:val="0"/>
                <w:sz w:val="21"/>
                <w:szCs w:val="21"/>
              </w:rPr>
              <w:t>发明专利拥有量（件）</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0.45</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0.9</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【0.45】</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w:t>
            </w:r>
          </w:p>
        </w:tc>
        <w:tc>
          <w:tcPr>
            <w:tcW w:w="405" w:type="pct"/>
            <w:vMerge w:val="restart"/>
            <w:tcBorders>
              <w:top w:val="nil"/>
              <w:left w:val="single" w:color="auto" w:sz="4" w:space="0"/>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民生发展</w:t>
            </w: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劳动人口平均受教育年限（年）</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340" w:hRule="atLeast"/>
          <w:jc w:val="center"/>
        </w:trPr>
        <w:tc>
          <w:tcPr>
            <w:tcW w:w="304" w:type="pct"/>
            <w:vMerge w:val="restart"/>
            <w:tcBorders>
              <w:top w:val="nil"/>
              <w:left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969" w:type="pct"/>
            <w:vMerge w:val="restart"/>
            <w:tcBorders>
              <w:top w:val="nil"/>
              <w:left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居民人均可支配收入（元）</w:t>
            </w:r>
          </w:p>
        </w:tc>
        <w:tc>
          <w:tcPr>
            <w:tcW w:w="66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城镇居民</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32723</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48080</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8</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vMerge w:val="continue"/>
            <w:tcBorders>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969" w:type="pct"/>
            <w:vMerge w:val="continue"/>
            <w:tcBorders>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66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农村居民</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17358</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27326</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9.5</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11</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城镇调查失业率（%）</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5.9</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5.5</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【-0.4】</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12</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基本养老保险参保率（%）</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91.27</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95</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【3.73】</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13</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人均预期寿命（岁）</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78.17</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79.01</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【0.84】</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每千人口拥有3岁以下</w:t>
            </w:r>
          </w:p>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婴幼儿托位数（个）</w:t>
            </w:r>
          </w:p>
        </w:tc>
        <w:tc>
          <w:tcPr>
            <w:tcW w:w="797"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3.6</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3.8</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15</w:t>
            </w:r>
          </w:p>
        </w:tc>
        <w:tc>
          <w:tcPr>
            <w:tcW w:w="405" w:type="pct"/>
            <w:vMerge w:val="continue"/>
            <w:tcBorders>
              <w:top w:val="nil"/>
              <w:left w:val="single" w:color="auto" w:sz="4" w:space="0"/>
              <w:bottom w:val="nil"/>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每千人口拥有执业（助理）医师数（人）</w:t>
            </w:r>
          </w:p>
        </w:tc>
        <w:tc>
          <w:tcPr>
            <w:tcW w:w="797" w:type="pct"/>
            <w:tcBorders>
              <w:top w:val="nil"/>
              <w:left w:val="nil"/>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1.23</w:t>
            </w:r>
          </w:p>
        </w:tc>
        <w:tc>
          <w:tcPr>
            <w:tcW w:w="599" w:type="pct"/>
            <w:tcBorders>
              <w:top w:val="nil"/>
              <w:left w:val="nil"/>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1.68</w:t>
            </w:r>
          </w:p>
        </w:tc>
        <w:tc>
          <w:tcPr>
            <w:tcW w:w="661" w:type="pct"/>
            <w:tcBorders>
              <w:top w:val="nil"/>
              <w:left w:val="nil"/>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预期性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16</w:t>
            </w:r>
          </w:p>
        </w:tc>
        <w:tc>
          <w:tcPr>
            <w:tcW w:w="4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绿色发展</w:t>
            </w:r>
          </w:p>
        </w:tc>
        <w:tc>
          <w:tcPr>
            <w:tcW w:w="1636"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单位GDP能源消耗降低（%）</w:t>
            </w:r>
          </w:p>
        </w:tc>
        <w:tc>
          <w:tcPr>
            <w:tcW w:w="797" w:type="pc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9" w:type="pct"/>
            <w:vMerge w:val="restart"/>
            <w:tcBorders>
              <w:top w:val="single" w:color="auto" w:sz="4" w:space="0"/>
              <w:left w:val="nil"/>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完成下达目标</w:t>
            </w:r>
          </w:p>
        </w:tc>
        <w:tc>
          <w:tcPr>
            <w:tcW w:w="661"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17</w:t>
            </w:r>
          </w:p>
        </w:tc>
        <w:tc>
          <w:tcPr>
            <w:tcW w:w="40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单位GDP二氧化碳排放量</w:t>
            </w:r>
          </w:p>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降低（%）</w:t>
            </w:r>
          </w:p>
        </w:tc>
        <w:tc>
          <w:tcPr>
            <w:tcW w:w="797" w:type="pc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9" w:type="pct"/>
            <w:vMerge w:val="continue"/>
            <w:tcBorders>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315"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18</w:t>
            </w:r>
          </w:p>
        </w:tc>
        <w:tc>
          <w:tcPr>
            <w:tcW w:w="40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森林覆盖率（%）</w:t>
            </w:r>
          </w:p>
        </w:tc>
        <w:tc>
          <w:tcPr>
            <w:tcW w:w="797"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31.3</w:t>
            </w:r>
          </w:p>
        </w:tc>
        <w:tc>
          <w:tcPr>
            <w:tcW w:w="599"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31.3</w:t>
            </w:r>
          </w:p>
        </w:tc>
        <w:tc>
          <w:tcPr>
            <w:tcW w:w="661"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19</w:t>
            </w:r>
          </w:p>
        </w:tc>
        <w:tc>
          <w:tcPr>
            <w:tcW w:w="40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空气质量优良天数比率（%）</w:t>
            </w:r>
          </w:p>
        </w:tc>
        <w:tc>
          <w:tcPr>
            <w:tcW w:w="7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94.5</w:t>
            </w:r>
          </w:p>
        </w:tc>
        <w:tc>
          <w:tcPr>
            <w:tcW w:w="5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完成下达目标</w:t>
            </w:r>
          </w:p>
        </w:tc>
        <w:tc>
          <w:tcPr>
            <w:tcW w:w="661" w:type="pct"/>
            <w:tcBorders>
              <w:top w:val="single" w:color="auto" w:sz="4" w:space="0"/>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604" w:hRule="atLeast"/>
          <w:jc w:val="center"/>
        </w:trPr>
        <w:tc>
          <w:tcPr>
            <w:tcW w:w="304"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w:t>
            </w:r>
          </w:p>
        </w:tc>
        <w:tc>
          <w:tcPr>
            <w:tcW w:w="40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地表水水质达到或者好于Ⅲ类水体比例（%）</w:t>
            </w:r>
          </w:p>
        </w:tc>
        <w:tc>
          <w:tcPr>
            <w:tcW w:w="797"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100</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100</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315"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21</w:t>
            </w:r>
          </w:p>
        </w:tc>
        <w:tc>
          <w:tcPr>
            <w:tcW w:w="4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安全保障</w:t>
            </w: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粮食综合生产力（万吨）</w:t>
            </w:r>
          </w:p>
        </w:tc>
        <w:tc>
          <w:tcPr>
            <w:tcW w:w="797"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40.</w:t>
            </w:r>
            <w:r>
              <w:rPr>
                <w:rFonts w:hint="eastAsia" w:ascii="Times New Roman" w:hAnsi="Times New Roman" w:eastAsia="仿宋_GB2312" w:cs="Times New Roman"/>
                <w:color w:val="000000"/>
                <w:kern w:val="0"/>
                <w:sz w:val="21"/>
                <w:szCs w:val="21"/>
              </w:rPr>
              <w:t>0</w:t>
            </w:r>
            <w:r>
              <w:rPr>
                <w:rFonts w:ascii="Times New Roman" w:hAnsi="Times New Roman" w:eastAsia="仿宋_GB2312" w:cs="Times New Roman"/>
                <w:color w:val="000000"/>
                <w:kern w:val="0"/>
                <w:sz w:val="21"/>
                <w:szCs w:val="21"/>
              </w:rPr>
              <w:t>2</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40.41</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【0.</w:t>
            </w:r>
            <w:r>
              <w:rPr>
                <w:rFonts w:hint="eastAsia" w:ascii="Times New Roman" w:hAnsi="Times New Roman" w:eastAsia="仿宋_GB2312" w:cs="Times New Roman"/>
                <w:color w:val="000000"/>
                <w:kern w:val="0"/>
                <w:sz w:val="21"/>
                <w:szCs w:val="21"/>
              </w:rPr>
              <w:t>39</w:t>
            </w:r>
            <w:r>
              <w:rPr>
                <w:rFonts w:ascii="Times New Roman" w:hAnsi="Times New Roman" w:eastAsia="仿宋_GB2312" w:cs="Times New Roman"/>
                <w:color w:val="000000"/>
                <w:kern w:val="0"/>
                <w:sz w:val="21"/>
                <w:szCs w:val="21"/>
              </w:rPr>
              <w:t>】</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r>
        <w:tblPrEx>
          <w:tblCellMar>
            <w:top w:w="0" w:type="dxa"/>
            <w:left w:w="108" w:type="dxa"/>
            <w:bottom w:w="0" w:type="dxa"/>
            <w:right w:w="108" w:type="dxa"/>
          </w:tblCellMar>
        </w:tblPrEx>
        <w:trPr>
          <w:trHeight w:val="632" w:hRule="atLeast"/>
          <w:jc w:val="center"/>
        </w:trPr>
        <w:tc>
          <w:tcPr>
            <w:tcW w:w="30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22</w:t>
            </w:r>
          </w:p>
        </w:tc>
        <w:tc>
          <w:tcPr>
            <w:tcW w:w="40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imes New Roman" w:hAnsi="Times New Roman" w:eastAsia="仿宋_GB2312" w:cs="Times New Roman"/>
                <w:color w:val="000000"/>
                <w:kern w:val="0"/>
                <w:sz w:val="21"/>
                <w:szCs w:val="21"/>
              </w:rPr>
            </w:pPr>
          </w:p>
        </w:tc>
        <w:tc>
          <w:tcPr>
            <w:tcW w:w="1636" w:type="pct"/>
            <w:gridSpan w:val="2"/>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能源综合生产能力</w:t>
            </w:r>
          </w:p>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（万吨标准煤）</w:t>
            </w:r>
          </w:p>
        </w:tc>
        <w:tc>
          <w:tcPr>
            <w:tcW w:w="797" w:type="pct"/>
            <w:tcBorders>
              <w:top w:val="nil"/>
              <w:left w:val="single" w:color="auto" w:sz="4" w:space="0"/>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1183</w:t>
            </w:r>
          </w:p>
        </w:tc>
        <w:tc>
          <w:tcPr>
            <w:tcW w:w="599"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1330</w:t>
            </w:r>
          </w:p>
        </w:tc>
        <w:tc>
          <w:tcPr>
            <w:tcW w:w="661"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147</w:t>
            </w:r>
          </w:p>
        </w:tc>
        <w:tc>
          <w:tcPr>
            <w:tcW w:w="595" w:type="pct"/>
            <w:tcBorders>
              <w:top w:val="nil"/>
              <w:left w:val="nil"/>
              <w:bottom w:val="single" w:color="auto" w:sz="4" w:space="0"/>
              <w:right w:val="single" w:color="auto" w:sz="4" w:space="0"/>
            </w:tcBorders>
            <w:shd w:val="clear" w:color="auto" w:fill="auto"/>
            <w:vAlign w:val="center"/>
          </w:tcPr>
          <w:p>
            <w:pPr>
              <w:widowControl/>
              <w:spacing w:line="280" w:lineRule="exact"/>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约束性</w:t>
            </w:r>
          </w:p>
        </w:tc>
      </w:tr>
    </w:tbl>
    <w:p>
      <w:pPr>
        <w:pStyle w:val="3"/>
        <w:spacing w:before="313" w:beforeLines="100" w:after="313" w:afterLines="100"/>
        <w:jc w:val="center"/>
        <w:rPr>
          <w:rFonts w:hint="eastAsia" w:ascii="Calibri" w:hAnsi="Calibri" w:eastAsia="方正小标宋简体"/>
          <w:sz w:val="32"/>
        </w:rPr>
      </w:pPr>
      <w:bookmarkStart w:id="25" w:name="_Toc65153168"/>
      <w:bookmarkStart w:id="26" w:name="_Toc10988"/>
      <w:bookmarkStart w:id="27" w:name="_Toc11241"/>
      <w:bookmarkStart w:id="28" w:name="_Toc8927"/>
      <w:r>
        <w:rPr>
          <w:rFonts w:hint="default" w:ascii="Calibri" w:hAnsi="Calibri" w:eastAsia="方正小标宋简体"/>
          <w:sz w:val="32"/>
        </w:rPr>
        <w:t>第二篇 全面</w:t>
      </w:r>
      <w:r>
        <w:rPr>
          <w:rFonts w:hint="eastAsia" w:ascii="Calibri" w:hAnsi="Calibri" w:eastAsia="方正小标宋简体"/>
          <w:sz w:val="32"/>
        </w:rPr>
        <w:t>融入新发展格局</w:t>
      </w:r>
      <w:r>
        <w:rPr>
          <w:rFonts w:hint="default" w:ascii="Calibri" w:hAnsi="Calibri" w:eastAsia="方正小标宋简体"/>
          <w:sz w:val="32"/>
        </w:rPr>
        <w:t>，打造</w:t>
      </w:r>
      <w:bookmarkEnd w:id="23"/>
      <w:r>
        <w:rPr>
          <w:rFonts w:hint="default" w:ascii="Calibri" w:hAnsi="Calibri" w:eastAsia="方正小标宋简体"/>
          <w:sz w:val="32"/>
        </w:rPr>
        <w:t>改革</w:t>
      </w:r>
      <w:r>
        <w:rPr>
          <w:rFonts w:hint="eastAsia" w:ascii="Calibri" w:hAnsi="Calibri" w:eastAsia="方正小标宋简体"/>
          <w:sz w:val="32"/>
        </w:rPr>
        <w:t>开放新高地</w:t>
      </w:r>
      <w:bookmarkEnd w:id="25"/>
      <w:bookmarkEnd w:id="26"/>
      <w:bookmarkEnd w:id="27"/>
      <w:bookmarkEnd w:id="28"/>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实施“全域开放大突破”工程</w:t>
      </w:r>
      <w:r>
        <w:rPr>
          <w:rFonts w:hint="eastAsia" w:ascii="Times New Roman" w:hAnsi="Times New Roman" w:eastAsia="仿宋_GB2312" w:cs="Times New Roman"/>
          <w:snapToGrid/>
          <w:kern w:val="2"/>
          <w:sz w:val="28"/>
          <w:szCs w:val="32"/>
          <w:lang w:eastAsia="zh-CN"/>
        </w:rPr>
        <w:t>，</w:t>
      </w:r>
      <w:r>
        <w:rPr>
          <w:rFonts w:hint="eastAsia" w:ascii="Times New Roman" w:hAnsi="Times New Roman" w:eastAsia="仿宋_GB2312" w:cs="Times New Roman"/>
          <w:snapToGrid/>
          <w:kern w:val="2"/>
          <w:sz w:val="28"/>
          <w:szCs w:val="32"/>
        </w:rPr>
        <w:t>全面深化改革、深入推进科技创新，以遂潼川渝毗邻地区一体化发展引领区建设为抓手，推动平台建设、产业合作、营商环境、基础设施等领域走在前列，全面融入新发展格局，加快打造川渝泛琼江流域开放合作科技创新高地，努力成为支撑推动成渝地区中部崛起的重要增长极和动力源。</w:t>
      </w:r>
    </w:p>
    <w:p>
      <w:pPr>
        <w:pStyle w:val="4"/>
        <w:spacing w:before="312" w:beforeLines="100" w:after="156" w:afterLines="50" w:line="520" w:lineRule="exact"/>
        <w:jc w:val="center"/>
        <w:rPr>
          <w:rFonts w:hint="eastAsia" w:ascii="方正黑体简体" w:hAnsi="方正黑体简体" w:eastAsia="方正黑体简体" w:cs="方正黑体简体"/>
          <w:b w:val="0"/>
          <w:bCs w:val="0"/>
          <w:spacing w:val="0"/>
        </w:rPr>
      </w:pPr>
      <w:bookmarkStart w:id="29" w:name="_Toc32226"/>
      <w:bookmarkStart w:id="30" w:name="_Toc8756"/>
      <w:bookmarkStart w:id="31" w:name="_Toc27586"/>
      <w:bookmarkStart w:id="32" w:name="_Toc65153169"/>
      <w:r>
        <w:rPr>
          <w:rFonts w:hint="eastAsia" w:ascii="方正黑体简体" w:hAnsi="方正黑体简体" w:eastAsia="方正黑体简体" w:cs="方正黑体简体"/>
          <w:b w:val="0"/>
          <w:bCs w:val="0"/>
          <w:spacing w:val="0"/>
        </w:rPr>
        <w:t xml:space="preserve">第四章 </w:t>
      </w:r>
      <w:r>
        <w:rPr>
          <w:rFonts w:hint="eastAsia" w:ascii="方正黑体简体" w:hAnsi="方正黑体简体" w:eastAsia="方正黑体简体" w:cs="方正黑体简体"/>
          <w:b w:val="0"/>
          <w:bCs w:val="0"/>
        </w:rPr>
        <w:t>引领遂潼川渝毗邻地区一体化发展</w:t>
      </w:r>
      <w:bookmarkEnd w:id="29"/>
      <w:bookmarkEnd w:id="30"/>
      <w:bookmarkEnd w:id="31"/>
      <w:bookmarkEnd w:id="32"/>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强化规划引领</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全面落实《遂潼川渝毗邻地区一体化发展先行区总体方案》《遂潼一体化发展规划》，紧紧围绕全市“一城三区、一带两廊”空间布局，科学规划与潼南、安岳等毗邻地区相向发展空间，推动三家镇、磨溪镇、西眉镇成为遂潼涪江创新产业园区建设前沿阵地，打造全国跨省际新区建设典范。沿遂潼大道、潼安</w:t>
      </w:r>
      <w:r>
        <w:rPr>
          <w:rFonts w:hint="eastAsia" w:ascii="Times New Roman" w:hAnsi="Times New Roman" w:eastAsia="仿宋_GB2312" w:cs="Times New Roman"/>
          <w:snapToGrid/>
          <w:kern w:val="2"/>
          <w:sz w:val="28"/>
          <w:szCs w:val="32"/>
          <w:lang w:val="en-US" w:eastAsia="zh-CN"/>
        </w:rPr>
        <w:t>大</w:t>
      </w:r>
      <w:r>
        <w:rPr>
          <w:rFonts w:hint="eastAsia" w:ascii="Times New Roman" w:hAnsi="Times New Roman" w:eastAsia="仿宋_GB2312" w:cs="Times New Roman"/>
          <w:snapToGrid/>
          <w:kern w:val="2"/>
          <w:sz w:val="28"/>
          <w:szCs w:val="32"/>
        </w:rPr>
        <w:t>道、安居安岳快捷通道等建设“现代产业创新走廊”，沿琼江流域培育“琼江乡村振兴走廊”，沿西眉河流域打造“涪江生态绿色走廊”，联动潼南、铜梁、安岳、乐至等毗邻地区共建琼江文化旅游长廊。</w:t>
      </w:r>
    </w:p>
    <w:p>
      <w:pPr>
        <w:pStyle w:val="12"/>
        <w:adjustRightInd w:val="0"/>
        <w:snapToGrid w:val="0"/>
        <w:ind w:firstLine="0" w:firstLineChars="0"/>
        <w:jc w:val="center"/>
        <w:rPr>
          <w:rFonts w:ascii="Times New Roman" w:hAnsi="Times New Roman" w:cs="Times New Roman"/>
        </w:rPr>
      </w:pPr>
      <w:r>
        <w:rPr>
          <w:rFonts w:ascii="Times New Roman" w:hAnsi="Times New Roman" w:eastAsia="仿宋_GB2312" w:cs="Times New Roman"/>
          <w:sz w:val="28"/>
          <w:szCs w:val="32"/>
        </w:rPr>
        <w:drawing>
          <wp:inline distT="0" distB="0" distL="114300" distR="114300">
            <wp:extent cx="3585845" cy="3847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t="3125" b="4829"/>
                    <a:stretch>
                      <a:fillRect/>
                    </a:stretch>
                  </pic:blipFill>
                  <pic:spPr>
                    <a:xfrm>
                      <a:off x="0" y="0"/>
                      <a:ext cx="3584429" cy="3845936"/>
                    </a:xfrm>
                    <a:prstGeom prst="rect">
                      <a:avLst/>
                    </a:prstGeom>
                    <a:ln>
                      <a:noFill/>
                    </a:ln>
                  </pic:spPr>
                </pic:pic>
              </a:graphicData>
            </a:graphic>
          </wp:inline>
        </w:drawing>
      </w:r>
    </w:p>
    <w:p>
      <w:pPr>
        <w:widowControl/>
        <w:jc w:val="center"/>
        <w:rPr>
          <w:rFonts w:ascii="Times New Roman" w:hAnsi="Times New Roman" w:eastAsia="仿宋" w:cs="Times New Roman"/>
          <w:b/>
          <w:sz w:val="28"/>
          <w:szCs w:val="28"/>
        </w:rPr>
      </w:pPr>
      <w:r>
        <w:rPr>
          <w:rFonts w:hint="eastAsia" w:ascii="Times New Roman" w:hAnsi="Times New Roman" w:eastAsia="仿宋" w:cs="Times New Roman"/>
          <w:b/>
          <w:sz w:val="28"/>
          <w:szCs w:val="28"/>
        </w:rPr>
        <w:t>图2</w:t>
      </w:r>
      <w:r>
        <w:rPr>
          <w:rFonts w:ascii="Times New Roman" w:hAnsi="Times New Roman" w:eastAsia="仿宋" w:cs="Times New Roman"/>
          <w:b/>
          <w:sz w:val="28"/>
          <w:szCs w:val="28"/>
        </w:rPr>
        <w:t>-1</w:t>
      </w:r>
      <w:r>
        <w:rPr>
          <w:rFonts w:hint="eastAsia" w:ascii="Times New Roman" w:hAnsi="Times New Roman" w:eastAsia="仿宋" w:cs="Times New Roman"/>
          <w:b/>
          <w:sz w:val="28"/>
          <w:szCs w:val="28"/>
        </w:rPr>
        <w:t xml:space="preserve"> 遂潼</w:t>
      </w:r>
      <w:r>
        <w:rPr>
          <w:rFonts w:ascii="Times New Roman" w:hAnsi="Times New Roman" w:eastAsia="仿宋" w:cs="Times New Roman"/>
          <w:b/>
          <w:sz w:val="28"/>
          <w:szCs w:val="28"/>
        </w:rPr>
        <w:t>一体化空间格局</w:t>
      </w:r>
    </w:p>
    <w:p>
      <w:pPr>
        <w:spacing w:line="520" w:lineRule="exact"/>
        <w:ind w:firstLine="0" w:firstLineChars="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推动产业合作</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围绕锂电及新材料、新能源、智能制造、农业、天然气综合利用、文旅等特色优势产业，积极探索通过共建产业配套型园区、产业共建型与飞地经济型相结合、资源开发型和功能共建型相结合等模式，合作共建天然气综合开发利用产业园、现代特色农业产业园等园区，协同打造优质粮油和有机蔬菜基地，建设川渝粮仓、川渝菜都。优化西眉镇、磨溪镇、三家镇空间布局，与潼南共建产城融合发展新平台，打造遂潼涪江创新产业园区核心区。合作共建汽车与装备制造、农业等产业联盟和技术创新联盟，联合搭建企业家年会、产业工人技术比拼等互动平台，组织开展联合招商。依托川渝泛琼江流域文化旅游联盟，共建琼江文化旅游长廊。</w:t>
      </w:r>
    </w:p>
    <w:p>
      <w:pPr>
        <w:spacing w:line="520" w:lineRule="exact"/>
        <w:ind w:firstLine="0" w:firstLineChars="0"/>
        <w:jc w:val="center"/>
        <w:outlineLvl w:val="2"/>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第三节 夯实基础设施</w:t>
      </w:r>
    </w:p>
    <w:p>
      <w:pPr>
        <w:spacing w:line="520" w:lineRule="exact"/>
        <w:ind w:firstLine="560" w:firstLineChars="200"/>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加快推进跨区域高铁建设，积极推进轨道交通市域快线璧铜线延伸段安居站点建设。配合做好成达万、绵遂内、新兰渝、遂渝城际铁路涉及安居境内各项工作，争取设立安居站点。全力支持遂潼大道、安居机场至成渝中线高铁站（安岳）快速通道，纳入市级层面统一标准、统一规划。协助推进遂渝高速公路扩容，研究规划璧山安居大英高速公路，改造升级国省道G247、G246和S209道路，启动大安至姚市、马家至花岩、大安至花岩、磨溪至安兴等县乡道路改造，消除毗邻乡镇村组断头路、瓶颈路。协同推进安居机场快速通道南段建设，共同规划研究重庆二机场-铜梁-潼南-安居高速，争取纳入两省（市）高速路网规划，协同开展前期工作。开通相邻乡镇客运班车，形成旅游大环线。加强三家与崇龛等琼江沿途码头建设合作，整合航线班轮资源，提升航运能力及服务水平。</w:t>
      </w:r>
    </w:p>
    <w:p>
      <w:pPr>
        <w:spacing w:line="520" w:lineRule="exact"/>
        <w:ind w:firstLine="0" w:firstLineChars="0"/>
        <w:jc w:val="center"/>
        <w:outlineLvl w:val="2"/>
        <w:rPr>
          <w:rFonts w:hint="eastAsia" w:ascii="楷体_GB2312" w:hAnsi="楷体_GB2312" w:eastAsia="楷体_GB2312" w:cs="楷体_GB2312"/>
          <w:b/>
          <w:bCs w:val="0"/>
          <w:spacing w:val="0"/>
          <w:sz w:val="28"/>
          <w:szCs w:val="28"/>
        </w:rPr>
      </w:pPr>
      <w:r>
        <w:rPr>
          <w:rFonts w:hint="eastAsia" w:ascii="楷体_GB2312" w:hAnsi="楷体_GB2312" w:eastAsia="楷体_GB2312" w:cs="楷体_GB2312"/>
          <w:b/>
          <w:bCs w:val="0"/>
          <w:spacing w:val="0"/>
          <w:sz w:val="28"/>
          <w:szCs w:val="28"/>
        </w:rPr>
        <w:t>第四节 优化公共服务</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深化人力资源交流协作，探索建立人才互认机制和高层次人才工作协作机制。推进教育一体化建设，积极搭建“互联网+公共就业创业培训”平台，重点实施遂潼职业教育中心、产教融合示范园区建设项目。探索异地就医即时结算机制。推动实现城镇企业职工基本养老保险、机关事业单位养老保险、职业年金和失业保险无障碍转移接续。协同推行住房公积金转移接续和异地贷款。探索推行社保待遇领取资格协同核查认证和社保卡异地代办服务。</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spacing w:val="0"/>
        </w:rPr>
      </w:pPr>
      <w:bookmarkStart w:id="33" w:name="_Toc25430"/>
      <w:bookmarkStart w:id="34" w:name="_Toc28029"/>
      <w:bookmarkStart w:id="35" w:name="_Toc65153170"/>
      <w:bookmarkStart w:id="36" w:name="_Toc6900"/>
      <w:r>
        <w:rPr>
          <w:rFonts w:hint="eastAsia" w:ascii="方正黑体简体" w:hAnsi="方正黑体简体" w:eastAsia="方正黑体简体" w:cs="方正黑体简体"/>
          <w:b w:val="0"/>
          <w:bCs w:val="0"/>
          <w:spacing w:val="0"/>
        </w:rPr>
        <w:t>第五章</w:t>
      </w:r>
      <w:r>
        <w:rPr>
          <w:rFonts w:hint="eastAsia" w:ascii="方正黑体简体" w:hAnsi="方正黑体简体" w:eastAsia="方正黑体简体" w:cs="方正黑体简体"/>
          <w:b w:val="0"/>
          <w:bCs w:val="0"/>
        </w:rPr>
        <w:t xml:space="preserve"> 务实推动开放合作</w:t>
      </w:r>
      <w:bookmarkEnd w:id="33"/>
      <w:bookmarkEnd w:id="34"/>
      <w:bookmarkEnd w:id="35"/>
      <w:bookmarkEnd w:id="36"/>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积极融入新发展格局</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紧抓“一带一路”建设、长江经济带发展及西部陆海新通道建设契机，积极参与全省构建“一干多支、五区协同”区域发展新格局。积极融入西部陆海空新通道，重点对接“渝新欧”班列和西部陆海新通道建设，加快形成陆海空内外联动、东西双向互济的开放格局。主动服务配套成都、重庆，强化通道、产业、生态等功能协作，提升专业化配套服务水平，优先承接成渝功能疏解和产业外溢。</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强化毗邻地区协同发展</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坚持政府引导、市场主体相统一，按照优势互补、融合共生的原则，建立健全区域开放合作体制机制，提高政策制定的统一性、规则一致性和执行协同性，围绕基础设施互联互通、现代产业协作共兴、生态环境共建共治、科技创新协调提升等重点领域，加强与成渝轴线区（市）县协同发展，共谋共建先进制造业基地、共同打造西南地区对外开放新高地。完善安居机场配套功能，加快建设配套成渝等周边机场的功能疏解区、商品集散地。大力联动共建成渝地区双城经济圈综合交通体系、物流配送体系，全力打造成渝地区门户中的门户、枢纽中的枢纽。</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深化对外交流合作</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围绕“3+2”现代工业产业，以“延链补链强链优链”为主线，重点面向长三角、珠三角、成渝“双核”等地区，重点瞄准中国500强及行业领军企业，大力开展云招商、以商招商和委托招商，着力引进一批重大产业项目和配套企业，建设成渝地区承接产业转移示范区。积极组织引导企业参与中国西部国际博览会进出口商品展、中国—南亚博览会等大型国际展会及“万企出国门”等活动，支持具备条件的企业拓展国内国际市场及业务范围，扩大特色农产品、汽车及零部件、锂电及新材料等优势产品出口规模。积极融入川渝自贸试验区协同开放示范区，争创川渝自贸试验区协同开放先行区。积极加强与成渝地区开放口岸、综保区、自贸区等高能级开放平台联动，大力发展加工贸易及服务贸易，探索开展跨境电子商务等外贸新业态新模式。</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37" w:name="_Toc32547"/>
      <w:bookmarkStart w:id="38" w:name="_Toc65153171"/>
      <w:bookmarkStart w:id="39" w:name="_Toc30399"/>
      <w:bookmarkStart w:id="40" w:name="_Toc7502"/>
      <w:r>
        <w:rPr>
          <w:rFonts w:hint="eastAsia" w:ascii="方正黑体简体" w:hAnsi="方正黑体简体" w:eastAsia="方正黑体简体" w:cs="方正黑体简体"/>
          <w:b w:val="0"/>
          <w:bCs w:val="0"/>
        </w:rPr>
        <w:t>第六章 深入推进科技创新</w:t>
      </w:r>
      <w:bookmarkEnd w:id="37"/>
      <w:bookmarkEnd w:id="38"/>
      <w:bookmarkEnd w:id="39"/>
      <w:bookmarkEnd w:id="40"/>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培育创新主体</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实施科技创新三年攻坚行动。深化校地合作，联合高校、科研院所探索建设锂电及新材料创新中心，积极争创全省锂电池回收综合利用示范基地和动力电池再造利用产业基地。支持校院企共建科研机构，推动科技成果转化应用。支持四川裕能创建国家高新技术企业，支持四川江淮建设省级工程技术中心。依托中石油遂宁天然气净化有限公司，推进化工产业链向精细化工、新材料方向延伸发展。大力培育专、精、特、新中小型企业，深入实施科技型中小企业创新发展行动，激发企业自主创新能力。</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搭好创新平台</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积极申报国家级高新区。积极争取国省创新资源布局，深化与川渝地区创新合作，围绕锂电及新材料、汽车与装备制造、天然气及清洁能源、食品及特色消费品等产业，培育一批国家级、省级研发创新中心和物流配送保障中心。做强中国科学院大学健康医疗大数据分中心。充分发挥孵化平台、校企合作平台等产学研用合作平台作用，推进创新创业孵化园建设，完善科技成果转移转化机制，培育科技成果转移转化中介服务机构，促进创新成果就地转化。</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优化创新环境</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加强知识产权保护，深入推进国家知识产权试点区建设。加大支持科技创新投入，实施有利于创新的财政和税收政策，加大科研专项政策支持力度，积极协助企业申报国家级、省级科技创新领域专项资金。强化人才支撑，完善多元化人才培养服务体系，优化高层次人才绿色服务，吸引集聚更多优秀专业人才。深入实施青年发展规划，搭建青年成长成才和建功立业的平台，促进青年全面发展，激发青年创新活力。</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41" w:name="_Toc6911"/>
      <w:bookmarkStart w:id="42" w:name="_Toc1788"/>
      <w:bookmarkStart w:id="43" w:name="_Toc18027"/>
      <w:bookmarkStart w:id="44" w:name="_Toc65153172"/>
      <w:r>
        <w:rPr>
          <w:rFonts w:hint="eastAsia" w:ascii="方正黑体简体" w:hAnsi="方正黑体简体" w:eastAsia="方正黑体简体" w:cs="方正黑体简体"/>
          <w:b w:val="0"/>
          <w:bCs w:val="0"/>
        </w:rPr>
        <w:t>第七章 坚持全面深化改革</w:t>
      </w:r>
      <w:bookmarkEnd w:id="41"/>
      <w:bookmarkEnd w:id="42"/>
      <w:bookmarkEnd w:id="43"/>
      <w:bookmarkEnd w:id="44"/>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持续深化“放管服”改革</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创新行政管理和服务方式，深入开展“互联网+政务服务”，建立健全“五个一”机制，推进政务服务标准化、规范化、便利化。深化行政审批制度改革，简化办事程序、优化审批流程、提升审批效率。推动综合服务平台功能线下业务线上全覆盖，提高网上办事率，开通“网上预约、网上预审”通道，变承诺件为即办件，采取“原件核验”方式实现“最多跑一次”。引进水、电、气、光纤通讯服务窗口，为不动产登记业务同步开展配套服务。将不动产抵押登记业务、公司注册登记业务受理窗口向银行网点延伸，压缩办事节点。强化监督执法，推进以信用承诺、信息公示、失信联合惩戒为特点的新型监管机制建设，构建适合高质量发展要求的社会信用体系和监管机制。</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推进要素市场改革</w:t>
      </w:r>
    </w:p>
    <w:p>
      <w:pPr>
        <w:spacing w:line="520" w:lineRule="exact"/>
        <w:ind w:firstLine="560" w:firstLineChars="200"/>
        <w:rPr>
          <w:rFonts w:ascii="Times New Roman" w:hAnsi="Times New Roman" w:eastAsia="仿宋_GB2312" w:cs="Times New Roman"/>
          <w:snapToGrid w:val="0"/>
          <w:kern w:val="0"/>
          <w:sz w:val="28"/>
          <w:szCs w:val="28"/>
        </w:rPr>
      </w:pPr>
      <w:r>
        <w:rPr>
          <w:rFonts w:hint="eastAsia" w:ascii="Times New Roman" w:hAnsi="Times New Roman" w:eastAsia="仿宋_GB2312" w:cs="Times New Roman"/>
          <w:snapToGrid/>
          <w:kern w:val="2"/>
          <w:sz w:val="28"/>
          <w:szCs w:val="32"/>
        </w:rPr>
        <w:t>充分发挥市场对土地资源配置的决定作用，完善农村土地产权制度，积极探索放宽宅基地使用权购买范围，促进农村闲置宅基地和集体建设用地的有效使用。深化户籍制度改革，保障农民进城、外来就业安家落户，推动建立城镇教育、就业创业、医疗卫生等基本公共服务与常住人口挂钩机制，健全统一规范的人力资源市场体系，加快建立协调衔接的劳动力、人才流动政策体系和交流合作机制，引导劳动力要素有序流动。深化资本要素市场化改革，加快培育发展多层次资本市场，增加服务小微企业和民营企业的金融服务供给，建立银行业金融机构服务“三农”的激励约束机制。推进城市商业银行和农村信用社改革，引导大银行服务重心下沉，提升金融服务实体经济效率。</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激发市场主体活力</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持续深化国资国企改革，优化国有资源配置，实施国有企业改革三年行动方案，持续推进国有企业实体化、市场化转型。完善以管资本为主的国有资产监管体制，优化管资本的方式手段，加强国企顶层设计，积极构建现代企业制度。推动区属国有企业与中、省、市国有企业通过市场化方式开展合作，做大做实国有资本和国有企业。推动民营经济高质量发展，促进民营企业深化改革、加强创新。扶持壮大一批技术先进、主业突出、行业优势明显、拥有自主知识产权和知名品牌的民营企业。健全支持中小企业发展制度，深入实施民营经济政策精准推送工程和民营企业精准培育计划。</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不断优化营商环境</w:t>
      </w:r>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全面落实《优化营商环境条例》，打造成渝地区“门槛低于周边、服务高于周边”的投资兴业热土。依法平等保护各类市场主体产权和自主经营权，对新产业新业态实行包容审慎监管，放开民营企业市场准入，构建企业生命周期服务体系。抓好“银政企”融资对接，激励金融机构加大对企业特别是中小企业信贷投放力度，提升金融支持引导实体经济发展水平。全面落实减税降费政策。健全行业协会、中介机构规范运行机制，提高专业化服务水平。加强社会信用体系建设，构建诚信守法、公平竞争的市场体系。积极争创对外开放法治示范区首批试点城市。</w:t>
      </w:r>
    </w:p>
    <w:p>
      <w:pPr>
        <w:pStyle w:val="3"/>
        <w:spacing w:before="313" w:beforeLines="100" w:after="313" w:afterLines="100" w:line="520" w:lineRule="exact"/>
        <w:jc w:val="center"/>
        <w:rPr>
          <w:rFonts w:hint="eastAsia" w:ascii="Calibri" w:hAnsi="Calibri" w:eastAsia="方正小标宋简体"/>
          <w:sz w:val="32"/>
        </w:rPr>
      </w:pPr>
      <w:bookmarkStart w:id="45" w:name="_Toc15991"/>
      <w:bookmarkStart w:id="46" w:name="_Toc20144"/>
      <w:bookmarkStart w:id="47" w:name="_Toc22043"/>
      <w:bookmarkStart w:id="48" w:name="_Toc65153173"/>
      <w:r>
        <w:rPr>
          <w:rFonts w:hint="eastAsia" w:ascii="Calibri" w:hAnsi="Calibri" w:eastAsia="方正小标宋简体"/>
          <w:sz w:val="32"/>
        </w:rPr>
        <w:t>第三篇 深入推进新型城镇化，促进</w:t>
      </w:r>
      <w:r>
        <w:rPr>
          <w:rFonts w:hint="default" w:ascii="Calibri" w:hAnsi="Calibri" w:eastAsia="方正小标宋简体"/>
          <w:sz w:val="32"/>
        </w:rPr>
        <w:t>城乡</w:t>
      </w:r>
      <w:r>
        <w:rPr>
          <w:rFonts w:hint="eastAsia" w:ascii="Calibri" w:hAnsi="Calibri" w:eastAsia="方正小标宋简体"/>
          <w:sz w:val="32"/>
        </w:rPr>
        <w:t>协调发展</w:t>
      </w:r>
      <w:bookmarkEnd w:id="24"/>
      <w:bookmarkEnd w:id="45"/>
      <w:bookmarkEnd w:id="46"/>
      <w:bookmarkEnd w:id="47"/>
      <w:bookmarkEnd w:id="48"/>
    </w:p>
    <w:p>
      <w:pPr>
        <w:widowControl/>
        <w:spacing w:line="520" w:lineRule="exact"/>
        <w:ind w:firstLine="560" w:firstLineChars="200"/>
        <w:jc w:val="left"/>
        <w:rPr>
          <w:rFonts w:hint="eastAsia" w:ascii="Times New Roman" w:hAnsi="Times New Roman" w:eastAsia="仿宋_GB2312" w:cs="Times New Roman"/>
          <w:snapToGrid/>
          <w:kern w:val="2"/>
          <w:sz w:val="28"/>
          <w:szCs w:val="32"/>
        </w:rPr>
      </w:pPr>
      <w:r>
        <w:rPr>
          <w:rFonts w:hint="eastAsia" w:ascii="Times New Roman" w:hAnsi="Times New Roman" w:eastAsia="仿宋_GB2312" w:cs="Times New Roman"/>
          <w:snapToGrid/>
          <w:kern w:val="2"/>
          <w:sz w:val="28"/>
          <w:szCs w:val="32"/>
        </w:rPr>
        <w:t>全面落实市委“一核三片、四区协同”决策部署，全面优化高质量发展空间格局，加快推进新型城镇化建设，推动形成“1+1+4+8”的现代城镇体系。</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49" w:name="_Toc60670631"/>
      <w:bookmarkStart w:id="50" w:name="_Toc11960"/>
      <w:bookmarkStart w:id="51" w:name="_Toc29334"/>
      <w:bookmarkStart w:id="52" w:name="_Toc65153174"/>
      <w:bookmarkStart w:id="53" w:name="_Toc2936"/>
      <w:r>
        <w:rPr>
          <w:rFonts w:hint="eastAsia" w:ascii="方正黑体简体" w:hAnsi="方正黑体简体" w:eastAsia="方正黑体简体" w:cs="方正黑体简体"/>
          <w:b w:val="0"/>
          <w:bCs w:val="0"/>
        </w:rPr>
        <w:t>第八章 塑造高质量国土空间</w:t>
      </w:r>
      <w:bookmarkEnd w:id="49"/>
      <w:r>
        <w:rPr>
          <w:rFonts w:hint="eastAsia" w:ascii="方正黑体简体" w:hAnsi="方正黑体简体" w:eastAsia="方正黑体简体" w:cs="方正黑体简体"/>
          <w:b w:val="0"/>
          <w:bCs w:val="0"/>
        </w:rPr>
        <w:t>发展格局</w:t>
      </w:r>
      <w:bookmarkEnd w:id="50"/>
      <w:bookmarkEnd w:id="51"/>
      <w:bookmarkEnd w:id="52"/>
      <w:bookmarkEnd w:id="53"/>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优化国土空间布局</w:t>
      </w:r>
    </w:p>
    <w:p>
      <w:pPr>
        <w:spacing w:line="520" w:lineRule="exact"/>
        <w:ind w:firstLine="562" w:firstLineChars="200"/>
        <w:rPr>
          <w:rFonts w:hint="eastAsia" w:ascii="仿宋_GB2312" w:hAnsi="仿宋_GB2312" w:eastAsia="仿宋_GB2312" w:cs="仿宋_GB2312"/>
          <w:snapToGrid w:val="0"/>
          <w:kern w:val="0"/>
          <w:sz w:val="28"/>
          <w:szCs w:val="32"/>
        </w:rPr>
      </w:pPr>
      <w:r>
        <w:rPr>
          <w:rFonts w:hint="eastAsia" w:ascii="仿宋_GB2312" w:hAnsi="仿宋_GB2312" w:eastAsia="仿宋_GB2312" w:cs="仿宋_GB2312"/>
          <w:b/>
          <w:snapToGrid w:val="0"/>
          <w:kern w:val="0"/>
          <w:sz w:val="28"/>
          <w:szCs w:val="32"/>
        </w:rPr>
        <w:t>塑造“1+1+4+8”的现代城镇体系。</w:t>
      </w:r>
      <w:r>
        <w:rPr>
          <w:rFonts w:hint="eastAsia" w:ascii="仿宋_GB2312" w:hAnsi="仿宋_GB2312" w:eastAsia="仿宋_GB2312" w:cs="仿宋_GB2312"/>
          <w:snapToGrid w:val="0"/>
          <w:kern w:val="0"/>
          <w:sz w:val="28"/>
          <w:szCs w:val="32"/>
        </w:rPr>
        <w:t>坚持以人为本、规划引领，稳步推进人口向城镇集聚，加快形成以主城区为引领、县域副中心为重点、中心镇为支撑、一般镇为基础的“1+1+4+8”现代城镇体系，城市建成区面积扩大到20平方公里，城市常住人口达到18万人，城镇化率提高到46%，城市品质、气质和颜值大幅提升。</w:t>
      </w:r>
    </w:p>
    <w:p>
      <w:pPr>
        <w:pStyle w:val="12"/>
        <w:ind w:firstLine="0" w:firstLineChars="0"/>
        <w:jc w:val="center"/>
        <w:rPr>
          <w:rFonts w:ascii="Times New Roman" w:hAnsi="Times New Roman" w:cs="Times New Roman"/>
        </w:rPr>
      </w:pPr>
      <w:r>
        <w:rPr>
          <w:rFonts w:ascii="Times New Roman" w:hAnsi="Times New Roman" w:cs="Times New Roman"/>
        </w:rPr>
        <w:drawing>
          <wp:inline distT="0" distB="0" distL="0" distR="0">
            <wp:extent cx="5279390" cy="3433445"/>
            <wp:effectExtent l="0" t="0" r="0" b="0"/>
            <wp:docPr id="6" name="图片 6" descr="D:\遂宁安居区“十四五规划”\1月安居修改意见\画图\1+1+4+8城镇体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遂宁安居区“十四五规划”\1月安居修改意见\画图\1+1+4+8城镇体系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9390" cy="3433445"/>
                    </a:xfrm>
                    <a:prstGeom prst="rect">
                      <a:avLst/>
                    </a:prstGeom>
                    <a:noFill/>
                    <a:ln>
                      <a:noFill/>
                    </a:ln>
                  </pic:spPr>
                </pic:pic>
              </a:graphicData>
            </a:graphic>
          </wp:inline>
        </w:drawing>
      </w:r>
    </w:p>
    <w:p>
      <w:pPr>
        <w:widowControl/>
        <w:jc w:val="center"/>
        <w:rPr>
          <w:rFonts w:ascii="Times New Roman" w:hAnsi="Times New Roman" w:cs="Times New Roman"/>
        </w:rPr>
      </w:pPr>
      <w:r>
        <w:rPr>
          <w:rFonts w:hint="eastAsia" w:ascii="Times New Roman" w:hAnsi="Times New Roman" w:eastAsia="仿宋" w:cs="Times New Roman"/>
          <w:b/>
          <w:sz w:val="28"/>
          <w:szCs w:val="28"/>
        </w:rPr>
        <w:t>图3</w:t>
      </w:r>
      <w:r>
        <w:rPr>
          <w:rFonts w:ascii="Times New Roman" w:hAnsi="Times New Roman" w:eastAsia="仿宋" w:cs="Times New Roman"/>
          <w:b/>
          <w:sz w:val="28"/>
          <w:szCs w:val="28"/>
        </w:rPr>
        <w:t xml:space="preserve">-1 </w:t>
      </w:r>
      <w:r>
        <w:rPr>
          <w:rFonts w:hint="eastAsia" w:ascii="Times New Roman" w:hAnsi="Times New Roman" w:eastAsia="仿宋" w:cs="Times New Roman"/>
          <w:b/>
          <w:sz w:val="28"/>
          <w:szCs w:val="28"/>
        </w:rPr>
        <w:t>安居区“1+1+4+8”城镇体系示意图</w:t>
      </w:r>
    </w:p>
    <w:p>
      <w:pPr>
        <w:spacing w:line="520" w:lineRule="exact"/>
        <w:ind w:firstLine="562" w:firstLineChars="200"/>
        <w:rPr>
          <w:rFonts w:ascii="Times New Roman" w:hAnsi="Times New Roman" w:eastAsia="仿宋_GB2312" w:cs="Times New Roman"/>
          <w:bCs/>
          <w:spacing w:val="-4"/>
          <w:sz w:val="28"/>
          <w:szCs w:val="32"/>
        </w:rPr>
      </w:pPr>
      <w:r>
        <w:rPr>
          <w:rFonts w:ascii="Times New Roman" w:hAnsi="Times New Roman" w:eastAsia="仿宋_GB2312" w:cs="Times New Roman"/>
          <w:b/>
          <w:snapToGrid w:val="0"/>
          <w:kern w:val="0"/>
          <w:sz w:val="28"/>
          <w:szCs w:val="32"/>
        </w:rPr>
        <w:t>构筑“三环三线三园七带”农业融合发展格局。</w:t>
      </w:r>
      <w:r>
        <w:rPr>
          <w:rFonts w:ascii="Times New Roman" w:hAnsi="Times New Roman" w:eastAsia="仿宋_GB2312" w:cs="Times New Roman"/>
          <w:snapToGrid w:val="0"/>
          <w:kern w:val="0"/>
          <w:sz w:val="28"/>
          <w:szCs w:val="32"/>
        </w:rPr>
        <w:t>落实国家粮食安全战略，优化“5+10”现代农业产业布局。立足安居东部、西部、北部农业发展优势，沿318国道、安白路、农环线，推动三家大米园区、安居红苕园区、莲藕园区创建国家级、省级现代农业园区，打造笋用竹、柠檬、藤椒、油菜、脆桃、沙田柚、甜橙产业带，构建“三环三线三园七带”融合发展新格局。</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构建“一廊两道三区多核”生态安全格局。</w:t>
      </w:r>
      <w:r>
        <w:rPr>
          <w:rFonts w:ascii="Times New Roman" w:hAnsi="Times New Roman" w:eastAsia="仿宋_GB2312" w:cs="Times New Roman"/>
          <w:snapToGrid w:val="0"/>
          <w:kern w:val="0"/>
          <w:sz w:val="28"/>
          <w:szCs w:val="32"/>
        </w:rPr>
        <w:t>严格保护涪江琼江水系生态系统，优化自然河湖水系网络格局，严格控制沿江开发建设强度，提高区域水源涵养、水土保持、生物多样性等综合功能与作用，筑牢长江上游和成渝地区双城经济圈中部生态屏障。</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5000" w:type="pct"/>
            <w:vAlign w:val="center"/>
          </w:tcPr>
          <w:p>
            <w:pPr>
              <w:spacing w:line="400" w:lineRule="exact"/>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专栏3-</w:t>
            </w:r>
            <w:r>
              <w:rPr>
                <w:rFonts w:hint="eastAsia" w:ascii="Times New Roman" w:hAnsi="Times New Roman" w:eastAsia="仿宋_GB2312" w:cs="Times New Roman"/>
                <w:b/>
                <w:sz w:val="24"/>
                <w:szCs w:val="24"/>
              </w:rPr>
              <w:t xml:space="preserve">1 </w:t>
            </w:r>
            <w:r>
              <w:rPr>
                <w:rFonts w:ascii="Times New Roman" w:hAnsi="Times New Roman" w:eastAsia="仿宋_GB2312" w:cs="Times New Roman"/>
                <w:b/>
                <w:sz w:val="24"/>
                <w:szCs w:val="24"/>
              </w:rPr>
              <w:t xml:space="preserve"> “一廊两道三区多核” 生态安全格局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5000" w:type="pct"/>
            <w:vAlign w:val="center"/>
          </w:tcPr>
          <w:p>
            <w:pPr>
              <w:widowControl/>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一廊：</w:t>
            </w:r>
            <w:r>
              <w:rPr>
                <w:rFonts w:ascii="Times New Roman" w:hAnsi="Times New Roman" w:eastAsia="仿宋_GB2312" w:cs="Times New Roman"/>
                <w:sz w:val="24"/>
                <w:szCs w:val="24"/>
              </w:rPr>
              <w:t>依托琼江水源保护区构建生态绿廊。</w:t>
            </w:r>
          </w:p>
          <w:p>
            <w:pPr>
              <w:widowControl/>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两道：</w:t>
            </w:r>
            <w:r>
              <w:rPr>
                <w:rFonts w:ascii="Times New Roman" w:hAnsi="Times New Roman" w:eastAsia="仿宋_GB2312" w:cs="Times New Roman"/>
                <w:sz w:val="24"/>
                <w:szCs w:val="24"/>
              </w:rPr>
              <w:t>构建石洞河至仁桥河以北、蟠龙河至玉丰河两条生态保护绿道。</w:t>
            </w:r>
          </w:p>
          <w:p>
            <w:pPr>
              <w:widowControl/>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三区：</w:t>
            </w:r>
            <w:r>
              <w:rPr>
                <w:rFonts w:ascii="Times New Roman" w:hAnsi="Times New Roman" w:eastAsia="仿宋_GB2312" w:cs="Times New Roman"/>
                <w:sz w:val="24"/>
                <w:szCs w:val="24"/>
              </w:rPr>
              <w:t>莲花湖、禅月湖、新生湖等沿线生态保护区。</w:t>
            </w:r>
          </w:p>
          <w:p>
            <w:pPr>
              <w:widowControl/>
              <w:adjustRightInd w:val="0"/>
              <w:snapToGrid w:val="0"/>
              <w:spacing w:line="400" w:lineRule="exact"/>
              <w:ind w:firstLine="482" w:firstLineChars="200"/>
              <w:rPr>
                <w:rFonts w:ascii="Times New Roman" w:hAnsi="Times New Roman" w:eastAsia="仿宋_GB2312" w:cs="Times New Roman"/>
                <w:b/>
                <w:sz w:val="24"/>
                <w:szCs w:val="24"/>
              </w:rPr>
            </w:pPr>
            <w:r>
              <w:rPr>
                <w:rFonts w:ascii="Times New Roman" w:hAnsi="Times New Roman" w:eastAsia="仿宋_GB2312" w:cs="Times New Roman"/>
                <w:b/>
                <w:sz w:val="24"/>
                <w:szCs w:val="24"/>
              </w:rPr>
              <w:t>多核：</w:t>
            </w:r>
            <w:r>
              <w:rPr>
                <w:rFonts w:ascii="Times New Roman" w:hAnsi="Times New Roman" w:eastAsia="仿宋_GB2312" w:cs="Times New Roman"/>
                <w:sz w:val="24"/>
                <w:szCs w:val="24"/>
              </w:rPr>
              <w:t>七彩明珠旅游景区、莲花湖生态景区、三仙湖风景区、凤凰湖风景区、席家堰水库风景区、马鞍山生态保护区等多个生态绿核。</w:t>
            </w:r>
          </w:p>
        </w:tc>
      </w:tr>
    </w:tbl>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持续优化生产力布局</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优化工业生产空间。</w:t>
      </w:r>
      <w:r>
        <w:rPr>
          <w:rFonts w:ascii="Times New Roman" w:hAnsi="Times New Roman" w:eastAsia="仿宋_GB2312" w:cs="Times New Roman"/>
          <w:snapToGrid w:val="0"/>
          <w:kern w:val="0"/>
          <w:sz w:val="28"/>
          <w:szCs w:val="32"/>
        </w:rPr>
        <w:t>始终坚持工业强区的战略定力，依托遂宁安居经济开发区平台，以龙头企业为引领，进一步壮大锂电及新材料产业，做强汽车与装备制造产业，发展天然气清洁能源产业，进一步提升食品及特色消费品，积极推进通航配套服务产业，推动“3+2”现代工业产业率先融入成渝地区双城经济圈和遂潼一体化发展。</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拓展现代服务业发展空间。</w:t>
      </w:r>
      <w:r>
        <w:rPr>
          <w:rFonts w:ascii="Times New Roman" w:hAnsi="Times New Roman" w:eastAsia="仿宋_GB2312" w:cs="Times New Roman"/>
          <w:snapToGrid w:val="0"/>
          <w:kern w:val="0"/>
          <w:sz w:val="28"/>
          <w:szCs w:val="32"/>
        </w:rPr>
        <w:t>坚持扩大内需战略基点，加快构建“4+2”现代服务业产业体系。以中心城区为核心，以商贸活区为战略，沿安居大道、滨江南路沿线构建生活性服务业产业带，大力发展城市综合体、连锁经营、新零售等现代商贸业态。依托七彩明珠4A级旅游景区和琼江源国家级水利风景区，构建红色感恩、研学旅行、乡愁体验等精品线路，做亮川渝泛琼江流域文化旅游联盟品牌。突出重点、分类施策，加快全区教育体育、健康养老等提质增效，形成公共服务产业发展新格局。以遂宁安居经济开发区、安居机场为核心，沿遂安大道加快现代物流、电子商务两大成长型生产服务业提速增量。</w:t>
      </w:r>
    </w:p>
    <w:p>
      <w:pPr>
        <w:spacing w:line="520" w:lineRule="exact"/>
        <w:ind w:firstLine="562" w:firstLineChars="200"/>
        <w:rPr>
          <w:rFonts w:ascii="Times New Roman" w:hAnsi="Times New Roman" w:cs="Times New Roman"/>
          <w:sz w:val="32"/>
          <w:szCs w:val="32"/>
        </w:rPr>
      </w:pPr>
      <w:r>
        <w:rPr>
          <w:rFonts w:ascii="Times New Roman" w:hAnsi="Times New Roman" w:eastAsia="仿宋_GB2312" w:cs="Times New Roman"/>
          <w:b/>
          <w:snapToGrid w:val="0"/>
          <w:kern w:val="0"/>
          <w:sz w:val="28"/>
          <w:szCs w:val="32"/>
        </w:rPr>
        <w:t>形成农业高质量发展新格局。</w:t>
      </w:r>
      <w:r>
        <w:rPr>
          <w:rFonts w:ascii="Times New Roman" w:hAnsi="Times New Roman" w:eastAsia="仿宋_GB2312" w:cs="Times New Roman"/>
          <w:snapToGrid w:val="0"/>
          <w:kern w:val="0"/>
          <w:sz w:val="28"/>
          <w:szCs w:val="32"/>
        </w:rPr>
        <w:t>以建设国家级现代农业园区为目标，推动农业生产要素高效集聚，夯实农业生产能力基础，提升现代农业综合水平，助推安居由农业大区向农业强区跨越。加快建设优质高产高效粮油保障基地、商品猪战略保障基地、绿色优质蔬菜保障基地、现代水果基地、特色产品基地等五大产业基地、十大现代农业园区，形成“5+10”现代农业高质量发展格局。</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54" w:name="_Toc65153175"/>
      <w:bookmarkStart w:id="55" w:name="_Toc18440"/>
      <w:bookmarkStart w:id="56" w:name="_Toc12177"/>
      <w:bookmarkStart w:id="57" w:name="_Toc28073"/>
      <w:r>
        <w:rPr>
          <w:rFonts w:hint="eastAsia" w:ascii="方正黑体简体" w:hAnsi="方正黑体简体" w:eastAsia="方正黑体简体" w:cs="方正黑体简体"/>
          <w:b w:val="0"/>
          <w:bCs w:val="0"/>
        </w:rPr>
        <w:t>第九章 促进中心城区核心引领</w:t>
      </w:r>
      <w:bookmarkEnd w:id="54"/>
      <w:bookmarkEnd w:id="55"/>
      <w:bookmarkEnd w:id="56"/>
      <w:bookmarkEnd w:id="57"/>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优化中心城区空间布局</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进一步优化中心城市空间布局，有序推进中心城区“东进、南改、西拓、北融”。其中，东部城区扩区拓园，建成先进制造业集聚地；南部城区加快旧城改造，建成魅力生活宜居城；西部城区突出规划引领，打造凤凰城，建成安逸安居公园城市样板区；北部城区依托遂宁安居机场发展航空配套，建设空港配套</w:t>
      </w:r>
      <w:r>
        <w:rPr>
          <w:rFonts w:hint="eastAsia" w:ascii="Times New Roman" w:hAnsi="Times New Roman" w:eastAsia="仿宋_GB2312" w:cs="Times New Roman"/>
          <w:snapToGrid w:val="0"/>
          <w:kern w:val="0"/>
          <w:sz w:val="28"/>
          <w:szCs w:val="32"/>
        </w:rPr>
        <w:t>区</w:t>
      </w:r>
      <w:r>
        <w:rPr>
          <w:rFonts w:ascii="Times New Roman" w:hAnsi="Times New Roman" w:eastAsia="仿宋_GB2312" w:cs="Times New Roman"/>
          <w:snapToGrid w:val="0"/>
          <w:kern w:val="0"/>
          <w:sz w:val="28"/>
          <w:szCs w:val="32"/>
        </w:rPr>
        <w:t>。完成滨江河堤整治，努力打造“一江两岸”和谐生态环境。利用“一环三横四纵”城市大道自然分区，打造交通圈、商旅圈、生活圈“多圈合一”的城市功能区，集聚提升城市人气商气，加快建设成渝地区湖光山色中的安逸安居公园城市典范。</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全力推进公园城市建设</w:t>
      </w:r>
    </w:p>
    <w:p>
      <w:pPr>
        <w:spacing w:line="520" w:lineRule="exact"/>
        <w:ind w:firstLine="560" w:firstLineChars="200"/>
        <w:rPr>
          <w:rFonts w:ascii="Times New Roman" w:hAnsi="Times New Roman" w:eastAsia="仿宋_GB2312" w:cs="Times New Roman"/>
          <w:snapToGrid w:val="0"/>
          <w:kern w:val="0"/>
          <w:sz w:val="32"/>
          <w:szCs w:val="32"/>
        </w:rPr>
      </w:pPr>
      <w:r>
        <w:rPr>
          <w:rFonts w:hint="eastAsia" w:ascii="Times New Roman" w:hAnsi="Times New Roman" w:eastAsia="仿宋_GB2312" w:cs="Times New Roman"/>
          <w:snapToGrid w:val="0"/>
          <w:kern w:val="0"/>
          <w:sz w:val="28"/>
          <w:szCs w:val="32"/>
        </w:rPr>
        <w:t>实施“公园城市大提质”工程</w:t>
      </w:r>
      <w:r>
        <w:rPr>
          <w:rFonts w:hint="eastAsia" w:ascii="Times New Roman" w:hAnsi="Times New Roman" w:eastAsia="仿宋_GB2312" w:cs="Times New Roman"/>
          <w:snapToGrid w:val="0"/>
          <w:kern w:val="0"/>
          <w:sz w:val="28"/>
          <w:szCs w:val="32"/>
          <w:lang w:eastAsia="zh-CN"/>
        </w:rPr>
        <w:t>。</w:t>
      </w:r>
      <w:r>
        <w:rPr>
          <w:rFonts w:ascii="Times New Roman" w:hAnsi="Times New Roman" w:eastAsia="仿宋_GB2312" w:cs="Times New Roman"/>
          <w:snapToGrid w:val="0"/>
          <w:kern w:val="0"/>
          <w:sz w:val="28"/>
          <w:szCs w:val="32"/>
        </w:rPr>
        <w:t>突出城市“生态绿色、宜居活力”特征，促进山、水、城、人和谐共融。推动全域海绵城市</w:t>
      </w:r>
      <w:r>
        <w:rPr>
          <w:rFonts w:hint="eastAsia" w:ascii="Times New Roman" w:hAnsi="Times New Roman" w:eastAsia="仿宋_GB2312" w:cs="Times New Roman"/>
          <w:snapToGrid w:val="0"/>
          <w:kern w:val="0"/>
          <w:sz w:val="28"/>
          <w:szCs w:val="32"/>
        </w:rPr>
        <w:t>规划建设</w:t>
      </w:r>
      <w:r>
        <w:rPr>
          <w:rFonts w:ascii="Times New Roman" w:hAnsi="Times New Roman" w:eastAsia="仿宋_GB2312" w:cs="Times New Roman"/>
          <w:snapToGrid w:val="0"/>
          <w:kern w:val="0"/>
          <w:sz w:val="28"/>
          <w:szCs w:val="32"/>
        </w:rPr>
        <w:t>、未来社区建设，加强城镇老旧小区改造，</w:t>
      </w:r>
      <w:r>
        <w:rPr>
          <w:rFonts w:hint="eastAsia" w:ascii="Times New Roman" w:hAnsi="Times New Roman" w:eastAsia="仿宋_GB2312" w:cs="Times New Roman"/>
          <w:snapToGrid w:val="0"/>
          <w:kern w:val="0"/>
          <w:sz w:val="28"/>
          <w:szCs w:val="32"/>
        </w:rPr>
        <w:t>推动城市造林工程，</w:t>
      </w:r>
      <w:r>
        <w:rPr>
          <w:rFonts w:ascii="Times New Roman" w:hAnsi="Times New Roman" w:eastAsia="仿宋_GB2312" w:cs="Times New Roman"/>
          <w:snapToGrid w:val="0"/>
          <w:kern w:val="0"/>
          <w:sz w:val="28"/>
          <w:szCs w:val="32"/>
        </w:rPr>
        <w:t>增加城市公园、小游园和微绿地，实施引水入城、引绿入城、引景入城。实施城市更新行动，启动</w:t>
      </w:r>
      <w:r>
        <w:rPr>
          <w:rFonts w:hint="eastAsia" w:ascii="Times New Roman" w:hAnsi="Times New Roman" w:eastAsia="仿宋_GB2312" w:cs="Times New Roman"/>
          <w:snapToGrid w:val="0"/>
          <w:kern w:val="0"/>
          <w:sz w:val="28"/>
          <w:szCs w:val="32"/>
          <w:lang w:val="en-US" w:eastAsia="zh-CN"/>
        </w:rPr>
        <w:t>城市</w:t>
      </w:r>
      <w:r>
        <w:rPr>
          <w:rFonts w:ascii="Times New Roman" w:hAnsi="Times New Roman" w:eastAsia="仿宋_GB2312" w:cs="Times New Roman"/>
          <w:snapToGrid w:val="0"/>
          <w:kern w:val="0"/>
          <w:sz w:val="28"/>
          <w:szCs w:val="32"/>
        </w:rPr>
        <w:t>“幸福美好生活十大工程”</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24</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补齐农贸市场、公共停车场、充电站（桩）、雨污管网、游客接待中心等基础设施和公共服务短板。以打造设施智能、服务便捷、治理精细、环境宜居的“数字安居”为目标，通过数字城管平台，构建起横到边、纵到底的城市精细化管理网络，实现对城市管理活动的全领域覆盖、全时段监管和城市管理问题的高效率、高标准处置，提高智能化、信息化给群众生活带来的获得感、幸福感。注重文旅融合发展，增强城市文化吸引力和旅游竞争力，以城市建设带动旅游和商业发展活力。</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00" w:type="pct"/>
            <w:vAlign w:val="center"/>
          </w:tcPr>
          <w:p>
            <w:pPr>
              <w:spacing w:line="360" w:lineRule="exact"/>
              <w:jc w:val="center"/>
              <w:rPr>
                <w:rFonts w:ascii="Times New Roman" w:hAnsi="Times New Roman" w:eastAsia="仿宋_GB2312" w:cs="Times New Roman"/>
                <w:sz w:val="24"/>
                <w:szCs w:val="24"/>
              </w:rPr>
            </w:pPr>
            <w:r>
              <w:rPr>
                <w:rFonts w:ascii="Times New Roman" w:hAnsi="Times New Roman" w:eastAsia="仿宋_GB2312" w:cs="Times New Roman"/>
                <w:b/>
                <w:bCs/>
                <w:sz w:val="24"/>
                <w:szCs w:val="24"/>
              </w:rPr>
              <w:t>专栏3-</w:t>
            </w:r>
            <w:r>
              <w:rPr>
                <w:rFonts w:hint="eastAsia" w:ascii="Times New Roman" w:hAnsi="Times New Roman" w:eastAsia="仿宋_GB2312" w:cs="Times New Roman"/>
                <w:b/>
                <w:bCs/>
                <w:sz w:val="24"/>
                <w:szCs w:val="24"/>
              </w:rPr>
              <w:t xml:space="preserve">2 </w:t>
            </w:r>
            <w:r>
              <w:rPr>
                <w:rFonts w:ascii="Times New Roman" w:hAnsi="Times New Roman" w:eastAsia="仿宋_GB2312" w:cs="Times New Roman"/>
                <w:b/>
                <w:bCs/>
                <w:sz w:val="24"/>
                <w:szCs w:val="24"/>
              </w:rPr>
              <w:t xml:space="preserve"> 中心城区市政设施建设重点工程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center"/>
          </w:tcPr>
          <w:p>
            <w:pPr>
              <w:spacing w:line="360" w:lineRule="exact"/>
              <w:ind w:firstLine="482" w:firstLineChars="200"/>
              <w:rPr>
                <w:rFonts w:ascii="Times New Roman" w:hAnsi="Times New Roman" w:eastAsia="仿宋_GB2312" w:cs="Times New Roman"/>
                <w:color w:val="000000"/>
                <w:sz w:val="24"/>
                <w:szCs w:val="24"/>
              </w:rPr>
            </w:pPr>
            <w:r>
              <w:rPr>
                <w:rFonts w:ascii="Times New Roman" w:hAnsi="Times New Roman" w:eastAsia="仿宋_GB2312" w:cs="Times New Roman"/>
                <w:b/>
                <w:color w:val="000000"/>
                <w:sz w:val="24"/>
                <w:szCs w:val="24"/>
              </w:rPr>
              <w:t>污水垃圾处理工程：</w:t>
            </w:r>
            <w:r>
              <w:rPr>
                <w:rFonts w:ascii="Times New Roman" w:hAnsi="Times New Roman" w:eastAsia="仿宋_GB2312" w:cs="Times New Roman"/>
                <w:color w:val="000000"/>
                <w:sz w:val="24"/>
                <w:szCs w:val="24"/>
              </w:rPr>
              <w:t>安居区园区道路管网改造等基础设施建设项目</w:t>
            </w:r>
            <w:r>
              <w:rPr>
                <w:rFonts w:ascii="Times New Roman" w:hAnsi="Times New Roman" w:eastAsia="仿宋_GB2312" w:cs="Times New Roman"/>
                <w:sz w:val="24"/>
                <w:szCs w:val="24"/>
              </w:rPr>
              <w:t>、</w:t>
            </w:r>
            <w:r>
              <w:rPr>
                <w:rFonts w:ascii="Times New Roman" w:hAnsi="Times New Roman" w:eastAsia="仿宋_GB2312" w:cs="Times New Roman"/>
                <w:color w:val="000000"/>
                <w:sz w:val="24"/>
                <w:szCs w:val="24"/>
              </w:rPr>
              <w:t>安居区工业园区初期雨水收集处置系统、安居经开区龙眼井污水处理厂提档升级及配套管网建设、安居区城区基础设施建设项目、安居区安居大道中段海绵工程</w:t>
            </w:r>
            <w:r>
              <w:rPr>
                <w:rFonts w:ascii="Times New Roman" w:hAnsi="Times New Roman" w:eastAsia="仿宋_GB2312" w:cs="Times New Roman"/>
                <w:sz w:val="24"/>
                <w:szCs w:val="24"/>
              </w:rPr>
              <w:t>、</w:t>
            </w:r>
            <w:r>
              <w:rPr>
                <w:rFonts w:ascii="Times New Roman" w:hAnsi="Times New Roman" w:eastAsia="仿宋_GB2312" w:cs="Times New Roman"/>
                <w:color w:val="000000"/>
                <w:sz w:val="24"/>
                <w:szCs w:val="24"/>
              </w:rPr>
              <w:t>安居区城市污水提质增效建设项目</w:t>
            </w:r>
            <w:r>
              <w:rPr>
                <w:rFonts w:hint="eastAsia" w:ascii="Times New Roman" w:hAnsi="Times New Roman" w:eastAsia="仿宋_GB2312" w:cs="Times New Roman"/>
                <w:color w:val="000000"/>
                <w:sz w:val="24"/>
                <w:szCs w:val="24"/>
              </w:rPr>
              <w:t>、</w:t>
            </w:r>
            <w:r>
              <w:rPr>
                <w:rFonts w:ascii="Times New Roman" w:hAnsi="Times New Roman" w:eastAsia="仿宋_GB2312" w:cs="Times New Roman"/>
                <w:color w:val="000000"/>
                <w:sz w:val="24"/>
                <w:szCs w:val="24"/>
              </w:rPr>
              <w:t>安居区生活垃圾中转站渗滤液处理建设项目、建筑垃圾处理建设项目、垃圾分类体系建设项目。</w:t>
            </w:r>
          </w:p>
          <w:p>
            <w:pPr>
              <w:spacing w:line="360" w:lineRule="exact"/>
              <w:ind w:firstLine="482" w:firstLineChars="200"/>
              <w:rPr>
                <w:rFonts w:ascii="Times New Roman" w:hAnsi="Times New Roman" w:eastAsia="仿宋_GB2312" w:cs="Times New Roman"/>
                <w:color w:val="000000"/>
                <w:sz w:val="24"/>
                <w:szCs w:val="24"/>
              </w:rPr>
            </w:pPr>
            <w:r>
              <w:rPr>
                <w:rFonts w:ascii="Times New Roman" w:hAnsi="Times New Roman" w:eastAsia="仿宋_GB2312" w:cs="Times New Roman"/>
                <w:b/>
                <w:color w:val="000000"/>
                <w:sz w:val="24"/>
                <w:szCs w:val="24"/>
              </w:rPr>
              <w:t>市政道路建设：</w:t>
            </w:r>
            <w:r>
              <w:rPr>
                <w:rFonts w:ascii="Times New Roman" w:hAnsi="Times New Roman" w:eastAsia="仿宋_GB2312" w:cs="Times New Roman"/>
                <w:color w:val="000000"/>
                <w:sz w:val="24"/>
                <w:szCs w:val="24"/>
              </w:rPr>
              <w:t>安居区城市支路建设、安居区遂安大道改造提升工程、安居区安居大道东段改造提升工程、安居区滨江南北路二期提升改造工程、安居区电子园干道南延线。</w:t>
            </w:r>
          </w:p>
          <w:p>
            <w:pPr>
              <w:spacing w:line="360" w:lineRule="exact"/>
              <w:ind w:firstLine="482" w:firstLineChars="200"/>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其他市政建设：</w:t>
            </w:r>
            <w:r>
              <w:rPr>
                <w:rFonts w:ascii="Times New Roman" w:hAnsi="Times New Roman" w:eastAsia="仿宋_GB2312" w:cs="Times New Roman"/>
                <w:color w:val="000000"/>
                <w:sz w:val="24"/>
                <w:szCs w:val="24"/>
              </w:rPr>
              <w:t>安居区城市双修建设项目</w:t>
            </w:r>
            <w:r>
              <w:rPr>
                <w:rFonts w:ascii="Times New Roman" w:hAnsi="Times New Roman" w:eastAsia="仿宋_GB2312" w:cs="Times New Roman"/>
                <w:sz w:val="24"/>
                <w:szCs w:val="24"/>
              </w:rPr>
              <w:t>、</w:t>
            </w:r>
            <w:r>
              <w:rPr>
                <w:rFonts w:ascii="Times New Roman" w:hAnsi="Times New Roman" w:eastAsia="仿宋_GB2312" w:cs="Times New Roman"/>
                <w:color w:val="000000"/>
                <w:sz w:val="24"/>
                <w:szCs w:val="24"/>
              </w:rPr>
              <w:t>安居区综合体建设、安居区安居镇琼江河堤景观改造（凤凰大道上游至西城段）、安居区停车场建设项目、安居区城市绿道建设项目、安居区公园城市建设项目。</w:t>
            </w:r>
          </w:p>
          <w:p>
            <w:pPr>
              <w:spacing w:line="36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color w:val="000000"/>
                <w:sz w:val="24"/>
                <w:szCs w:val="24"/>
              </w:rPr>
              <w:t>老旧小区与棚户区改造：</w:t>
            </w:r>
            <w:r>
              <w:rPr>
                <w:rFonts w:ascii="Times New Roman" w:hAnsi="Times New Roman" w:eastAsia="仿宋_GB2312" w:cs="Times New Roman"/>
                <w:color w:val="000000"/>
                <w:sz w:val="24"/>
                <w:szCs w:val="24"/>
              </w:rPr>
              <w:t>安居区老旧小区改造项目、安居凤凰大道南延线片区棚户区（城中村）改造项目安置点（书院沟棚户区）建设项目、安居城区旧城棚户区（城中村）改造项目（旧城改造）建设项目。</w:t>
            </w:r>
          </w:p>
        </w:tc>
      </w:tr>
    </w:tbl>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58" w:name="_Toc16621"/>
      <w:bookmarkStart w:id="59" w:name="_Toc9234"/>
      <w:bookmarkStart w:id="60" w:name="_Toc3532"/>
      <w:bookmarkStart w:id="61" w:name="_Toc65153176"/>
      <w:r>
        <w:rPr>
          <w:rFonts w:hint="eastAsia" w:ascii="方正黑体简体" w:hAnsi="方正黑体简体" w:eastAsia="方正黑体简体" w:cs="方正黑体简体"/>
          <w:b w:val="0"/>
          <w:bCs w:val="0"/>
        </w:rPr>
        <w:t>第十章 多点多极支撑区域协调发展</w:t>
      </w:r>
      <w:bookmarkEnd w:id="58"/>
      <w:bookmarkEnd w:id="59"/>
      <w:bookmarkEnd w:id="60"/>
      <w:bookmarkEnd w:id="6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加快县域副中心建设</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坚持“以点带线、以线扩面、农旅融合”发展思路，发挥拦江镇作为全国重点小城镇的示范作用，努力创建为四川省特色小镇，将其打造成安居区副中心。加快基础设施和配套设施向拦江延伸，科学规划城镇人口、用地规模，强化拦江镇辐射带动能力。突出产业支撑与特色引领，做大做强生态旅游、农产品加工、商贸集散等优势产业，依托拦江镇三湖聚源、山环水绕形成的独特丘区水网，以百里莲湖、世界荷花博览园形成的莲花支柱产业为支撑，倾力打造“莲花</w:t>
      </w:r>
      <w:r>
        <w:rPr>
          <w:rFonts w:hint="eastAsia" w:ascii="Times New Roman" w:hAnsi="Times New Roman" w:eastAsia="仿宋_GB2312" w:cs="Times New Roman"/>
          <w:snapToGrid w:val="0"/>
          <w:kern w:val="0"/>
          <w:sz w:val="28"/>
          <w:szCs w:val="32"/>
        </w:rPr>
        <w:t>农旅</w:t>
      </w:r>
      <w:r>
        <w:rPr>
          <w:rFonts w:ascii="Times New Roman" w:hAnsi="Times New Roman" w:eastAsia="仿宋_GB2312" w:cs="Times New Roman"/>
          <w:snapToGrid w:val="0"/>
          <w:kern w:val="0"/>
          <w:sz w:val="28"/>
          <w:szCs w:val="32"/>
        </w:rPr>
        <w:t>小镇”。</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培育打造中心镇</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培育打造三家镇、西眉镇、横山镇、东禅镇等中心镇，夯实基础设施建设，分类推进、特色建设，不断完善中心镇综合承载力。推进三家镇、横山镇、东禅镇中心镇建设，培育发挥其对片区特色农业发展、农旅深入融合、商贸物流集散的组织、引领功能。充分挖掘西眉镇区位、交通、资源优势，培育发展能源开采与加工产业、商贸物流业，培育打造成工业中心镇。</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62" w:name="_Toc6027"/>
      <w:bookmarkStart w:id="63" w:name="_Toc60670632"/>
      <w:bookmarkStart w:id="64" w:name="_Toc65153177"/>
      <w:bookmarkStart w:id="65" w:name="_Toc4103"/>
      <w:bookmarkStart w:id="66" w:name="_Toc23414"/>
      <w:r>
        <w:rPr>
          <w:rFonts w:hint="eastAsia" w:ascii="方正黑体简体" w:hAnsi="方正黑体简体" w:eastAsia="方正黑体简体" w:cs="方正黑体简体"/>
          <w:b w:val="0"/>
          <w:bCs w:val="0"/>
        </w:rPr>
        <w:t>第十一章 全面提升新型城镇化水平</w:t>
      </w:r>
      <w:bookmarkEnd w:id="62"/>
      <w:bookmarkEnd w:id="63"/>
      <w:bookmarkEnd w:id="64"/>
      <w:bookmarkEnd w:id="65"/>
      <w:bookmarkEnd w:id="66"/>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稳步推进人口城镇化</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进一步调整户口迁移政策，全面放开城镇落户限制，建立健全人口信息管理制度，取消农业户口与非农业户口性质区分，逐步实施城乡统一的户口登记制度，全面推行居住证制度。推进城乡公共服务一体化发展，支持促进农村人口就近就地城镇化。完善城镇住房保障体系，增加高品质、改善型房产供给，促进房地产市场平稳健康发展。</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加快推动城乡设施服务一体化</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统筹布局城乡道路、供水、供电、信息、广播电视、防洪和垃圾污水处理等设施。统筹规划重要市政公用设施，推动向中心场镇延伸，加快实现县乡村（户）道路联通、城乡道路客运一体化，完善道路安全防范措施。加强城乡公共安全视频监控规划、建设和联网应用，统一技术规范、基础数据和数据开放标准。均衡配置城乡公共资源，优先建立以城带乡、整体推进、城乡一体、均衡发展的义务教育发展机制，加快建立城乡医院“医疗联合体”，增加基层医务人员岗位吸引力，强化乡村医疗卫生人才队伍建设。统筹城乡公共文化设施布局，推动文化资源向乡村倾斜，提高服务的覆盖面和适用性。</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67" w:name="_Toc60670633"/>
      <w:bookmarkStart w:id="68" w:name="_Toc18548"/>
      <w:bookmarkStart w:id="69" w:name="_Toc65153178"/>
      <w:bookmarkStart w:id="70" w:name="_Toc23876"/>
      <w:bookmarkStart w:id="71" w:name="_Toc10398"/>
      <w:r>
        <w:rPr>
          <w:rFonts w:hint="eastAsia" w:ascii="方正黑体简体" w:hAnsi="方正黑体简体" w:eastAsia="方正黑体简体" w:cs="方正黑体简体"/>
          <w:b w:val="0"/>
          <w:bCs w:val="0"/>
        </w:rPr>
        <w:t>第十二章 构筑现代基础设施网络</w:t>
      </w:r>
      <w:bookmarkEnd w:id="67"/>
      <w:bookmarkEnd w:id="68"/>
      <w:bookmarkEnd w:id="69"/>
      <w:bookmarkEnd w:id="70"/>
      <w:bookmarkEnd w:id="7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健全综合交通运输体系</w:t>
      </w:r>
    </w:p>
    <w:p>
      <w:pPr>
        <w:spacing w:line="520" w:lineRule="exact"/>
        <w:ind w:firstLine="562" w:firstLineChars="200"/>
        <w:rPr>
          <w:rFonts w:ascii="Times New Roman" w:hAnsi="Times New Roman" w:eastAsia="仿宋_GB2312" w:cs="Times New Roman"/>
          <w:snapToGrid w:val="0"/>
          <w:kern w:val="0"/>
          <w:sz w:val="28"/>
          <w:szCs w:val="32"/>
        </w:rPr>
      </w:pPr>
      <w:r>
        <w:rPr>
          <w:rFonts w:hint="eastAsia" w:ascii="Times New Roman" w:hAnsi="Times New Roman" w:eastAsia="仿宋_GB2312" w:cs="Times New Roman"/>
          <w:b/>
          <w:snapToGrid w:val="0"/>
          <w:kern w:val="0"/>
          <w:sz w:val="28"/>
          <w:szCs w:val="32"/>
        </w:rPr>
        <w:t>推进铁路项目建设。</w:t>
      </w:r>
      <w:r>
        <w:rPr>
          <w:rFonts w:hint="eastAsia" w:ascii="Times New Roman" w:hAnsi="Times New Roman" w:eastAsia="仿宋_GB2312" w:cs="Times New Roman"/>
          <w:snapToGrid w:val="0"/>
          <w:kern w:val="0"/>
          <w:sz w:val="28"/>
          <w:szCs w:val="32"/>
        </w:rPr>
        <w:t>积极融入成渝地区高铁大动脉，全力做好成达万高铁开工建设工作，开展绵遂内城际铁路等项目前期工作，做好国、省支持站台的设置争取工作。</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加快完善区域路网。</w:t>
      </w:r>
      <w:r>
        <w:rPr>
          <w:rFonts w:ascii="Times New Roman" w:hAnsi="Times New Roman" w:eastAsia="仿宋_GB2312" w:cs="Times New Roman"/>
          <w:snapToGrid w:val="0"/>
          <w:kern w:val="0"/>
          <w:sz w:val="28"/>
          <w:szCs w:val="32"/>
        </w:rPr>
        <w:t>推进遂渝高速扩容、G246遂潼大道、G247遂宁安居机场至安岳中线高铁站快捷通道、S209潼安</w:t>
      </w:r>
      <w:r>
        <w:rPr>
          <w:rFonts w:hint="eastAsia" w:ascii="Times New Roman" w:hAnsi="Times New Roman" w:eastAsia="仿宋_GB2312" w:cs="Times New Roman"/>
          <w:snapToGrid w:val="0"/>
          <w:kern w:val="0"/>
          <w:sz w:val="28"/>
          <w:szCs w:val="32"/>
          <w:lang w:val="en-US" w:eastAsia="zh-CN"/>
        </w:rPr>
        <w:t>大</w:t>
      </w:r>
      <w:r>
        <w:rPr>
          <w:rFonts w:ascii="Times New Roman" w:hAnsi="Times New Roman" w:eastAsia="仿宋_GB2312" w:cs="Times New Roman"/>
          <w:snapToGrid w:val="0"/>
          <w:kern w:val="0"/>
          <w:sz w:val="28"/>
          <w:szCs w:val="32"/>
        </w:rPr>
        <w:t>道、安居至老池港快速通道建设，协同规划建设遂安城市主干道、改造提升遂安快捷通道，打通外联“一城一港两站三机场”</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25</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大通道，形成以主城区为核心的“一环八射”</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26</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交通大动脉。推动县乡道路提标升级，打通断头路、瓶颈路，实现所有乡镇三级以上公路全覆盖，构建“七横十二纵”</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27</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农村骨干路网。实施“畅村通社达户”工程，努力让村民“出门硬化路、抬脚上公交”成为现实。</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健全客货运输体系。</w:t>
      </w:r>
      <w:r>
        <w:rPr>
          <w:rFonts w:ascii="Times New Roman" w:hAnsi="Times New Roman" w:eastAsia="仿宋_GB2312" w:cs="Times New Roman"/>
          <w:snapToGrid w:val="0"/>
          <w:kern w:val="0"/>
          <w:sz w:val="28"/>
          <w:szCs w:val="32"/>
        </w:rPr>
        <w:t>加强枢纽港站一体化规划，推进安居游客集散中心、物流集散中心和14个镇交通运输综合服务中心建设，提升客货运输服务能力。实施安居区公共交通枢纽体系建设，逐步推进城市公交延伸、农村客运班车公交化运行等发展模式，提高城乡客运一体化发展水平。着力发展货物多式联运，完善区、乡、村三级物流服务网络，构建绿色物流。</w:t>
      </w:r>
    </w:p>
    <w:p>
      <w:pPr>
        <w:pStyle w:val="12"/>
        <w:ind w:firstLine="0" w:firstLineChars="0"/>
        <w:jc w:val="center"/>
        <w:rPr>
          <w:rFonts w:ascii="Times New Roman" w:hAnsi="Times New Roman" w:cs="Times New Roman"/>
        </w:rPr>
      </w:pPr>
      <w:r>
        <w:rPr>
          <w:rFonts w:ascii="Times New Roman" w:hAnsi="Times New Roman" w:cs="Times New Roman"/>
        </w:rPr>
        <w:drawing>
          <wp:inline distT="0" distB="0" distL="0" distR="0">
            <wp:extent cx="4512310" cy="3117850"/>
            <wp:effectExtent l="0" t="0" r="2540" b="6350"/>
            <wp:docPr id="5" name="图片 5" descr="D:\遂宁安居区“十四五规划”\1月安居修改意见\0126\综合交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遂宁安居区“十四五规划”\1月安居修改意见\0126\综合交通.jpg"/>
                    <pic:cNvPicPr>
                      <a:picLocks noChangeAspect="1" noChangeArrowheads="1"/>
                    </pic:cNvPicPr>
                  </pic:nvPicPr>
                  <pic:blipFill>
                    <a:blip r:embed="rId11" cstate="print"/>
                    <a:srcRect l="2078" t="9575" r="2078"/>
                    <a:stretch>
                      <a:fillRect/>
                    </a:stretch>
                  </pic:blipFill>
                  <pic:spPr>
                    <a:xfrm>
                      <a:off x="0" y="0"/>
                      <a:ext cx="4513052" cy="3118730"/>
                    </a:xfrm>
                    <a:prstGeom prst="rect">
                      <a:avLst/>
                    </a:prstGeom>
                    <a:noFill/>
                    <a:ln>
                      <a:noFill/>
                    </a:ln>
                  </pic:spPr>
                </pic:pic>
              </a:graphicData>
            </a:graphic>
          </wp:inline>
        </w:drawing>
      </w:r>
    </w:p>
    <w:p>
      <w:pPr>
        <w:widowControl/>
        <w:jc w:val="center"/>
        <w:rPr>
          <w:rFonts w:ascii="Times New Roman" w:hAnsi="Times New Roman" w:cs="Times New Roman"/>
        </w:rPr>
      </w:pPr>
      <w:r>
        <w:rPr>
          <w:rFonts w:hint="eastAsia" w:ascii="Times New Roman" w:hAnsi="Times New Roman" w:eastAsia="仿宋" w:cs="Times New Roman"/>
          <w:b/>
          <w:sz w:val="28"/>
          <w:szCs w:val="28"/>
        </w:rPr>
        <w:t>图3</w:t>
      </w:r>
      <w:r>
        <w:rPr>
          <w:rFonts w:ascii="Times New Roman" w:hAnsi="Times New Roman" w:eastAsia="仿宋" w:cs="Times New Roman"/>
          <w:b/>
          <w:sz w:val="28"/>
          <w:szCs w:val="28"/>
        </w:rPr>
        <w:t>-</w:t>
      </w:r>
      <w:r>
        <w:rPr>
          <w:rFonts w:hint="eastAsia" w:ascii="Times New Roman" w:hAnsi="Times New Roman" w:eastAsia="仿宋" w:cs="Times New Roman"/>
          <w:b/>
          <w:sz w:val="28"/>
          <w:szCs w:val="28"/>
        </w:rPr>
        <w:t>2</w:t>
      </w:r>
      <w:r>
        <w:rPr>
          <w:rFonts w:ascii="Times New Roman" w:hAnsi="Times New Roman" w:eastAsia="仿宋" w:cs="Times New Roman"/>
          <w:b/>
          <w:sz w:val="28"/>
          <w:szCs w:val="28"/>
        </w:rPr>
        <w:t xml:space="preserve"> </w:t>
      </w:r>
      <w:r>
        <w:rPr>
          <w:rFonts w:hint="eastAsia" w:ascii="Times New Roman" w:hAnsi="Times New Roman" w:eastAsia="仿宋" w:cs="Times New Roman"/>
          <w:b/>
          <w:sz w:val="28"/>
          <w:szCs w:val="28"/>
        </w:rPr>
        <w:t>安居区综合交通示意图</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adjustRightInd w:val="0"/>
              <w:snapToGrid w:val="0"/>
              <w:spacing w:line="40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b/>
                <w:bCs/>
                <w:sz w:val="24"/>
                <w:szCs w:val="24"/>
              </w:rPr>
              <w:t>专栏3-</w:t>
            </w:r>
            <w:r>
              <w:rPr>
                <w:rFonts w:hint="eastAsia" w:ascii="Times New Roman" w:hAnsi="Times New Roman" w:eastAsia="仿宋_GB2312" w:cs="Times New Roman"/>
                <w:b/>
                <w:bCs/>
                <w:sz w:val="24"/>
                <w:szCs w:val="24"/>
              </w:rPr>
              <w:t>3</w:t>
            </w:r>
            <w:r>
              <w:rPr>
                <w:rFonts w:ascii="Times New Roman" w:hAnsi="Times New Roman" w:eastAsia="仿宋_GB2312" w:cs="Times New Roman"/>
                <w:b/>
                <w:bCs/>
                <w:sz w:val="24"/>
                <w:szCs w:val="24"/>
              </w:rPr>
              <w:t xml:space="preserve">  交通基础设施建设重点工程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pPr>
              <w:spacing w:line="400" w:lineRule="exact"/>
              <w:ind w:firstLine="482" w:firstLineChars="200"/>
              <w:rPr>
                <w:rFonts w:ascii="Times New Roman" w:hAnsi="Times New Roman" w:eastAsia="仿宋_GB2312" w:cs="Times New Roman"/>
                <w:kern w:val="0"/>
                <w:sz w:val="24"/>
                <w:szCs w:val="24"/>
              </w:rPr>
            </w:pPr>
            <w:r>
              <w:rPr>
                <w:rFonts w:ascii="Times New Roman" w:hAnsi="Times New Roman" w:eastAsia="仿宋_GB2312" w:cs="Times New Roman"/>
                <w:b/>
                <w:bCs/>
                <w:kern w:val="0"/>
                <w:sz w:val="24"/>
                <w:szCs w:val="24"/>
              </w:rPr>
              <w:t>区域路网建设：</w:t>
            </w:r>
            <w:r>
              <w:rPr>
                <w:rFonts w:ascii="Times New Roman" w:hAnsi="Times New Roman" w:eastAsia="仿宋_GB2312" w:cs="Times New Roman"/>
                <w:bCs/>
                <w:kern w:val="0"/>
                <w:sz w:val="24"/>
                <w:szCs w:val="24"/>
              </w:rPr>
              <w:t>重点推进</w:t>
            </w:r>
            <w:r>
              <w:rPr>
                <w:rFonts w:ascii="Times New Roman" w:hAnsi="Times New Roman" w:eastAsia="仿宋_GB2312" w:cs="Times New Roman"/>
                <w:kern w:val="0"/>
                <w:sz w:val="24"/>
                <w:szCs w:val="24"/>
              </w:rPr>
              <w:t>安居区S207石洞至安岳界段公路建设项目、安居区安居国道247船山安居界至安岳遂宁交界、安居区遂潼大道-G246船山安居界至安居潼南界公路建设项目、安居区S209线白马镇回龙寺至重庆潼南光辉界段、安居经开区至老池港通道建设、安居区白马至莲花公路、安居区会龙至玉丰公路、安居区村社道路建设项目、遂宁至乐至公路、安居区西眉至东区干线公路、安居区安居-潼南花岩公路、安居区分水-船山公路、安居区常理至金元公路、安居区安居-姚市公路、安居区东禅至莲花湖景区、安居区分水至步云公路、安居区白马至常理公路、安居区常理-西眉（农环线安居段）、G246线四川段遂宁物流园区至川渝、G247安居至安岳界、S209安居至潼南公路等工程</w:t>
            </w:r>
            <w:r>
              <w:rPr>
                <w:rFonts w:hint="eastAsia" w:ascii="Times New Roman" w:hAnsi="Times New Roman" w:eastAsia="仿宋_GB2312" w:cs="Times New Roman"/>
                <w:kern w:val="0"/>
                <w:sz w:val="24"/>
                <w:szCs w:val="24"/>
              </w:rPr>
              <w:t>。</w:t>
            </w:r>
          </w:p>
          <w:p>
            <w:pPr>
              <w:widowControl/>
              <w:spacing w:line="400" w:lineRule="exact"/>
              <w:ind w:firstLine="482" w:firstLineChars="200"/>
              <w:rPr>
                <w:rFonts w:ascii="Times New Roman" w:hAnsi="Times New Roman" w:eastAsia="仿宋_GB2312" w:cs="Times New Roman"/>
                <w:bCs/>
                <w:sz w:val="24"/>
                <w:szCs w:val="24"/>
              </w:rPr>
            </w:pPr>
            <w:r>
              <w:rPr>
                <w:rFonts w:ascii="Times New Roman" w:hAnsi="Times New Roman" w:eastAsia="仿宋_GB2312" w:cs="Times New Roman"/>
                <w:b/>
                <w:bCs/>
                <w:kern w:val="0"/>
                <w:sz w:val="24"/>
                <w:szCs w:val="24"/>
              </w:rPr>
              <w:t>铁路基础设施：</w:t>
            </w:r>
            <w:r>
              <w:rPr>
                <w:rFonts w:ascii="Times New Roman" w:hAnsi="Times New Roman" w:eastAsia="仿宋_GB2312" w:cs="Times New Roman"/>
                <w:bCs/>
                <w:kern w:val="0"/>
                <w:sz w:val="24"/>
                <w:szCs w:val="24"/>
              </w:rPr>
              <w:t>积极对接</w:t>
            </w:r>
            <w:r>
              <w:rPr>
                <w:rFonts w:ascii="Times New Roman" w:hAnsi="Times New Roman" w:eastAsia="仿宋_GB2312" w:cs="Times New Roman"/>
                <w:bCs/>
                <w:sz w:val="24"/>
                <w:szCs w:val="24"/>
              </w:rPr>
              <w:t>成南达万铁路（安居段）、绵遂内铁路（安居段）、遂潼轨道交通（安居段）、新兰渝铁路（安居段）、遂宁市安居区经开区货运专线等铁路基础设施项目建设。</w:t>
            </w:r>
          </w:p>
          <w:p>
            <w:pPr>
              <w:widowControl/>
              <w:spacing w:line="400" w:lineRule="exact"/>
              <w:ind w:firstLine="482" w:firstLineChars="200"/>
              <w:rPr>
                <w:rFonts w:ascii="Times New Roman" w:hAnsi="Times New Roman" w:eastAsia="仿宋_GB2312" w:cs="Times New Roman"/>
                <w:color w:val="000000"/>
                <w:sz w:val="24"/>
                <w:szCs w:val="24"/>
              </w:rPr>
            </w:pPr>
            <w:r>
              <w:rPr>
                <w:rFonts w:ascii="Times New Roman" w:hAnsi="Times New Roman" w:eastAsia="仿宋_GB2312" w:cs="Times New Roman"/>
                <w:b/>
                <w:bCs/>
                <w:kern w:val="0"/>
                <w:sz w:val="24"/>
                <w:szCs w:val="24"/>
              </w:rPr>
              <w:t>其他：</w:t>
            </w:r>
            <w:r>
              <w:rPr>
                <w:rFonts w:ascii="Times New Roman" w:hAnsi="Times New Roman" w:eastAsia="仿宋_GB2312" w:cs="Times New Roman"/>
                <w:bCs/>
                <w:kern w:val="0"/>
                <w:sz w:val="24"/>
                <w:szCs w:val="24"/>
              </w:rPr>
              <w:t>推进</w:t>
            </w:r>
            <w:r>
              <w:rPr>
                <w:rFonts w:ascii="Times New Roman" w:hAnsi="Times New Roman" w:eastAsia="仿宋_GB2312" w:cs="Times New Roman"/>
                <w:color w:val="000000"/>
                <w:kern w:val="0"/>
                <w:sz w:val="24"/>
                <w:szCs w:val="24"/>
              </w:rPr>
              <w:t>安居区农村客运站点改造提升项目、安居区游客集散中心（客运站改造），建设安居区物流集散（配送、投递）中心、安居区机动车服务中心。</w:t>
            </w:r>
          </w:p>
        </w:tc>
      </w:tr>
    </w:tbl>
    <w:p>
      <w:pPr>
        <w:jc w:val="center"/>
        <w:rPr>
          <w:rFonts w:ascii="Times New Roman" w:hAnsi="Times New Roman" w:eastAsia="仿宋_GB2312" w:cs="Times New Roman"/>
          <w:snapToGrid w:val="0"/>
          <w:kern w:val="0"/>
          <w:szCs w:val="28"/>
        </w:rPr>
      </w:pP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完善水利基础设施建设</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完善供水保障体系。</w:t>
      </w:r>
      <w:r>
        <w:rPr>
          <w:rFonts w:ascii="Times New Roman" w:hAnsi="Times New Roman" w:eastAsia="仿宋_GB2312" w:cs="Times New Roman"/>
          <w:snapToGrid w:val="0"/>
          <w:kern w:val="0"/>
          <w:sz w:val="28"/>
          <w:szCs w:val="32"/>
        </w:rPr>
        <w:t>全力推进涪江右岸水资源配置工程安居段项目、毗河供水二期工程、城镇全域供水、水系连通及农村水系综合整治等重大骨干水利工程建设，切实保障地区水安全，稳步推进琼江复航。到2025年，基本解决城区和问题突出的场镇集中式饮用水源地安全保障问题，城乡供水保证率达到95%。</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推进水利信息化建设。</w:t>
      </w:r>
      <w:r>
        <w:rPr>
          <w:rFonts w:ascii="Times New Roman" w:hAnsi="Times New Roman" w:eastAsia="仿宋_GB2312" w:cs="Times New Roman"/>
          <w:snapToGrid w:val="0"/>
          <w:kern w:val="0"/>
          <w:sz w:val="28"/>
          <w:szCs w:val="32"/>
        </w:rPr>
        <w:t>开展水资源信息化监控平台、水系动态监测管理系统等项目建设，构建安全实用、智慧高效的水利信息系统。到2025年，耕地灌溉率提高到65%，节水灌溉比例达到30%。</w:t>
      </w:r>
    </w:p>
    <w:p>
      <w:pPr>
        <w:spacing w:line="520" w:lineRule="exact"/>
        <w:ind w:firstLine="562" w:firstLineChars="200"/>
        <w:rPr>
          <w:rFonts w:ascii="Times New Roman" w:hAnsi="Times New Roman" w:eastAsia="仿宋_GB2312" w:cs="Times New Roman"/>
          <w:snapToGrid w:val="0"/>
          <w:kern w:val="0"/>
          <w:sz w:val="32"/>
          <w:szCs w:val="32"/>
        </w:rPr>
      </w:pPr>
      <w:r>
        <w:rPr>
          <w:rFonts w:ascii="Times New Roman" w:hAnsi="Times New Roman" w:eastAsia="仿宋_GB2312" w:cs="Times New Roman"/>
          <w:b/>
          <w:snapToGrid w:val="0"/>
          <w:kern w:val="0"/>
          <w:sz w:val="28"/>
          <w:szCs w:val="32"/>
        </w:rPr>
        <w:t>提升防汛抗旱减灾能力。</w:t>
      </w:r>
      <w:r>
        <w:rPr>
          <w:rFonts w:ascii="Times New Roman" w:hAnsi="Times New Roman" w:eastAsia="仿宋_GB2312" w:cs="Times New Roman"/>
          <w:snapToGrid w:val="0"/>
          <w:kern w:val="0"/>
          <w:sz w:val="28"/>
          <w:szCs w:val="32"/>
        </w:rPr>
        <w:t>加快推进莲花湖、禅月湖等中小型水库除险加固工程，提升琼江干支流防洪减灾能力，加快山洪沟和琼江、白家河、蟠龙河等重点中小河流防洪治理与防汛减灾管理能力建设，加强河道管理，实现流域整体防汛减灾能力提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000" w:type="pct"/>
            <w:vAlign w:val="center"/>
          </w:tcPr>
          <w:p>
            <w:pPr>
              <w:adjustRightInd w:val="0"/>
              <w:snapToGrid w:val="0"/>
              <w:spacing w:line="360" w:lineRule="exact"/>
              <w:jc w:val="center"/>
              <w:rPr>
                <w:rFonts w:ascii="Times New Roman" w:hAnsi="Times New Roman" w:eastAsia="仿宋_GB2312" w:cs="Times New Roman"/>
                <w:bCs/>
                <w:sz w:val="24"/>
                <w:szCs w:val="24"/>
              </w:rPr>
            </w:pPr>
            <w:r>
              <w:rPr>
                <w:rFonts w:ascii="Times New Roman" w:hAnsi="Times New Roman" w:eastAsia="仿宋_GB2312" w:cs="Times New Roman"/>
                <w:b/>
                <w:bCs/>
                <w:sz w:val="24"/>
                <w:szCs w:val="24"/>
              </w:rPr>
              <w:t>专栏3-</w:t>
            </w:r>
            <w:r>
              <w:rPr>
                <w:rFonts w:hint="eastAsia" w:ascii="Times New Roman" w:hAnsi="Times New Roman" w:eastAsia="仿宋_GB2312" w:cs="Times New Roman"/>
                <w:b/>
                <w:bCs/>
                <w:sz w:val="24"/>
                <w:szCs w:val="24"/>
              </w:rPr>
              <w:t>4</w:t>
            </w:r>
            <w:r>
              <w:rPr>
                <w:rFonts w:ascii="Times New Roman" w:hAnsi="Times New Roman" w:eastAsia="仿宋_GB2312" w:cs="Times New Roman"/>
                <w:b/>
                <w:bCs/>
                <w:sz w:val="24"/>
                <w:szCs w:val="24"/>
              </w:rPr>
              <w:t xml:space="preserve">  水利基础设施重点工程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vAlign w:val="center"/>
          </w:tcPr>
          <w:p>
            <w:pPr>
              <w:spacing w:line="360" w:lineRule="exact"/>
              <w:ind w:firstLine="482" w:firstLineChars="200"/>
              <w:outlineLvl w:val="2"/>
              <w:rPr>
                <w:rFonts w:ascii="Times New Roman" w:hAnsi="Times New Roman" w:eastAsia="仿宋_GB2312" w:cs="Times New Roman"/>
                <w:sz w:val="24"/>
                <w:szCs w:val="24"/>
              </w:rPr>
            </w:pPr>
            <w:r>
              <w:rPr>
                <w:rFonts w:ascii="Times New Roman" w:hAnsi="Times New Roman" w:eastAsia="仿宋_GB2312" w:cs="Times New Roman"/>
                <w:b/>
                <w:sz w:val="24"/>
                <w:szCs w:val="24"/>
              </w:rPr>
              <w:t>安全供水保障：</w:t>
            </w:r>
            <w:r>
              <w:rPr>
                <w:rFonts w:ascii="Times New Roman" w:hAnsi="Times New Roman" w:eastAsia="仿宋_GB2312" w:cs="Times New Roman"/>
                <w:sz w:val="24"/>
                <w:szCs w:val="24"/>
              </w:rPr>
              <w:t>遂宁市涪江右岸水资源配置工程安居段项目、毗河供水二期工程、安居区新生集中供水站扩容增效饮水安全保障工程、安居区城镇全域供水基础设施项目、安居区水资源调配供水保障工程、安居区水系连通及农村水系综合整治工程、安居区仙湖自来水厂建设项目一期、安居区仙湖自来水厂建设项目二期、安居区仙湖自来水厂管网工程、安居区莲花湖水库饮用水水源地生态修复及规范化建设项目、安居区乡村振兴供水保障工程、安居区三仙湖水库生态修复、安居区供水站维修维护工程、安居区高滩坝饮用水水源地区标准化建设、安居三仙湖水库饮用水水源地标准化建设、安居区饮用水水质自动站建设。</w:t>
            </w:r>
          </w:p>
          <w:p>
            <w:pPr>
              <w:spacing w:line="360" w:lineRule="exact"/>
              <w:ind w:firstLine="482" w:firstLineChars="200"/>
              <w:outlineLvl w:val="2"/>
              <w:rPr>
                <w:rFonts w:ascii="Times New Roman" w:hAnsi="Times New Roman" w:eastAsia="仿宋_GB2312" w:cs="Times New Roman"/>
                <w:b/>
                <w:sz w:val="24"/>
                <w:szCs w:val="24"/>
              </w:rPr>
            </w:pPr>
            <w:r>
              <w:rPr>
                <w:rFonts w:ascii="Times New Roman" w:hAnsi="Times New Roman" w:eastAsia="仿宋_GB2312" w:cs="Times New Roman"/>
                <w:b/>
                <w:sz w:val="24"/>
                <w:szCs w:val="24"/>
              </w:rPr>
              <w:t>农业水利设施：</w:t>
            </w:r>
            <w:r>
              <w:rPr>
                <w:rFonts w:ascii="Times New Roman" w:hAnsi="Times New Roman" w:eastAsia="仿宋_GB2312" w:cs="Times New Roman"/>
                <w:sz w:val="24"/>
                <w:szCs w:val="24"/>
              </w:rPr>
              <w:t>安居区莲花湖水库灌区续建配套与节水改造项目、安居区灌泵站渠系配套建设项目、安居区禅月湖水库灌区续建配套与节水改造项目、安居区新生水库灌区续建配套与节水改造项目、安居区毗河供水一期灌区工程及配套节水改造、安居区2021-2025年坡耕地水土流失综合治理项目、安居区渠道工程设施维修养护项目、安居区小型水源工程整治项目。</w:t>
            </w:r>
          </w:p>
          <w:p>
            <w:pPr>
              <w:spacing w:line="360" w:lineRule="exact"/>
              <w:ind w:firstLine="482" w:firstLineChars="200"/>
              <w:outlineLvl w:val="2"/>
              <w:rPr>
                <w:rFonts w:ascii="Times New Roman" w:hAnsi="Times New Roman" w:eastAsia="仿宋_GB2312" w:cs="Times New Roman"/>
                <w:sz w:val="24"/>
                <w:szCs w:val="24"/>
              </w:rPr>
            </w:pPr>
            <w:r>
              <w:rPr>
                <w:rFonts w:ascii="Times New Roman" w:hAnsi="Times New Roman" w:eastAsia="仿宋_GB2312" w:cs="Times New Roman"/>
                <w:b/>
                <w:sz w:val="24"/>
                <w:szCs w:val="24"/>
              </w:rPr>
              <w:t>防洪抗旱工程：</w:t>
            </w:r>
            <w:r>
              <w:rPr>
                <w:rFonts w:ascii="Times New Roman" w:hAnsi="Times New Roman" w:eastAsia="仿宋_GB2312" w:cs="Times New Roman"/>
                <w:sz w:val="24"/>
                <w:szCs w:val="24"/>
              </w:rPr>
              <w:t>安居区萝卜园水库堤防建设项目（二期）、安居琼江高滩坝段段防洪治理工程、安居琼江护村段防洪治理工程、安居区琼江两中心五馆段防洪治理工程、安居区琼江石洞场镇段防洪治理工程、安居琼江疾控中心段防洪治理工程、安居区琼江大安场镇段防洪治理工程、安居区堤防工程设施维修养护项目、安居琼江318大桥段防洪治理工程、安居区东禅场镇蟠龙河防洪治理工程、安居区安居中学段蟠龙河防洪治理工程、安居区西眉镇白家河防洪治理工程、安居区磨溪镇白家河防洪治理工程、安居区50-200平方公里中小河流防洪治理项目、安居区莲花湖水库除险加固项目、安居区禅月湖水库除险加固项目、安居区小型水库建设项目、安居区水库工程设施维修养护项目、安居区团结水库、月亮坝、安家沟、白鸽嘴、半边街、伙同、龙家湾等7座小型病险水库除险加固项目等。</w:t>
            </w:r>
          </w:p>
          <w:p>
            <w:pPr>
              <w:spacing w:line="360" w:lineRule="exact"/>
              <w:ind w:firstLine="482" w:firstLineChars="200"/>
              <w:outlineLvl w:val="2"/>
              <w:rPr>
                <w:rFonts w:ascii="Times New Roman" w:hAnsi="Times New Roman" w:eastAsia="仿宋_GB2312" w:cs="Times New Roman"/>
                <w:bCs/>
                <w:sz w:val="24"/>
                <w:szCs w:val="24"/>
              </w:rPr>
            </w:pPr>
            <w:r>
              <w:rPr>
                <w:rFonts w:ascii="Times New Roman" w:hAnsi="Times New Roman" w:eastAsia="仿宋_GB2312" w:cs="Times New Roman"/>
                <w:b/>
                <w:sz w:val="24"/>
                <w:szCs w:val="24"/>
              </w:rPr>
              <w:t>水资源信息化建设：</w:t>
            </w:r>
            <w:r>
              <w:rPr>
                <w:rFonts w:ascii="Times New Roman" w:hAnsi="Times New Roman" w:eastAsia="仿宋_GB2312" w:cs="Times New Roman"/>
                <w:sz w:val="24"/>
                <w:szCs w:val="24"/>
              </w:rPr>
              <w:t>安居区水资源信息化监控平台建设，安居区农村饮水安全工程水质监测能力提升项目，安居区水系动态监测管理系统建设。</w:t>
            </w:r>
          </w:p>
        </w:tc>
      </w:tr>
    </w:tbl>
    <w:p>
      <w:pPr>
        <w:rPr>
          <w:rFonts w:ascii="Times New Roman" w:hAnsi="Times New Roman" w:cs="Times New Roman"/>
        </w:rPr>
      </w:pP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提升能源安全保障能力</w:t>
      </w:r>
    </w:p>
    <w:p>
      <w:pPr>
        <w:spacing w:line="520" w:lineRule="exact"/>
        <w:ind w:firstLine="562"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b/>
          <w:snapToGrid w:val="0"/>
          <w:kern w:val="0"/>
          <w:sz w:val="28"/>
          <w:szCs w:val="32"/>
        </w:rPr>
        <w:t>健全能源保障体系。</w:t>
      </w:r>
      <w:r>
        <w:rPr>
          <w:rFonts w:ascii="Times New Roman" w:hAnsi="Times New Roman" w:eastAsia="仿宋_GB2312" w:cs="Times New Roman"/>
          <w:snapToGrid w:val="0"/>
          <w:kern w:val="0"/>
          <w:sz w:val="28"/>
          <w:szCs w:val="32"/>
        </w:rPr>
        <w:t>加大城市配网建设和提升改造力度，推进同盟220千伏、白马110千伏、</w:t>
      </w:r>
      <w:r>
        <w:rPr>
          <w:rFonts w:hint="eastAsia" w:ascii="Times New Roman" w:hAnsi="Times New Roman" w:eastAsia="仿宋_GB2312" w:cs="Times New Roman"/>
          <w:snapToGrid w:val="0"/>
          <w:kern w:val="0"/>
          <w:sz w:val="28"/>
          <w:szCs w:val="32"/>
        </w:rPr>
        <w:t>锂能</w:t>
      </w:r>
      <w:r>
        <w:rPr>
          <w:rFonts w:ascii="Times New Roman" w:hAnsi="Times New Roman" w:eastAsia="仿宋_GB2312" w:cs="Times New Roman"/>
          <w:snapToGrid w:val="0"/>
          <w:kern w:val="0"/>
          <w:sz w:val="28"/>
          <w:szCs w:val="32"/>
        </w:rPr>
        <w:t>110千伏、喻家沟110千伏</w:t>
      </w:r>
      <w:r>
        <w:rPr>
          <w:rFonts w:hint="eastAsia" w:ascii="Times New Roman" w:hAnsi="Times New Roman" w:eastAsia="仿宋_GB2312" w:cs="Times New Roman"/>
          <w:snapToGrid w:val="0"/>
          <w:kern w:val="0"/>
          <w:sz w:val="28"/>
          <w:szCs w:val="32"/>
        </w:rPr>
        <w:t>、临港110千伏</w:t>
      </w:r>
      <w:r>
        <w:rPr>
          <w:rFonts w:ascii="Times New Roman" w:hAnsi="Times New Roman" w:eastAsia="仿宋_GB2312" w:cs="Times New Roman"/>
          <w:snapToGrid w:val="0"/>
          <w:kern w:val="0"/>
          <w:sz w:val="28"/>
          <w:szCs w:val="32"/>
        </w:rPr>
        <w:t>等输变电工程建设。</w:t>
      </w:r>
      <w:r>
        <w:rPr>
          <w:rFonts w:hint="eastAsia" w:ascii="Times New Roman" w:hAnsi="Times New Roman" w:eastAsia="仿宋_GB2312" w:cs="Times New Roman"/>
          <w:snapToGrid w:val="0"/>
          <w:kern w:val="0"/>
          <w:sz w:val="28"/>
          <w:szCs w:val="32"/>
        </w:rPr>
        <w:t>分年度实施农网改造巩固提升工程</w:t>
      </w:r>
      <w:r>
        <w:rPr>
          <w:rFonts w:ascii="Times New Roman" w:hAnsi="Times New Roman" w:eastAsia="仿宋_GB2312" w:cs="Times New Roman"/>
          <w:snapToGrid w:val="0"/>
          <w:kern w:val="0"/>
          <w:sz w:val="28"/>
          <w:szCs w:val="32"/>
        </w:rPr>
        <w:t>，提高城乡能源公共服务均等化水平。推动安居磨溪天然气资源勘探开发与就地转化利用，建设安居天然气发电项目以及相关能源基础设施。加快城乡燃气管网设施建设和油气配套设施建设，推进天然气管网向农村延伸，实施燃气场站改造升级等重大项目，提升燃气供应保障水平和供气网络调储能力，构建全域覆盖、稳定安全的燃气网络。优化完善加油站、加气站及其配套设施布局和服务体系。</w:t>
      </w:r>
    </w:p>
    <w:p>
      <w:pPr>
        <w:spacing w:line="520" w:lineRule="exact"/>
        <w:ind w:firstLine="562" w:firstLineChars="200"/>
        <w:rPr>
          <w:rFonts w:ascii="Times New Roman" w:hAnsi="Times New Roman" w:eastAsia="仿宋_GB2312" w:cs="Times New Roman"/>
          <w:snapToGrid w:val="0"/>
          <w:kern w:val="0"/>
          <w:sz w:val="32"/>
          <w:szCs w:val="32"/>
        </w:rPr>
      </w:pPr>
      <w:r>
        <w:rPr>
          <w:rFonts w:ascii="Times New Roman" w:hAnsi="Times New Roman" w:eastAsia="仿宋_GB2312" w:cs="Times New Roman"/>
          <w:b/>
          <w:snapToGrid w:val="0"/>
          <w:kern w:val="0"/>
          <w:sz w:val="28"/>
          <w:szCs w:val="32"/>
        </w:rPr>
        <w:t>探索推进新能源发展。</w:t>
      </w:r>
      <w:r>
        <w:rPr>
          <w:rFonts w:ascii="Times New Roman" w:hAnsi="Times New Roman" w:eastAsia="仿宋_GB2312" w:cs="Times New Roman"/>
          <w:snapToGrid w:val="0"/>
          <w:kern w:val="0"/>
          <w:sz w:val="28"/>
          <w:szCs w:val="32"/>
        </w:rPr>
        <w:t>建设适应新能源发展的分布式智能电网等基础设施，推进新能源汽车供能基础设施建设，推进公共充电站桩建设项目。因地制宜发展可再生能源，有序开发太阳能光伏发电项目，实施养殖场大型沼气工程，大力发展农村沼气。依托“互联网+”，有效促进能源和信息深度融合，加速推进储能、智能充电设施发展，不断提升能源领域能源节约和科技装备水平。</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widowControl/>
              <w:adjustRightInd w:val="0"/>
              <w:snapToGrid w:val="0"/>
              <w:spacing w:line="400" w:lineRule="exact"/>
              <w:jc w:val="center"/>
              <w:rPr>
                <w:rFonts w:ascii="Times New Roman" w:hAnsi="Times New Roman" w:eastAsia="仿宋_GB2312" w:cs="Times New Roman"/>
                <w:color w:val="000000"/>
                <w:sz w:val="24"/>
                <w:szCs w:val="24"/>
              </w:rPr>
            </w:pPr>
            <w:r>
              <w:rPr>
                <w:rFonts w:ascii="Times New Roman" w:hAnsi="Times New Roman" w:eastAsia="仿宋_GB2312" w:cs="Times New Roman"/>
                <w:b/>
                <w:bCs/>
                <w:sz w:val="24"/>
                <w:szCs w:val="24"/>
              </w:rPr>
              <w:t>专栏3</w:t>
            </w:r>
            <w:r>
              <w:rPr>
                <w:rFonts w:hint="eastAsia" w:ascii="Times New Roman" w:hAnsi="Times New Roman" w:eastAsia="仿宋_GB2312" w:cs="Times New Roman"/>
                <w:b/>
                <w:bCs/>
                <w:sz w:val="24"/>
                <w:szCs w:val="24"/>
              </w:rPr>
              <w:t>-5</w:t>
            </w:r>
            <w:r>
              <w:rPr>
                <w:rFonts w:ascii="Times New Roman" w:hAnsi="Times New Roman" w:eastAsia="仿宋_GB2312" w:cs="Times New Roman"/>
                <w:b/>
                <w:bCs/>
                <w:sz w:val="24"/>
                <w:szCs w:val="24"/>
              </w:rPr>
              <w:t xml:space="preserve">  能源基础设施重点工程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spacing w:line="400" w:lineRule="exact"/>
              <w:ind w:firstLine="482" w:firstLineChars="200"/>
              <w:outlineLvl w:val="2"/>
              <w:rPr>
                <w:rFonts w:ascii="Times New Roman" w:hAnsi="Times New Roman" w:eastAsia="仿宋_GB2312" w:cs="Times New Roman"/>
                <w:sz w:val="24"/>
                <w:szCs w:val="24"/>
              </w:rPr>
            </w:pPr>
            <w:r>
              <w:rPr>
                <w:rFonts w:ascii="Times New Roman" w:hAnsi="Times New Roman" w:eastAsia="仿宋_GB2312" w:cs="Times New Roman"/>
                <w:b/>
                <w:bCs/>
                <w:sz w:val="24"/>
                <w:szCs w:val="24"/>
              </w:rPr>
              <w:t>农网改造建设：</w:t>
            </w:r>
            <w:r>
              <w:rPr>
                <w:rFonts w:hint="eastAsia" w:ascii="Times New Roman" w:hAnsi="Times New Roman" w:eastAsia="仿宋_GB2312" w:cs="Times New Roman"/>
                <w:sz w:val="24"/>
                <w:szCs w:val="24"/>
                <w:lang w:eastAsia="zh-CN"/>
              </w:rPr>
              <w:t>农网改造巩固提升工程</w:t>
            </w:r>
            <w:r>
              <w:rPr>
                <w:rFonts w:ascii="Times New Roman" w:hAnsi="Times New Roman" w:eastAsia="仿宋_GB2312" w:cs="Times New Roman"/>
                <w:sz w:val="24"/>
                <w:szCs w:val="24"/>
              </w:rPr>
              <w:t>。</w:t>
            </w:r>
          </w:p>
          <w:p>
            <w:pPr>
              <w:widowControl/>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bCs/>
                <w:sz w:val="24"/>
                <w:szCs w:val="24"/>
              </w:rPr>
              <w:t>养殖场大型沼气工程：</w:t>
            </w:r>
            <w:r>
              <w:rPr>
                <w:rFonts w:ascii="Times New Roman" w:hAnsi="Times New Roman" w:eastAsia="仿宋_GB2312" w:cs="Times New Roman"/>
                <w:sz w:val="24"/>
                <w:szCs w:val="24"/>
              </w:rPr>
              <w:t>在天丰家庭农场、遂宁市明诚牧业有限公司、遂宁市鑫昌家庭农场、四川聚众丰益农业开发公司、遂宁市安居创和家庭农场建设大型沼气工程各一个。</w:t>
            </w:r>
          </w:p>
          <w:p>
            <w:pPr>
              <w:spacing w:line="400" w:lineRule="exact"/>
              <w:ind w:firstLine="482" w:firstLineChars="200"/>
              <w:outlineLvl w:val="2"/>
              <w:rPr>
                <w:rFonts w:ascii="Times New Roman" w:hAnsi="Times New Roman" w:eastAsia="仿宋_GB2312" w:cs="Times New Roman"/>
                <w:sz w:val="24"/>
                <w:szCs w:val="24"/>
              </w:rPr>
            </w:pPr>
            <w:r>
              <w:rPr>
                <w:rFonts w:ascii="Times New Roman" w:hAnsi="Times New Roman" w:eastAsia="仿宋_GB2312" w:cs="Times New Roman"/>
                <w:b/>
                <w:bCs/>
                <w:sz w:val="24"/>
                <w:szCs w:val="24"/>
              </w:rPr>
              <w:t>变电站工程：</w:t>
            </w:r>
            <w:r>
              <w:rPr>
                <w:rFonts w:ascii="Times New Roman" w:hAnsi="Times New Roman" w:eastAsia="仿宋_GB2312" w:cs="Times New Roman"/>
                <w:sz w:val="24"/>
                <w:szCs w:val="24"/>
              </w:rPr>
              <w:t>建设同盟220千伏、白马110千伏、锂能110千伏、喻家沟110千伏、临港110千伏输变电工程。</w:t>
            </w:r>
          </w:p>
          <w:p>
            <w:pPr>
              <w:widowControl/>
              <w:adjustRightInd w:val="0"/>
              <w:snapToGrid w:val="0"/>
              <w:spacing w:line="400" w:lineRule="exact"/>
              <w:ind w:firstLine="482" w:firstLineChars="200"/>
              <w:rPr>
                <w:rFonts w:ascii="Times New Roman" w:hAnsi="Times New Roman" w:eastAsia="仿宋_GB2312" w:cs="Times New Roman"/>
                <w:color w:val="000000"/>
                <w:sz w:val="24"/>
                <w:szCs w:val="24"/>
              </w:rPr>
            </w:pPr>
            <w:r>
              <w:rPr>
                <w:rFonts w:ascii="Times New Roman" w:hAnsi="Times New Roman" w:eastAsia="仿宋_GB2312" w:cs="Times New Roman"/>
                <w:b/>
                <w:bCs/>
                <w:sz w:val="24"/>
                <w:szCs w:val="24"/>
              </w:rPr>
              <w:t>公共充电站桩：</w:t>
            </w:r>
            <w:r>
              <w:rPr>
                <w:rFonts w:ascii="Times New Roman" w:hAnsi="Times New Roman" w:eastAsia="仿宋_GB2312" w:cs="Times New Roman"/>
                <w:sz w:val="24"/>
                <w:szCs w:val="24"/>
              </w:rPr>
              <w:t>在安居城区范围内新建充电站6座，修建充电桩140台；在安居乡镇范围内新建充电站51座，修建充电桩357台。</w:t>
            </w:r>
          </w:p>
        </w:tc>
      </w:tr>
    </w:tbl>
    <w:p>
      <w:pPr>
        <w:pStyle w:val="3"/>
        <w:spacing w:before="313" w:beforeLines="100" w:after="313" w:afterLines="100"/>
        <w:jc w:val="center"/>
        <w:rPr>
          <w:rFonts w:hint="eastAsia" w:ascii="Calibri" w:hAnsi="Calibri" w:eastAsia="方正小标宋简体"/>
          <w:sz w:val="32"/>
        </w:rPr>
      </w:pPr>
      <w:bookmarkStart w:id="72" w:name="_Toc25614"/>
      <w:bookmarkStart w:id="73" w:name="_Toc14767"/>
      <w:bookmarkStart w:id="74" w:name="_Toc9962"/>
      <w:bookmarkStart w:id="75" w:name="_Toc65153179"/>
      <w:r>
        <w:rPr>
          <w:rFonts w:hint="eastAsia" w:ascii="Calibri" w:hAnsi="Calibri" w:eastAsia="方正小标宋简体"/>
          <w:sz w:val="32"/>
        </w:rPr>
        <w:t>第</w:t>
      </w:r>
      <w:r>
        <w:rPr>
          <w:rFonts w:hint="default" w:ascii="Calibri" w:hAnsi="Calibri" w:eastAsia="方正小标宋简体"/>
          <w:sz w:val="32"/>
        </w:rPr>
        <w:t>四</w:t>
      </w:r>
      <w:r>
        <w:rPr>
          <w:rFonts w:hint="eastAsia" w:ascii="Calibri" w:hAnsi="Calibri" w:eastAsia="方正小标宋简体"/>
          <w:sz w:val="32"/>
        </w:rPr>
        <w:t>篇 加速动能转化，</w:t>
      </w:r>
      <w:r>
        <w:rPr>
          <w:rFonts w:hint="default" w:ascii="Calibri" w:hAnsi="Calibri" w:eastAsia="方正小标宋简体"/>
          <w:sz w:val="32"/>
        </w:rPr>
        <w:t>推动</w:t>
      </w:r>
      <w:r>
        <w:rPr>
          <w:rFonts w:hint="eastAsia" w:ascii="Calibri" w:hAnsi="Calibri" w:eastAsia="方正小标宋简体"/>
          <w:sz w:val="32"/>
        </w:rPr>
        <w:t>现代产业</w:t>
      </w:r>
      <w:r>
        <w:rPr>
          <w:rFonts w:hint="default" w:ascii="Calibri" w:hAnsi="Calibri" w:eastAsia="方正小标宋简体"/>
          <w:sz w:val="32"/>
        </w:rPr>
        <w:t>高质量</w:t>
      </w:r>
      <w:r>
        <w:rPr>
          <w:rFonts w:hint="eastAsia" w:ascii="Calibri" w:hAnsi="Calibri" w:eastAsia="方正小标宋简体"/>
          <w:sz w:val="32"/>
        </w:rPr>
        <w:t>发展</w:t>
      </w:r>
      <w:bookmarkEnd w:id="72"/>
      <w:bookmarkEnd w:id="73"/>
      <w:bookmarkEnd w:id="74"/>
      <w:bookmarkEnd w:id="75"/>
    </w:p>
    <w:p>
      <w:pPr>
        <w:spacing w:line="520" w:lineRule="exact"/>
        <w:ind w:firstLine="560" w:firstLineChars="200"/>
        <w:rPr>
          <w:rFonts w:ascii="Times New Roman" w:hAnsi="Times New Roman" w:eastAsia="仿宋_GB2312" w:cs="Times New Roman"/>
          <w:snapToGrid w:val="0"/>
          <w:kern w:val="0"/>
          <w:sz w:val="28"/>
          <w:szCs w:val="32"/>
        </w:rPr>
      </w:pPr>
      <w:r>
        <w:rPr>
          <w:rFonts w:hint="default" w:ascii="Times New Roman" w:hAnsi="Times New Roman" w:eastAsia="仿宋_GB2312" w:cs="Times New Roman"/>
          <w:b w:val="0"/>
          <w:snapToGrid w:val="0"/>
          <w:kern w:val="0"/>
          <w:sz w:val="28"/>
          <w:szCs w:val="32"/>
          <w:lang w:val="en-US" w:eastAsia="zh-CN"/>
        </w:rPr>
        <w:t>实施“特色产业大跨越”工程</w:t>
      </w:r>
      <w:r>
        <w:rPr>
          <w:rFonts w:hint="eastAsia" w:ascii="Times New Roman" w:hAnsi="Times New Roman" w:eastAsia="仿宋_GB2312" w:cs="Times New Roman"/>
          <w:b w:val="0"/>
          <w:snapToGrid w:val="0"/>
          <w:kern w:val="0"/>
          <w:sz w:val="28"/>
          <w:szCs w:val="32"/>
          <w:lang w:val="en-US" w:eastAsia="zh-CN"/>
        </w:rPr>
        <w:t>，</w:t>
      </w:r>
      <w:r>
        <w:rPr>
          <w:rFonts w:hint="eastAsia" w:ascii="Times New Roman" w:hAnsi="Times New Roman" w:eastAsia="仿宋_GB2312" w:cs="Times New Roman"/>
          <w:snapToGrid w:val="0"/>
          <w:kern w:val="0"/>
          <w:sz w:val="28"/>
          <w:szCs w:val="32"/>
        </w:rPr>
        <w:t>坚定“产业兴区、制造业强区”战略不动摇</w:t>
      </w:r>
      <w:r>
        <w:rPr>
          <w:rFonts w:ascii="Times New Roman" w:hAnsi="Times New Roman" w:eastAsia="仿宋_GB2312" w:cs="Times New Roman"/>
          <w:snapToGrid w:val="0"/>
          <w:kern w:val="0"/>
          <w:sz w:val="28"/>
          <w:szCs w:val="32"/>
        </w:rPr>
        <w:t>，</w:t>
      </w:r>
      <w:r>
        <w:rPr>
          <w:rFonts w:hint="eastAsia" w:ascii="Times New Roman" w:hAnsi="Times New Roman" w:eastAsia="仿宋_GB2312" w:cs="Times New Roman"/>
          <w:snapToGrid w:val="0"/>
          <w:kern w:val="0"/>
          <w:sz w:val="28"/>
          <w:szCs w:val="32"/>
        </w:rPr>
        <w:t>聚焦聚力安居创造、安居制造、安居配套</w:t>
      </w:r>
      <w:r>
        <w:rPr>
          <w:rFonts w:ascii="Times New Roman" w:hAnsi="Times New Roman" w:eastAsia="仿宋_GB2312" w:cs="Times New Roman"/>
          <w:snapToGrid w:val="0"/>
          <w:kern w:val="0"/>
          <w:sz w:val="28"/>
          <w:szCs w:val="32"/>
        </w:rPr>
        <w:t>，</w:t>
      </w:r>
      <w:r>
        <w:rPr>
          <w:rFonts w:hint="eastAsia" w:ascii="Times New Roman" w:hAnsi="Times New Roman" w:eastAsia="仿宋_GB2312" w:cs="Times New Roman"/>
          <w:snapToGrid w:val="0"/>
          <w:kern w:val="0"/>
          <w:sz w:val="28"/>
          <w:szCs w:val="32"/>
        </w:rPr>
        <w:t>突出建链、聚链、补链、延链、扩链、强链方略，坚持产业链“链长制”</w:t>
      </w:r>
      <w:r>
        <w:rPr>
          <w:rFonts w:ascii="Times New Roman" w:hAnsi="Times New Roman" w:eastAsia="仿宋_GB2312" w:cs="Times New Roman"/>
          <w:snapToGrid w:val="0"/>
          <w:kern w:val="0"/>
          <w:sz w:val="28"/>
          <w:szCs w:val="32"/>
        </w:rPr>
        <w:t>，做优实体经济，全力推动“3+2”现代工业产业和“4+2”现代服务业高质量发展，加快建设</w:t>
      </w:r>
      <w:r>
        <w:rPr>
          <w:rFonts w:hint="eastAsia" w:ascii="Times New Roman" w:hAnsi="Times New Roman" w:eastAsia="仿宋_GB2312" w:cs="Times New Roman"/>
          <w:snapToGrid w:val="0"/>
          <w:kern w:val="0"/>
          <w:sz w:val="28"/>
          <w:szCs w:val="32"/>
          <w:lang w:eastAsia="zh-CN"/>
        </w:rPr>
        <w:t>“</w:t>
      </w:r>
      <w:r>
        <w:rPr>
          <w:rFonts w:ascii="Times New Roman" w:hAnsi="Times New Roman" w:eastAsia="仿宋_GB2312" w:cs="Times New Roman"/>
          <w:snapToGrid w:val="0"/>
          <w:kern w:val="0"/>
          <w:sz w:val="28"/>
          <w:szCs w:val="32"/>
        </w:rPr>
        <w:t>一个千亿园区、三个百亿产业</w:t>
      </w:r>
      <w:r>
        <w:rPr>
          <w:rFonts w:hint="eastAsia" w:ascii="Times New Roman" w:hAnsi="Times New Roman" w:eastAsia="仿宋_GB2312" w:cs="Times New Roman"/>
          <w:snapToGrid w:val="0"/>
          <w:kern w:val="0"/>
          <w:sz w:val="28"/>
          <w:szCs w:val="32"/>
          <w:lang w:eastAsia="zh-CN"/>
        </w:rPr>
        <w:t>”</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23</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，打造</w:t>
      </w:r>
      <w:r>
        <w:rPr>
          <w:rFonts w:hint="eastAsia" w:ascii="Times New Roman" w:hAnsi="Times New Roman" w:eastAsia="仿宋_GB2312" w:cs="Times New Roman"/>
          <w:snapToGrid w:val="0"/>
          <w:kern w:val="0"/>
          <w:sz w:val="28"/>
          <w:szCs w:val="32"/>
        </w:rPr>
        <w:t>成渝地区</w:t>
      </w:r>
      <w:r>
        <w:rPr>
          <w:rFonts w:ascii="Times New Roman" w:hAnsi="Times New Roman" w:eastAsia="仿宋_GB2312" w:cs="Times New Roman"/>
          <w:snapToGrid w:val="0"/>
          <w:kern w:val="0"/>
          <w:sz w:val="28"/>
          <w:szCs w:val="32"/>
        </w:rPr>
        <w:t>特色工业示范区</w:t>
      </w:r>
      <w:r>
        <w:rPr>
          <w:rFonts w:hint="eastAsia" w:ascii="Times New Roman" w:hAnsi="Times New Roman" w:eastAsia="仿宋_GB2312" w:cs="Times New Roman"/>
          <w:snapToGrid w:val="0"/>
          <w:kern w:val="0"/>
          <w:sz w:val="28"/>
          <w:szCs w:val="32"/>
        </w:rPr>
        <w:t>、清洁能源示范基地、</w:t>
      </w:r>
      <w:r>
        <w:rPr>
          <w:rFonts w:ascii="Times New Roman" w:hAnsi="Times New Roman" w:eastAsia="仿宋_GB2312" w:cs="Times New Roman"/>
          <w:snapToGrid w:val="0"/>
          <w:kern w:val="0"/>
          <w:sz w:val="28"/>
          <w:szCs w:val="32"/>
        </w:rPr>
        <w:t>省级现代服务业聚集区。</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76" w:name="_Toc15978"/>
      <w:bookmarkStart w:id="77" w:name="_Toc7536"/>
      <w:bookmarkStart w:id="78" w:name="_Toc65153180"/>
      <w:bookmarkStart w:id="79" w:name="_Toc22584"/>
      <w:r>
        <w:rPr>
          <w:rFonts w:hint="eastAsia" w:ascii="方正黑体简体" w:hAnsi="方正黑体简体" w:eastAsia="方正黑体简体" w:cs="方正黑体简体"/>
          <w:b w:val="0"/>
          <w:bCs w:val="0"/>
        </w:rPr>
        <w:t>第十三章 大力发展“3+2”现代工业</w:t>
      </w:r>
      <w:bookmarkEnd w:id="76"/>
      <w:bookmarkEnd w:id="77"/>
      <w:bookmarkEnd w:id="78"/>
      <w:bookmarkEnd w:id="79"/>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重点发展锂电及新材料产业</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深入实施</w:t>
      </w:r>
      <w:r>
        <w:rPr>
          <w:rFonts w:hint="eastAsia" w:ascii="Times New Roman" w:hAnsi="Times New Roman" w:eastAsia="仿宋_GB2312" w:cs="Times New Roman"/>
          <w:snapToGrid w:val="0"/>
          <w:kern w:val="0"/>
          <w:sz w:val="28"/>
          <w:szCs w:val="32"/>
        </w:rPr>
        <w:t>锂电及新材料产业</w:t>
      </w:r>
      <w:r>
        <w:rPr>
          <w:rFonts w:ascii="Times New Roman" w:hAnsi="Times New Roman" w:eastAsia="仿宋_GB2312" w:cs="Times New Roman"/>
          <w:snapToGrid w:val="0"/>
          <w:kern w:val="0"/>
          <w:sz w:val="28"/>
          <w:szCs w:val="32"/>
        </w:rPr>
        <w:t>“一号工程”，编制实施锂电产业中长期发展规划，明晰产业发展定位、实施路径和预期目标，壮大锂电及新材料产业集群，拓展服务成渝双核的锂电相关配套产业，</w:t>
      </w:r>
      <w:r>
        <w:rPr>
          <w:rFonts w:hint="eastAsia" w:ascii="Times New Roman" w:hAnsi="Times New Roman" w:eastAsia="仿宋_GB2312" w:cs="Times New Roman"/>
          <w:snapToGrid w:val="0"/>
          <w:kern w:val="0"/>
          <w:sz w:val="28"/>
          <w:szCs w:val="32"/>
          <w:lang w:val="en-US" w:eastAsia="zh-CN"/>
        </w:rPr>
        <w:t>成为遂宁建设“世界锂都”的排头兵、引领区</w:t>
      </w:r>
      <w:r>
        <w:rPr>
          <w:rFonts w:ascii="Times New Roman" w:hAnsi="Times New Roman" w:eastAsia="仿宋_GB2312" w:cs="Times New Roman"/>
          <w:snapToGrid w:val="0"/>
          <w:kern w:val="0"/>
          <w:sz w:val="28"/>
          <w:szCs w:val="32"/>
        </w:rPr>
        <w:t>。推进天齐锂业复工建设，加快四川裕能、</w:t>
      </w:r>
      <w:r>
        <w:rPr>
          <w:rFonts w:hint="eastAsia" w:ascii="Times New Roman" w:hAnsi="Times New Roman" w:eastAsia="仿宋_GB2312" w:cs="Times New Roman"/>
          <w:snapToGrid w:val="0"/>
          <w:kern w:val="0"/>
          <w:sz w:val="28"/>
          <w:szCs w:val="32"/>
        </w:rPr>
        <w:t>上海格派、洛阳月星</w:t>
      </w:r>
      <w:r>
        <w:rPr>
          <w:rFonts w:ascii="Times New Roman" w:hAnsi="Times New Roman" w:eastAsia="仿宋_GB2312" w:cs="Times New Roman"/>
          <w:snapToGrid w:val="0"/>
          <w:kern w:val="0"/>
          <w:sz w:val="28"/>
          <w:szCs w:val="32"/>
        </w:rPr>
        <w:t>等锂电项目投产达效。以四川裕能、上海格派等为龙头，大力发展电池级磷酸铁锂、工业级碳酸锂、电池级无水氯化锂、电池级</w:t>
      </w:r>
      <w:r>
        <w:rPr>
          <w:sz w:val="32"/>
          <w:szCs w:val="32"/>
        </w:rPr>
        <w:fldChar w:fldCharType="begin"/>
      </w:r>
      <w:r>
        <w:rPr>
          <w:sz w:val="32"/>
          <w:szCs w:val="32"/>
        </w:rPr>
        <w:instrText xml:space="preserve"> HYPERLINK "https://baike.baidu.com/item/%E6%B0%A2%E6%B0%A7%E5%8C%96%E9%94%82/447104" \t "https://baike.baidu.com/item/%E5%A4%A9%E9%BD%90%E9%94%82%E4%B8%9A/_blank" </w:instrText>
      </w:r>
      <w:r>
        <w:rPr>
          <w:sz w:val="32"/>
          <w:szCs w:val="32"/>
        </w:rPr>
        <w:fldChar w:fldCharType="separate"/>
      </w:r>
      <w:r>
        <w:rPr>
          <w:rFonts w:ascii="Times New Roman" w:hAnsi="Times New Roman" w:eastAsia="仿宋_GB2312" w:cs="Times New Roman"/>
          <w:snapToGrid w:val="0"/>
          <w:kern w:val="0"/>
          <w:sz w:val="28"/>
          <w:szCs w:val="32"/>
        </w:rPr>
        <w:t>氢氧化锂</w:t>
      </w:r>
      <w:r>
        <w:rPr>
          <w:rFonts w:ascii="Times New Roman" w:hAnsi="Times New Roman" w:eastAsia="仿宋_GB2312" w:cs="Times New Roman"/>
          <w:snapToGrid w:val="0"/>
          <w:kern w:val="0"/>
          <w:sz w:val="28"/>
          <w:szCs w:val="32"/>
        </w:rPr>
        <w:fldChar w:fldCharType="end"/>
      </w:r>
      <w:r>
        <w:rPr>
          <w:rFonts w:ascii="Times New Roman" w:hAnsi="Times New Roman" w:eastAsia="仿宋_GB2312" w:cs="Times New Roman"/>
          <w:snapToGrid w:val="0"/>
          <w:kern w:val="0"/>
          <w:sz w:val="28"/>
          <w:szCs w:val="32"/>
        </w:rPr>
        <w:t>以及</w:t>
      </w:r>
      <w:r>
        <w:rPr>
          <w:sz w:val="32"/>
          <w:szCs w:val="32"/>
        </w:rPr>
        <w:fldChar w:fldCharType="begin"/>
      </w:r>
      <w:r>
        <w:rPr>
          <w:sz w:val="32"/>
          <w:szCs w:val="32"/>
        </w:rPr>
        <w:instrText xml:space="preserve"> HYPERLINK "https://baike.baidu.com/item/%E7%A3%B7%E9%85%B8%E4%BA%8C%E6%B0%A2%E9%94%82/7025607" \t "https://baike.baidu.com/item/%E5%A4%A9%E9%BD%90%E9%94%82%E4%B8%9A/_blank" </w:instrText>
      </w:r>
      <w:r>
        <w:rPr>
          <w:sz w:val="32"/>
          <w:szCs w:val="32"/>
        </w:rPr>
        <w:fldChar w:fldCharType="separate"/>
      </w:r>
      <w:r>
        <w:rPr>
          <w:rFonts w:ascii="Times New Roman" w:hAnsi="Times New Roman" w:eastAsia="仿宋_GB2312" w:cs="Times New Roman"/>
          <w:snapToGrid w:val="0"/>
          <w:kern w:val="0"/>
          <w:sz w:val="28"/>
          <w:szCs w:val="32"/>
        </w:rPr>
        <w:t>磷酸二氢锂</w:t>
      </w:r>
      <w:r>
        <w:rPr>
          <w:rFonts w:ascii="Times New Roman" w:hAnsi="Times New Roman" w:eastAsia="仿宋_GB2312" w:cs="Times New Roman"/>
          <w:snapToGrid w:val="0"/>
          <w:kern w:val="0"/>
          <w:sz w:val="28"/>
          <w:szCs w:val="32"/>
        </w:rPr>
        <w:fldChar w:fldCharType="end"/>
      </w:r>
      <w:r>
        <w:rPr>
          <w:rFonts w:ascii="Times New Roman" w:hAnsi="Times New Roman" w:eastAsia="仿宋_GB2312" w:cs="Times New Roman"/>
          <w:snapToGrid w:val="0"/>
          <w:kern w:val="0"/>
          <w:sz w:val="28"/>
          <w:szCs w:val="32"/>
        </w:rPr>
        <w:t>和高纯碳酸锂等主导产品，建设全球最大的磷酸铁锂正极材料生产基地。加强与市内各县（市）园区协作配套，延长产业链条，加速产业集群发展，壮大锂电产业集群。依托东莞国夏打造西部地区3C消费类电池基地。积极探索充电设备领域、电池回收领域，并布局储能领域市场，探索动力电池回收应用于储能领域的商业模式并开展相关业务，推进动力电池梯次利用，建立上下游企业联动的动力电池回收利用体系。围绕锂电关键材料、动力电池、终端应用等关键环节，进行招大引强工程，全力引进天目先导、北京卫蓝、深圳路华、乾运高科，构建“基础锂盐-锂电材料-电芯制造-系统集成-新能源汽车-梯次回收利用”全产业链，加快形成锂电全生命周期产业生态圈。</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优化发展汽车与装备制造产业</w:t>
      </w:r>
    </w:p>
    <w:p>
      <w:pPr>
        <w:spacing w:line="520" w:lineRule="exact"/>
        <w:ind w:firstLine="560" w:firstLineChars="200"/>
        <w:rPr>
          <w:rFonts w:ascii="Times New Roman" w:hAnsi="Times New Roman" w:eastAsia="仿宋_GB2312" w:cs="Times New Roman"/>
          <w:snapToGrid w:val="0"/>
          <w:kern w:val="0"/>
          <w:sz w:val="28"/>
          <w:szCs w:val="32"/>
        </w:rPr>
      </w:pPr>
      <w:r>
        <w:rPr>
          <w:rFonts w:hint="eastAsia" w:ascii="Times New Roman" w:hAnsi="Times New Roman" w:eastAsia="仿宋_GB2312" w:cs="Times New Roman"/>
          <w:snapToGrid w:val="0"/>
          <w:kern w:val="0"/>
          <w:sz w:val="28"/>
          <w:szCs w:val="32"/>
        </w:rPr>
        <w:t>坚持“整车带动、前沿配套”思路，实施“再造一个四川江淮”计划</w:t>
      </w:r>
      <w:r>
        <w:rPr>
          <w:rFonts w:ascii="Times New Roman" w:hAnsi="Times New Roman" w:eastAsia="仿宋_GB2312" w:cs="Times New Roman"/>
          <w:snapToGrid w:val="0"/>
          <w:kern w:val="0"/>
          <w:sz w:val="28"/>
          <w:szCs w:val="32"/>
        </w:rPr>
        <w:t>，</w:t>
      </w:r>
      <w:r>
        <w:rPr>
          <w:rFonts w:hint="eastAsia" w:ascii="Times New Roman" w:hAnsi="Times New Roman" w:eastAsia="仿宋_GB2312" w:cs="Times New Roman"/>
          <w:snapToGrid w:val="0"/>
          <w:kern w:val="0"/>
          <w:sz w:val="28"/>
          <w:szCs w:val="32"/>
        </w:rPr>
        <w:t>统筹汽车研发、汽车装备配套、汽车文化发展，加快建设成渝地区汽车产业配套集群。</w:t>
      </w:r>
      <w:r>
        <w:rPr>
          <w:rFonts w:ascii="Times New Roman" w:hAnsi="Times New Roman" w:eastAsia="仿宋_GB2312" w:cs="Times New Roman"/>
          <w:snapToGrid w:val="0"/>
          <w:kern w:val="0"/>
          <w:sz w:val="28"/>
          <w:szCs w:val="32"/>
        </w:rPr>
        <w:t>加快形成以四川江淮为龙头的集研发、整车制造和零部件供应为一体的汽车装备产业体系，建设四川江淮中卡专业化生产基地，发展壮大新能源汽车产业，打造成渝地区汽车产业配套协作基地和智能制造合作示范区。依托江淮汽车西南基地项目，全力引进一汽凌源皮卡等一批汽车整车生产项目，促进汽车整车规模化、集聚式发展。积极发展新能源汽车电池、电机、电控等核心组件，重点突破电池及其管理系统、电机及其控制系统、充电系统、储能系统等领域的核心技术，争取江淮汽车新能源乘用车项目落户，推动</w:t>
      </w:r>
      <w:r>
        <w:rPr>
          <w:rFonts w:hint="eastAsia" w:ascii="Times New Roman" w:hAnsi="Times New Roman" w:eastAsia="仿宋_GB2312" w:cs="Times New Roman"/>
          <w:snapToGrid w:val="0"/>
          <w:kern w:val="0"/>
          <w:sz w:val="28"/>
          <w:szCs w:val="32"/>
        </w:rPr>
        <w:t>四川</w:t>
      </w:r>
      <w:r>
        <w:rPr>
          <w:rFonts w:ascii="Times New Roman" w:hAnsi="Times New Roman" w:eastAsia="仿宋_GB2312" w:cs="Times New Roman"/>
          <w:snapToGrid w:val="0"/>
          <w:kern w:val="0"/>
          <w:sz w:val="28"/>
          <w:szCs w:val="32"/>
        </w:rPr>
        <w:t>江淮汽车新能源轻卡量产达效、中卡生产线建成投产。伯特利、云内动力、迈高等企业为主体，重点引进电机、车桥、传动系统、变速箱系统等汽车关键零部件配套企业50家，形成完善的零部件配套体系。推动产业提质升级，积极发展高端装备、数控设备，利用新一代信息技术进行智能化、绿色化改造。鼓励本地企业通过战略兼并、重组、合资等方式组建汽车零部件企业集团，推动汽车零部件生产向总成、光机电一体化转变，做强安居汽车核心零部件产业。引导汽车整车及其零配件生产企业与汽车服务业对接，形成覆盖新车销售、汽车维修、二手车流通及汽车衍生类等全产业链的服务体系。引进高品质4S店，建立零部件交易中心，形成布局合理、功能完善、体系健全的汽车服务业产业园区。</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有序发展天然气清洁能源产业</w:t>
      </w:r>
    </w:p>
    <w:p>
      <w:pPr>
        <w:spacing w:line="520" w:lineRule="exact"/>
        <w:ind w:firstLine="560" w:firstLineChars="200"/>
        <w:rPr>
          <w:rFonts w:ascii="Times New Roman" w:hAnsi="Times New Roman" w:eastAsia="仿宋_GB2312" w:cs="Times New Roman"/>
          <w:sz w:val="28"/>
          <w:szCs w:val="32"/>
        </w:rPr>
      </w:pPr>
      <w:r>
        <w:rPr>
          <w:rStyle w:val="43"/>
          <w:rFonts w:hint="default" w:ascii="Times New Roman" w:hAnsi="Times New Roman" w:cs="Times New Roman"/>
          <w:szCs w:val="32"/>
        </w:rPr>
        <w:t>坚持“就地转化、振兴突围”思路，积极抢抓国家能源产业调整振兴战略契机，依托中遂净化、川能投储气调峰、华电天然气发电等重点项目，加强就地转化、提升产业层级、完善产业链条，加快建设成渝地区清洁能源示范基地。</w:t>
      </w:r>
      <w:r>
        <w:rPr>
          <w:rFonts w:ascii="Times New Roman" w:hAnsi="Times New Roman" w:eastAsia="仿宋_GB2312" w:cs="Times New Roman"/>
          <w:sz w:val="28"/>
          <w:szCs w:val="32"/>
        </w:rPr>
        <w:t>依托中石油遂宁天然气净化有限公司、晨光博达等企业重点发展清洁能源、新材料、天然气勘探、开发和综合利用等产业，</w:t>
      </w:r>
      <w:r>
        <w:rPr>
          <w:rFonts w:ascii="Times New Roman" w:hAnsi="Times New Roman" w:eastAsia="仿宋_GB2312" w:cs="Times New Roman"/>
          <w:bCs/>
          <w:sz w:val="28"/>
          <w:szCs w:val="32"/>
        </w:rPr>
        <w:t>支持中石油遂宁天然气净化有限公司稳产扩能，</w:t>
      </w:r>
      <w:r>
        <w:rPr>
          <w:rStyle w:val="43"/>
          <w:rFonts w:hint="default" w:ascii="Times New Roman" w:hAnsi="Times New Roman" w:cs="Times New Roman"/>
          <w:szCs w:val="32"/>
        </w:rPr>
        <w:t>推动天然气资源就地转化利用实现重大突破，成为</w:t>
      </w:r>
      <w:r>
        <w:rPr>
          <w:rStyle w:val="43"/>
          <w:rFonts w:hint="eastAsia" w:ascii="Times New Roman" w:hAnsi="Times New Roman" w:eastAsia="仿宋_GB2312" w:cs="Times New Roman"/>
          <w:szCs w:val="32"/>
          <w:lang w:val="en-US" w:eastAsia="zh-CN"/>
        </w:rPr>
        <w:t>遂宁</w:t>
      </w:r>
      <w:r>
        <w:rPr>
          <w:rStyle w:val="43"/>
          <w:rFonts w:hint="default" w:ascii="Times New Roman" w:hAnsi="Times New Roman" w:cs="Times New Roman"/>
          <w:szCs w:val="32"/>
        </w:rPr>
        <w:t>建设</w:t>
      </w:r>
      <w:r>
        <w:rPr>
          <w:rStyle w:val="43"/>
          <w:rFonts w:hint="eastAsia" w:ascii="Times New Roman" w:hAnsi="Times New Roman" w:eastAsia="仿宋_GB2312" w:cs="Times New Roman"/>
          <w:szCs w:val="32"/>
          <w:lang w:eastAsia="zh-CN"/>
        </w:rPr>
        <w:t>“东方气都”</w:t>
      </w:r>
      <w:r>
        <w:rPr>
          <w:rStyle w:val="43"/>
          <w:rFonts w:hint="eastAsia" w:ascii="Times New Roman" w:hAnsi="Times New Roman" w:eastAsia="仿宋_GB2312" w:cs="Times New Roman"/>
          <w:szCs w:val="32"/>
          <w:lang w:val="en-US" w:eastAsia="zh-CN"/>
        </w:rPr>
        <w:t>的</w:t>
      </w:r>
      <w:r>
        <w:rPr>
          <w:rStyle w:val="43"/>
          <w:rFonts w:hint="default" w:ascii="Times New Roman" w:hAnsi="Times New Roman" w:cs="Times New Roman"/>
          <w:szCs w:val="32"/>
        </w:rPr>
        <w:t>主力军</w:t>
      </w:r>
      <w:r>
        <w:rPr>
          <w:rStyle w:val="43"/>
          <w:rFonts w:hint="eastAsia" w:ascii="Times New Roman" w:hAnsi="Times New Roman" w:eastAsia="仿宋_GB2312" w:cs="Times New Roman"/>
          <w:szCs w:val="32"/>
          <w:lang w:eastAsia="zh-CN"/>
        </w:rPr>
        <w:t>、</w:t>
      </w:r>
      <w:r>
        <w:rPr>
          <w:rStyle w:val="43"/>
          <w:rFonts w:hint="default" w:ascii="Times New Roman" w:hAnsi="Times New Roman" w:cs="Times New Roman"/>
          <w:szCs w:val="32"/>
        </w:rPr>
        <w:t>主阵地。</w:t>
      </w:r>
      <w:r>
        <w:rPr>
          <w:rFonts w:ascii="Times New Roman" w:hAnsi="Times New Roman" w:eastAsia="仿宋_GB2312" w:cs="Times New Roman"/>
          <w:bCs/>
          <w:sz w:val="28"/>
          <w:szCs w:val="32"/>
        </w:rPr>
        <w:t>推动天然气发电项目落地</w:t>
      </w:r>
      <w:r>
        <w:rPr>
          <w:rFonts w:hint="eastAsia" w:ascii="Times New Roman" w:hAnsi="Times New Roman" w:eastAsia="仿宋_GB2312" w:cs="Times New Roman"/>
          <w:bCs/>
          <w:sz w:val="28"/>
          <w:szCs w:val="32"/>
        </w:rPr>
        <w:t>，加快</w:t>
      </w:r>
      <w:r>
        <w:rPr>
          <w:rFonts w:ascii="Times New Roman" w:hAnsi="Times New Roman" w:eastAsia="仿宋_GB2312" w:cs="Times New Roman"/>
          <w:bCs/>
          <w:sz w:val="28"/>
          <w:szCs w:val="32"/>
        </w:rPr>
        <w:t>储气调峰项目</w:t>
      </w:r>
      <w:r>
        <w:rPr>
          <w:rFonts w:hint="eastAsia" w:ascii="Times New Roman" w:hAnsi="Times New Roman" w:eastAsia="仿宋_GB2312" w:cs="Times New Roman"/>
          <w:bCs/>
          <w:sz w:val="28"/>
          <w:szCs w:val="32"/>
        </w:rPr>
        <w:t>建设进度</w:t>
      </w:r>
      <w:r>
        <w:rPr>
          <w:rFonts w:ascii="Times New Roman" w:hAnsi="Times New Roman" w:eastAsia="仿宋_GB2312" w:cs="Times New Roman"/>
          <w:bCs/>
          <w:sz w:val="28"/>
          <w:szCs w:val="32"/>
        </w:rPr>
        <w:t>，培育天然气发电、储气调峰、热电联产分布式能源产业集群，科学布局精细化工产业，推进晨光博达、上海复页等项目投产达效，积极招引特色精细化工项目，完善天然气及清洁能源产业链，加快打造成渝地区清洁能源全产业链示范基地和</w:t>
      </w:r>
      <w:r>
        <w:rPr>
          <w:rStyle w:val="43"/>
          <w:rFonts w:hint="default" w:ascii="Times New Roman" w:hAnsi="Times New Roman" w:cs="Times New Roman"/>
          <w:szCs w:val="32"/>
        </w:rPr>
        <w:t>西南地区绿色化工基地。</w:t>
      </w:r>
      <w:r>
        <w:rPr>
          <w:rFonts w:ascii="Times New Roman" w:hAnsi="Times New Roman" w:eastAsia="仿宋_GB2312" w:cs="Times New Roman"/>
          <w:sz w:val="28"/>
          <w:szCs w:val="32"/>
        </w:rPr>
        <w:t>积极发展天然气民用，加快建设CNG、LNG加气站，促进天然气清洁能源汽车发展。</w:t>
      </w:r>
      <w:r>
        <w:rPr>
          <w:rFonts w:ascii="Times New Roman" w:hAnsi="Times New Roman" w:eastAsia="仿宋_GB2312" w:cs="Times New Roman"/>
          <w:bCs/>
          <w:sz w:val="28"/>
          <w:szCs w:val="32"/>
        </w:rPr>
        <w:t>积极参与成渝两地在天然气开发、就地转化等方面合作，</w:t>
      </w:r>
      <w:r>
        <w:rPr>
          <w:rFonts w:ascii="Times New Roman" w:hAnsi="Times New Roman" w:eastAsia="仿宋_GB2312" w:cs="Times New Roman"/>
          <w:sz w:val="28"/>
          <w:szCs w:val="32"/>
        </w:rPr>
        <w:t>联合潼南、安岳积极争取天然气价格支持政策，</w:t>
      </w:r>
      <w:r>
        <w:rPr>
          <w:rFonts w:ascii="Times New Roman" w:hAnsi="Times New Roman" w:eastAsia="仿宋_GB2312" w:cs="Times New Roman"/>
          <w:bCs/>
          <w:sz w:val="28"/>
          <w:szCs w:val="32"/>
        </w:rPr>
        <w:t>共同</w:t>
      </w:r>
      <w:r>
        <w:rPr>
          <w:rFonts w:ascii="Times New Roman" w:hAnsi="Times New Roman" w:eastAsia="仿宋_GB2312" w:cs="Times New Roman"/>
          <w:sz w:val="28"/>
          <w:szCs w:val="32"/>
        </w:rPr>
        <w:t>推动天然气综合开发利用，全力打造遂潼</w:t>
      </w:r>
      <w:r>
        <w:rPr>
          <w:rFonts w:ascii="Times New Roman" w:hAnsi="Times New Roman" w:eastAsia="仿宋_GB2312" w:cs="Times New Roman"/>
          <w:bCs/>
          <w:sz w:val="28"/>
          <w:szCs w:val="32"/>
        </w:rPr>
        <w:t>天然气产业园</w:t>
      </w:r>
      <w:r>
        <w:rPr>
          <w:rFonts w:ascii="Times New Roman" w:hAnsi="Times New Roman" w:eastAsia="仿宋_GB2312" w:cs="Times New Roman"/>
          <w:sz w:val="28"/>
          <w:szCs w:val="32"/>
        </w:rPr>
        <w:t>。</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做优食品及特色消费品产业</w:t>
      </w:r>
    </w:p>
    <w:p>
      <w:pPr>
        <w:spacing w:line="520" w:lineRule="exact"/>
        <w:ind w:firstLine="560" w:firstLineChars="200"/>
        <w:rPr>
          <w:rFonts w:ascii="Times New Roman" w:hAnsi="Times New Roman" w:cs="Times New Roman"/>
          <w:sz w:val="32"/>
          <w:szCs w:val="32"/>
        </w:rPr>
      </w:pPr>
      <w:r>
        <w:rPr>
          <w:rStyle w:val="43"/>
          <w:rFonts w:hint="default" w:ascii="Times New Roman" w:hAnsi="Times New Roman" w:cs="Times New Roman"/>
          <w:szCs w:val="32"/>
        </w:rPr>
        <w:t>培育壮大食品及特色消费品产业，加快产业转型升级，积极适应消费升级趋势，走健康化、功能化、品牌化、高端化的发展道路，推动食品产业保持中高速增长和迈向中高端水平，</w:t>
      </w:r>
      <w:r>
        <w:rPr>
          <w:rStyle w:val="43"/>
          <w:rFonts w:hint="eastAsia" w:ascii="Times New Roman" w:hAnsi="Times New Roman" w:eastAsia="仿宋_GB2312" w:cs="Times New Roman"/>
          <w:szCs w:val="32"/>
          <w:lang w:val="en-US" w:eastAsia="zh-CN"/>
        </w:rPr>
        <w:t>建成</w:t>
      </w:r>
      <w:r>
        <w:rPr>
          <w:rStyle w:val="43"/>
          <w:rFonts w:hint="default" w:ascii="Times New Roman" w:hAnsi="Times New Roman" w:cs="Times New Roman"/>
          <w:szCs w:val="32"/>
        </w:rPr>
        <w:t>全国最大的特色消费品生产基地。</w:t>
      </w:r>
      <w:r>
        <w:rPr>
          <w:rFonts w:ascii="Times New Roman" w:hAnsi="Times New Roman" w:eastAsia="仿宋_GB2312" w:cs="Times New Roman"/>
          <w:sz w:val="28"/>
          <w:szCs w:val="32"/>
        </w:rPr>
        <w:t>抢抓建设成渝现代特色高效农业带的机遇，依托百万亩“世界柠檬产业集群”，大力发展柠檬等农产品精深加工产业。围绕优质粮油、特色水果、有机蔬菜、绿色畜禽、生态水产、地道中药材等特色农产品，不断加强优势资源产业化开发，从源头上控制质量，提高精深加工制造水平，以满足人民日益增长的生态性、高品质食品需求。</w:t>
      </w:r>
      <w:r>
        <w:rPr>
          <w:rFonts w:ascii="Times New Roman" w:hAnsi="Times New Roman" w:eastAsia="仿宋_GB2312" w:cs="Times New Roman"/>
          <w:spacing w:val="-6"/>
          <w:sz w:val="28"/>
          <w:szCs w:val="32"/>
        </w:rPr>
        <w:t>引进和培育农产品加工龙头企业、上市公司，促进三家大米、安居524红苕、柠檬等农产品资源优势就地转化，重点发展生鲜农产品加工、特色水果、蔬菜农产品加工和具有高附加价值的农产品精深加工，与潼南共建</w:t>
      </w:r>
      <w:r>
        <w:rPr>
          <w:rFonts w:hint="eastAsia" w:ascii="Times New Roman" w:hAnsi="Times New Roman" w:eastAsia="仿宋_GB2312" w:cs="Times New Roman"/>
          <w:spacing w:val="-6"/>
          <w:sz w:val="28"/>
          <w:szCs w:val="32"/>
        </w:rPr>
        <w:t>成渝</w:t>
      </w:r>
      <w:r>
        <w:rPr>
          <w:rFonts w:ascii="Times New Roman" w:hAnsi="Times New Roman" w:eastAsia="仿宋_GB2312" w:cs="Times New Roman"/>
          <w:spacing w:val="-6"/>
          <w:sz w:val="28"/>
          <w:szCs w:val="32"/>
        </w:rPr>
        <w:t>现代高效特色农业带，打造国家级农业高新示范区。联合潼南、安岳等毗邻地区，沿琼江做大做强柠檬、粮油等产业，共建国家农业高新园区，沿琼江流域培育“琼江乡村振兴走廊”</w:t>
      </w:r>
      <w:r>
        <w:rPr>
          <w:rFonts w:hint="eastAsia" w:ascii="Times New Roman" w:hAnsi="Times New Roman" w:eastAsia="仿宋_GB2312" w:cs="Times New Roman"/>
          <w:bCs/>
          <w:sz w:val="28"/>
          <w:szCs w:val="32"/>
        </w:rPr>
        <w:t>。</w:t>
      </w:r>
      <w:r>
        <w:rPr>
          <w:rFonts w:ascii="Times New Roman" w:hAnsi="Times New Roman" w:eastAsia="仿宋_GB2312" w:cs="Times New Roman"/>
          <w:sz w:val="28"/>
          <w:szCs w:val="32"/>
        </w:rPr>
        <w:t>着力塑造农产品加工业品牌，扶持四川阿宁食品、遂宁金旺食品、好吃嘴、思瑞食品等企业做大做强，塑造农产品加工业的品牌，提高市场的占有率和知名度，</w:t>
      </w:r>
      <w:r>
        <w:rPr>
          <w:rFonts w:hint="eastAsia" w:ascii="Times New Roman" w:hAnsi="Times New Roman" w:eastAsia="仿宋_GB2312" w:cs="Times New Roman"/>
          <w:sz w:val="28"/>
          <w:szCs w:val="32"/>
        </w:rPr>
        <w:t>推进</w:t>
      </w:r>
      <w:r>
        <w:rPr>
          <w:rFonts w:ascii="Times New Roman" w:hAnsi="Times New Roman" w:eastAsia="仿宋_GB2312" w:cs="Times New Roman"/>
          <w:sz w:val="28"/>
          <w:szCs w:val="32"/>
        </w:rPr>
        <w:t>全国农产品加工示范基地。推动相关新型食品研发中心建设，实现生态农产品的深度利用开发。</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第五节 着力发展通航配套服务</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抢抓高新区建设和遂宁市争创陆港型国家枢纽、打造成渝地区双城经济圈物流配送中心机遇，</w:t>
      </w:r>
      <w:r>
        <w:rPr>
          <w:rFonts w:hint="eastAsia" w:ascii="Times New Roman" w:hAnsi="Times New Roman" w:eastAsia="仿宋_GB2312" w:cs="Times New Roman"/>
          <w:snapToGrid w:val="0"/>
          <w:kern w:val="0"/>
          <w:sz w:val="28"/>
          <w:szCs w:val="32"/>
        </w:rPr>
        <w:t>依托遂宁安居机场，打造成渝中部地区航空配套产业基地</w:t>
      </w:r>
      <w:r>
        <w:rPr>
          <w:rFonts w:ascii="Times New Roman" w:hAnsi="Times New Roman" w:eastAsia="仿宋_GB2312" w:cs="Times New Roman"/>
          <w:snapToGrid w:val="0"/>
          <w:kern w:val="0"/>
          <w:sz w:val="28"/>
          <w:szCs w:val="32"/>
        </w:rPr>
        <w:t>。积极培育通用航空市场，促进通用航空制造与运营服务协调发展，重点发展应急救援、环境监测、商务飞行、通勤飞行、航空旅游、航空物流、航空遥感等通航运营服务，建设具有安居特色的通用航空运营服务集成高地。围绕提升低空空域管理和通航服务能力，推进航空基础服务设施设备建设，开展飞行服务站、固定基地运营商、维护维修运行服务站建设，重点发展飞机维修服务、零部件制造、航材供应等基础性服务，形成功能完善、层次清晰的通用航空服务体系。联动潼南等周边区域，积极对接川渝市场，加强国内外企业招商，重点发展机场及配套设施建设、航空销售（展示）等，推进航空产业聚集发展。</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0" w:type="auto"/>
            <w:vAlign w:val="center"/>
          </w:tcPr>
          <w:p>
            <w:pPr>
              <w:widowControl/>
              <w:adjustRightInd w:val="0"/>
              <w:snapToGrid w:val="0"/>
              <w:spacing w:line="400" w:lineRule="exact"/>
              <w:jc w:val="center"/>
              <w:rPr>
                <w:rFonts w:ascii="Times New Roman" w:hAnsi="Times New Roman" w:eastAsia="仿宋_GB2312" w:cs="Times New Roman"/>
                <w:b/>
                <w:bCs/>
                <w:sz w:val="24"/>
                <w:szCs w:val="21"/>
              </w:rPr>
            </w:pPr>
            <w:r>
              <w:rPr>
                <w:rFonts w:ascii="Times New Roman" w:hAnsi="Times New Roman" w:eastAsia="仿宋_GB2312" w:cs="Times New Roman"/>
                <w:b/>
                <w:bCs/>
                <w:sz w:val="24"/>
                <w:szCs w:val="21"/>
              </w:rPr>
              <w:t>专栏4-1  “3+2”现代工业产业发展重点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0" w:hRule="atLeast"/>
        </w:trPr>
        <w:tc>
          <w:tcPr>
            <w:tcW w:w="0" w:type="auto"/>
            <w:vAlign w:val="center"/>
          </w:tcPr>
          <w:p>
            <w:pPr>
              <w:adjustRightInd w:val="0"/>
              <w:snapToGrid w:val="0"/>
              <w:spacing w:line="400" w:lineRule="exact"/>
              <w:ind w:firstLine="482" w:firstLineChars="200"/>
              <w:rPr>
                <w:rFonts w:ascii="Times New Roman" w:hAnsi="Times New Roman" w:eastAsia="仿宋_GB2312" w:cs="Times New Roman"/>
                <w:color w:val="000000"/>
                <w:spacing w:val="-6"/>
                <w:sz w:val="24"/>
                <w:szCs w:val="21"/>
              </w:rPr>
            </w:pPr>
            <w:r>
              <w:rPr>
                <w:rFonts w:ascii="Times New Roman" w:hAnsi="Times New Roman" w:eastAsia="仿宋_GB2312" w:cs="Times New Roman"/>
                <w:b/>
                <w:bCs/>
                <w:sz w:val="24"/>
                <w:szCs w:val="21"/>
              </w:rPr>
              <w:t>锂电及新材料重点项目</w:t>
            </w:r>
            <w:r>
              <w:rPr>
                <w:rFonts w:ascii="Times New Roman" w:hAnsi="Times New Roman" w:eastAsia="仿宋_GB2312" w:cs="Times New Roman"/>
                <w:b/>
                <w:bCs/>
                <w:color w:val="000000"/>
                <w:spacing w:val="-6"/>
                <w:sz w:val="24"/>
                <w:szCs w:val="21"/>
              </w:rPr>
              <w:t>：</w:t>
            </w:r>
            <w:r>
              <w:rPr>
                <w:rFonts w:ascii="Times New Roman" w:hAnsi="Times New Roman" w:eastAsia="仿宋_GB2312" w:cs="Times New Roman"/>
                <w:color w:val="000000"/>
                <w:sz w:val="24"/>
                <w:szCs w:val="21"/>
              </w:rPr>
              <w:t>重点推进国夏日产100万支锂离子电池项目、裕能锂离子电池正极材料、裕能年产</w:t>
            </w:r>
            <w:r>
              <w:rPr>
                <w:rFonts w:hint="eastAsia" w:ascii="Times New Roman" w:hAnsi="Times New Roman" w:eastAsia="仿宋_GB2312" w:cs="Times New Roman"/>
                <w:color w:val="000000"/>
                <w:sz w:val="24"/>
                <w:szCs w:val="21"/>
              </w:rPr>
              <w:t>22</w:t>
            </w:r>
            <w:r>
              <w:rPr>
                <w:rFonts w:ascii="Times New Roman" w:hAnsi="Times New Roman" w:eastAsia="仿宋_GB2312" w:cs="Times New Roman"/>
                <w:color w:val="000000"/>
                <w:sz w:val="24"/>
                <w:szCs w:val="21"/>
              </w:rPr>
              <w:t>万吨锂电正极材料、格派锂离子电池三元NCM前驱体正极材料、深圳路华电池电芯(高端穿戴电池、聚合物电池、动力电池）生产、乾运高科年产10万吨锂电池三元正极材料等项目建设。</w:t>
            </w:r>
            <w:r>
              <w:rPr>
                <w:rFonts w:ascii="Times New Roman" w:hAnsi="Times New Roman" w:eastAsia="仿宋_GB2312" w:cs="Times New Roman"/>
                <w:color w:val="000000"/>
                <w:spacing w:val="-6"/>
                <w:sz w:val="24"/>
                <w:szCs w:val="21"/>
              </w:rPr>
              <w:t>到2025年，产值突破</w:t>
            </w:r>
            <w:r>
              <w:rPr>
                <w:rFonts w:hint="eastAsia" w:ascii="Times New Roman" w:hAnsi="Times New Roman" w:eastAsia="仿宋_GB2312" w:cs="Times New Roman"/>
                <w:color w:val="000000"/>
                <w:spacing w:val="-6"/>
                <w:sz w:val="24"/>
                <w:szCs w:val="21"/>
                <w:lang w:val="en-US" w:eastAsia="zh-CN"/>
              </w:rPr>
              <w:t>200</w:t>
            </w:r>
            <w:r>
              <w:rPr>
                <w:rFonts w:ascii="Times New Roman" w:hAnsi="Times New Roman" w:eastAsia="仿宋_GB2312" w:cs="Times New Roman"/>
                <w:color w:val="000000"/>
                <w:spacing w:val="-6"/>
                <w:sz w:val="24"/>
                <w:szCs w:val="21"/>
              </w:rPr>
              <w:t>亿元，建成配套成渝的锂电及新材料产业基地。</w:t>
            </w:r>
          </w:p>
          <w:p>
            <w:pPr>
              <w:adjustRightInd w:val="0"/>
              <w:snapToGrid w:val="0"/>
              <w:spacing w:line="400" w:lineRule="exact"/>
              <w:ind w:firstLine="482" w:firstLineChars="200"/>
              <w:rPr>
                <w:rFonts w:ascii="Times New Roman" w:hAnsi="Times New Roman" w:eastAsia="仿宋_GB2312" w:cs="Times New Roman"/>
                <w:b/>
                <w:bCs/>
                <w:sz w:val="24"/>
                <w:szCs w:val="21"/>
              </w:rPr>
            </w:pPr>
            <w:r>
              <w:rPr>
                <w:rFonts w:ascii="Times New Roman" w:hAnsi="Times New Roman" w:eastAsia="仿宋_GB2312" w:cs="Times New Roman"/>
                <w:b/>
                <w:bCs/>
                <w:sz w:val="24"/>
                <w:szCs w:val="21"/>
              </w:rPr>
              <w:t>汽车与装备制造重点项目</w:t>
            </w:r>
            <w:r>
              <w:rPr>
                <w:rFonts w:ascii="Times New Roman" w:hAnsi="Times New Roman" w:eastAsia="仿宋_GB2312" w:cs="Times New Roman"/>
                <w:b/>
                <w:bCs/>
                <w:color w:val="000000"/>
                <w:sz w:val="24"/>
                <w:szCs w:val="21"/>
              </w:rPr>
              <w:t>：</w:t>
            </w:r>
            <w:r>
              <w:rPr>
                <w:rFonts w:ascii="Times New Roman" w:hAnsi="Times New Roman" w:eastAsia="仿宋_GB2312" w:cs="Times New Roman"/>
                <w:color w:val="000000"/>
                <w:sz w:val="24"/>
                <w:szCs w:val="21"/>
              </w:rPr>
              <w:t>重点推进安居区汽摩零配件产业项目、安居区塑胶制品生产线项目、安居区电子零部件及塑料制品智能制造项目、安居区飞和实业一汽凌源汽车制造项目安居区浙商汽摩零配件产业园项目、安居区海特环保成渝合作创新产业园、安居区汽车与装备制造产业园等项目。到2025年，产值突破100亿元。</w:t>
            </w:r>
          </w:p>
          <w:p>
            <w:pPr>
              <w:adjustRightInd w:val="0"/>
              <w:snapToGrid w:val="0"/>
              <w:spacing w:line="400" w:lineRule="exact"/>
              <w:ind w:firstLine="482" w:firstLineChars="200"/>
              <w:rPr>
                <w:rFonts w:ascii="Times New Roman" w:hAnsi="Times New Roman" w:eastAsia="仿宋_GB2312" w:cs="Times New Roman"/>
                <w:color w:val="000000"/>
                <w:sz w:val="24"/>
                <w:szCs w:val="21"/>
              </w:rPr>
            </w:pPr>
            <w:r>
              <w:rPr>
                <w:rFonts w:ascii="Times New Roman" w:hAnsi="Times New Roman" w:eastAsia="仿宋_GB2312" w:cs="Times New Roman"/>
                <w:b/>
                <w:bCs/>
                <w:sz w:val="24"/>
                <w:szCs w:val="21"/>
              </w:rPr>
              <w:t>天然气及清洁能源产业重点项目</w:t>
            </w:r>
            <w:r>
              <w:rPr>
                <w:rFonts w:ascii="Times New Roman" w:hAnsi="Times New Roman" w:eastAsia="仿宋_GB2312" w:cs="Times New Roman"/>
                <w:b/>
                <w:bCs/>
                <w:color w:val="000000"/>
                <w:sz w:val="24"/>
                <w:szCs w:val="21"/>
              </w:rPr>
              <w:t>：</w:t>
            </w:r>
            <w:r>
              <w:rPr>
                <w:rFonts w:ascii="Times New Roman" w:hAnsi="Times New Roman" w:eastAsia="仿宋_GB2312" w:cs="Times New Roman"/>
                <w:color w:val="000000"/>
                <w:sz w:val="24"/>
                <w:szCs w:val="21"/>
              </w:rPr>
              <w:t>重点推进安居区华电燃气-蒸汽联合循环机组项、安居区储气调峰基地建设项目、遂潼涪江创新产业园</w:t>
            </w:r>
            <w:r>
              <w:rPr>
                <w:rFonts w:hint="eastAsia" w:ascii="Times New Roman" w:hAnsi="Times New Roman" w:eastAsia="仿宋_GB2312" w:cs="Times New Roman"/>
                <w:color w:val="000000"/>
                <w:sz w:val="24"/>
                <w:szCs w:val="21"/>
              </w:rPr>
              <w:t>区</w:t>
            </w:r>
            <w:r>
              <w:rPr>
                <w:rFonts w:ascii="Times New Roman" w:hAnsi="Times New Roman" w:eastAsia="仿宋_GB2312" w:cs="Times New Roman"/>
                <w:color w:val="000000"/>
                <w:sz w:val="24"/>
                <w:szCs w:val="21"/>
              </w:rPr>
              <w:t>天然气资源开发合作园区、安居区热电联产分布式能源建设项目、天然气发电项目等项目。到2025年，产值突破100亿元。</w:t>
            </w:r>
          </w:p>
          <w:p>
            <w:pPr>
              <w:adjustRightInd w:val="0"/>
              <w:snapToGrid w:val="0"/>
              <w:spacing w:line="400" w:lineRule="exact"/>
              <w:ind w:firstLine="482" w:firstLineChars="200"/>
              <w:rPr>
                <w:rFonts w:ascii="Times New Roman" w:hAnsi="Times New Roman" w:eastAsia="仿宋_GB2312" w:cs="Times New Roman"/>
                <w:color w:val="000000"/>
                <w:sz w:val="24"/>
                <w:szCs w:val="21"/>
              </w:rPr>
            </w:pPr>
            <w:r>
              <w:rPr>
                <w:rFonts w:ascii="Times New Roman" w:hAnsi="Times New Roman" w:eastAsia="仿宋_GB2312" w:cs="Times New Roman"/>
                <w:b/>
                <w:bCs/>
                <w:sz w:val="24"/>
                <w:szCs w:val="21"/>
              </w:rPr>
              <w:t>食品及特色消费品重点项目</w:t>
            </w:r>
            <w:r>
              <w:rPr>
                <w:rFonts w:ascii="Times New Roman" w:hAnsi="Times New Roman" w:eastAsia="仿宋_GB2312" w:cs="Times New Roman"/>
                <w:b/>
                <w:bCs/>
                <w:color w:val="000000"/>
                <w:sz w:val="24"/>
                <w:szCs w:val="21"/>
              </w:rPr>
              <w:t>：</w:t>
            </w:r>
            <w:r>
              <w:rPr>
                <w:rFonts w:ascii="Times New Roman" w:hAnsi="Times New Roman" w:eastAsia="仿宋_GB2312" w:cs="Times New Roman"/>
                <w:color w:val="000000"/>
                <w:sz w:val="24"/>
                <w:szCs w:val="21"/>
              </w:rPr>
              <w:t>引进或培育2至3家知名企业和上市公司，重点推进安居区饮料、啤酒厂建设项目、新型食品研发中心建设、安居区食品产业园等项目。到2025 年，产值突破</w:t>
            </w:r>
            <w:r>
              <w:rPr>
                <w:rFonts w:hint="eastAsia" w:ascii="Times New Roman" w:hAnsi="Times New Roman" w:eastAsia="仿宋_GB2312" w:cs="Times New Roman"/>
                <w:color w:val="000000"/>
                <w:sz w:val="24"/>
                <w:szCs w:val="21"/>
                <w:lang w:val="en-US" w:eastAsia="zh-CN"/>
              </w:rPr>
              <w:t>50</w:t>
            </w:r>
            <w:r>
              <w:rPr>
                <w:rFonts w:ascii="Times New Roman" w:hAnsi="Times New Roman" w:eastAsia="仿宋_GB2312" w:cs="Times New Roman"/>
                <w:color w:val="000000"/>
                <w:sz w:val="24"/>
                <w:szCs w:val="21"/>
              </w:rPr>
              <w:t>亿元。</w:t>
            </w:r>
          </w:p>
          <w:p>
            <w:pPr>
              <w:adjustRightInd w:val="0"/>
              <w:snapToGrid w:val="0"/>
              <w:spacing w:line="400" w:lineRule="exact"/>
              <w:ind w:firstLine="482" w:firstLineChars="200"/>
              <w:rPr>
                <w:rFonts w:ascii="Times New Roman" w:hAnsi="Times New Roman" w:eastAsia="仿宋_GB2312" w:cs="Times New Roman"/>
                <w:b/>
                <w:color w:val="000000"/>
                <w:spacing w:val="-6"/>
                <w:sz w:val="24"/>
                <w:szCs w:val="21"/>
              </w:rPr>
            </w:pPr>
            <w:r>
              <w:rPr>
                <w:rFonts w:ascii="Times New Roman" w:hAnsi="Times New Roman" w:eastAsia="仿宋_GB2312" w:cs="Times New Roman"/>
                <w:b/>
                <w:bCs/>
                <w:sz w:val="24"/>
                <w:szCs w:val="21"/>
              </w:rPr>
              <w:t>通航配套服务重点项目：</w:t>
            </w:r>
            <w:r>
              <w:rPr>
                <w:rFonts w:ascii="Times New Roman" w:hAnsi="Times New Roman" w:eastAsia="仿宋_GB2312" w:cs="Times New Roman"/>
                <w:bCs/>
                <w:sz w:val="24"/>
                <w:szCs w:val="21"/>
              </w:rPr>
              <w:t>重点引进</w:t>
            </w:r>
            <w:r>
              <w:rPr>
                <w:rFonts w:ascii="Times New Roman" w:hAnsi="Times New Roman" w:eastAsia="仿宋_GB2312" w:cs="Times New Roman"/>
                <w:color w:val="000000"/>
                <w:sz w:val="24"/>
                <w:szCs w:val="21"/>
              </w:rPr>
              <w:t>航空零部件及配套产品制造、航空运营、航空配套产业等项目</w:t>
            </w:r>
            <w:r>
              <w:rPr>
                <w:rFonts w:hint="eastAsia" w:ascii="Times New Roman" w:hAnsi="Times New Roman" w:eastAsia="仿宋_GB2312" w:cs="Times New Roman"/>
                <w:color w:val="000000"/>
                <w:sz w:val="24"/>
                <w:szCs w:val="21"/>
              </w:rPr>
              <w:t>。</w:t>
            </w:r>
            <w:r>
              <w:rPr>
                <w:rFonts w:ascii="Times New Roman" w:hAnsi="Times New Roman" w:eastAsia="仿宋_GB2312" w:cs="Times New Roman"/>
                <w:color w:val="000000"/>
                <w:sz w:val="24"/>
                <w:szCs w:val="21"/>
              </w:rPr>
              <w:t>到2025年，产值突破20亿元。</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80" w:name="_Toc65153181"/>
      <w:bookmarkStart w:id="81" w:name="_Toc8370"/>
      <w:bookmarkStart w:id="82" w:name="_Toc18214"/>
      <w:bookmarkStart w:id="83" w:name="_Toc54278029"/>
      <w:bookmarkStart w:id="84" w:name="_Toc13745"/>
      <w:bookmarkStart w:id="85" w:name="_Toc50372535"/>
      <w:bookmarkStart w:id="86" w:name="_Toc50372534"/>
      <w:r>
        <w:rPr>
          <w:rFonts w:hint="eastAsia" w:ascii="方正黑体简体" w:hAnsi="方正黑体简体" w:eastAsia="方正黑体简体" w:cs="方正黑体简体"/>
          <w:b w:val="0"/>
          <w:bCs w:val="0"/>
        </w:rPr>
        <w:t>第十四章 加快发展“4+2”现代服务业</w:t>
      </w:r>
      <w:bookmarkEnd w:id="80"/>
      <w:bookmarkEnd w:id="81"/>
      <w:bookmarkEnd w:id="82"/>
      <w:bookmarkEnd w:id="83"/>
      <w:bookmarkEnd w:id="84"/>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着力提升商业贸易影响力</w:t>
      </w:r>
    </w:p>
    <w:p>
      <w:pPr>
        <w:spacing w:line="520" w:lineRule="exact"/>
        <w:ind w:firstLine="560" w:firstLineChars="200"/>
        <w:rPr>
          <w:rFonts w:ascii="Times New Roman" w:hAnsi="Times New Roman" w:eastAsia="仿宋_GB2312" w:cs="Times New Roman"/>
          <w:snapToGrid w:val="0"/>
          <w:kern w:val="0"/>
          <w:sz w:val="28"/>
          <w:szCs w:val="32"/>
        </w:rPr>
      </w:pPr>
      <w:r>
        <w:rPr>
          <w:rFonts w:ascii="Times New Roman" w:hAnsi="Times New Roman" w:eastAsia="仿宋_GB2312" w:cs="Times New Roman"/>
          <w:snapToGrid w:val="0"/>
          <w:kern w:val="0"/>
          <w:sz w:val="28"/>
          <w:szCs w:val="32"/>
        </w:rPr>
        <w:t>以建设全省区域性消费中心城市为导向，推动商业业态创新，促进商业结构优化，按照“一街一特色”“一街一模式”，完善提升步行街、美食街、重点商贸街区业态布局，推进重点街区商业改造升级，聚集人气、商气，打造富有地域文化特色的步行街区。科学布局夜间经济，大力打造网红街区和夜间经济，构建“两带一街多点”</w:t>
      </w:r>
      <w:r>
        <w:rPr>
          <w:rFonts w:hint="default" w:ascii="Times New Roman" w:hAnsi="Times New Roman" w:eastAsia="仿宋_GB2312" w:cs="Times New Roman"/>
          <w:bCs/>
          <w:color w:val="auto"/>
          <w:kern w:val="0"/>
          <w:sz w:val="28"/>
          <w:szCs w:val="32"/>
          <w:highlight w:val="none"/>
          <w:vertAlign w:val="superscript"/>
          <w:lang w:eastAsia="zh-CN"/>
        </w:rPr>
        <w:t>〔</w:t>
      </w:r>
      <w:r>
        <w:rPr>
          <w:rFonts w:hint="eastAsia" w:ascii="Times New Roman" w:hAnsi="Times New Roman" w:eastAsia="仿宋_GB2312" w:cs="Times New Roman"/>
          <w:bCs/>
          <w:color w:val="auto"/>
          <w:kern w:val="0"/>
          <w:sz w:val="28"/>
          <w:szCs w:val="32"/>
          <w:highlight w:val="none"/>
          <w:vertAlign w:val="superscript"/>
          <w:lang w:val="en-US" w:eastAsia="zh-CN"/>
        </w:rPr>
        <w:t>28</w:t>
      </w:r>
      <w:r>
        <w:rPr>
          <w:rFonts w:hint="default" w:ascii="Times New Roman" w:hAnsi="Times New Roman" w:eastAsia="仿宋_GB2312" w:cs="Times New Roman"/>
          <w:bCs/>
          <w:color w:val="auto"/>
          <w:kern w:val="0"/>
          <w:sz w:val="28"/>
          <w:szCs w:val="32"/>
          <w:highlight w:val="none"/>
          <w:vertAlign w:val="superscript"/>
          <w:lang w:eastAsia="zh-CN"/>
        </w:rPr>
        <w:t>〕</w:t>
      </w:r>
      <w:r>
        <w:rPr>
          <w:rFonts w:ascii="Times New Roman" w:hAnsi="Times New Roman" w:eastAsia="仿宋_GB2312" w:cs="Times New Roman"/>
          <w:snapToGrid w:val="0"/>
          <w:kern w:val="0"/>
          <w:sz w:val="28"/>
          <w:szCs w:val="32"/>
        </w:rPr>
        <w:t>的网红街区与夜间经济带。以网红景点为带动，打造历史文化与现代商贸有机整合的网红街区。围绕“吃、住、行、游、购、娱”等重点领域，加快新消费场景建设，以安居农产品特色为依托，培育打造购物、餐饮、娱乐、休闲、旅游等多功能相结合城市商业综合体，打造城市消费新场景、新体验、新地标。加强市场主体培育，引入并培育一批商贸重大项目，大力培育引入一批大型批发、零售、住宿、餐饮等商贸重点企业，推动一批大型商贸企业设施设备改造升级。鼓励商贸流通企业开展线上线下促销费活动，延长商业综合体、大型百货商场营业时间。</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推动文旅产业跨越式发展</w:t>
      </w:r>
    </w:p>
    <w:p>
      <w:pPr>
        <w:spacing w:line="520" w:lineRule="exact"/>
        <w:ind w:firstLine="560" w:firstLineChars="200"/>
        <w:rPr>
          <w:rFonts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28"/>
          <w:szCs w:val="32"/>
        </w:rPr>
        <w:t>树立“全域旅游、文旅融合”发展理念，构建“一廊三区”文旅发展总体空间布局，做好“公园城市+文旅”“乡村振兴+文旅”“特色工业+文旅”等产业融合，大力实施文旅项目攻坚行动，做响做亮“湖光山色、安逸安居”文旅品牌和川渝泛琼江流域文化旅游联盟品牌，争创天府旅游名县、省级全域旅游示范区，全力打造成渝地区休闲旅游首选地。全面提升七彩明珠4A级旅游景区的知名度和吸引力，推进琼江源国家级水利风景区等景区开发建设，盘活黄峨古镇，加快建设乡愁海龙、三家大米农旅产业园等精品乡村旅游景点。建好伍先华纪念馆（故居）、地心大峡谷等文旅项目，推出红色感恩、研学旅行、乡愁体验等精品线路，重点培育乡村文化旅游节、川渝泛琼江流域文化旅游节、川渝绝味美食节等文旅节会。加速文旅配套设施建设，打造多元化、个性化、主题化的精品酒店、主题酒店、非标民宿、星级农家乐等配套设施。加快旅游综合交通体系建设，开通成渝及周边城市定制旅游专线，加快融入成渝轴线旅游大环线。加快全域智慧旅游管理、营销、服务体系信息化技术平台建设，提升智能化管理水平和综合服务能力。</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b/>
                <w:sz w:val="24"/>
                <w:szCs w:val="21"/>
              </w:rPr>
              <w:t>专栏4-2 “一廊三区”文旅发展总体空间布局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0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一廊：</w:t>
            </w:r>
            <w:r>
              <w:rPr>
                <w:rFonts w:ascii="Times New Roman" w:hAnsi="Times New Roman" w:eastAsia="仿宋_GB2312" w:cs="Times New Roman"/>
                <w:sz w:val="24"/>
                <w:szCs w:val="21"/>
              </w:rPr>
              <w:t>依托川渝泛琼江流域文旅联盟，建设琼江文化旅游走廊</w:t>
            </w:r>
            <w:r>
              <w:rPr>
                <w:rFonts w:hint="eastAsia" w:ascii="Times New Roman" w:hAnsi="Times New Roman" w:eastAsia="仿宋_GB2312" w:cs="Times New Roman"/>
                <w:sz w:val="24"/>
                <w:szCs w:val="21"/>
              </w:rPr>
              <w:t>。</w:t>
            </w:r>
          </w:p>
          <w:p>
            <w:pPr>
              <w:spacing w:line="400" w:lineRule="exact"/>
              <w:ind w:firstLine="482" w:firstLineChars="200"/>
              <w:rPr>
                <w:rFonts w:ascii="Times New Roman" w:hAnsi="Times New Roman" w:eastAsia="仿宋_GB2312" w:cs="Times New Roman"/>
                <w:sz w:val="28"/>
                <w:szCs w:val="28"/>
              </w:rPr>
            </w:pPr>
            <w:r>
              <w:rPr>
                <w:rFonts w:ascii="Times New Roman" w:hAnsi="Times New Roman" w:eastAsia="仿宋_GB2312" w:cs="Times New Roman"/>
                <w:b/>
                <w:sz w:val="24"/>
                <w:szCs w:val="21"/>
              </w:rPr>
              <w:t>三区：</w:t>
            </w:r>
            <w:r>
              <w:rPr>
                <w:rFonts w:ascii="Times New Roman" w:hAnsi="Times New Roman" w:eastAsia="仿宋_GB2312" w:cs="Times New Roman"/>
                <w:sz w:val="24"/>
                <w:szCs w:val="21"/>
              </w:rPr>
              <w:t>实施财信广场（暂定名）综合体建设等项目，打造山环水绕的生态、古今辉映的文态、商旅融合的业态，建设公园城市文旅融合样板区；依托莲花湖、禅月湖、三仙湖，建设生态康养度假区；依托三家大米现代农旅产业园、乡愁海龙，建设农旅体验区。</w:t>
            </w:r>
          </w:p>
        </w:tc>
      </w:tr>
    </w:tbl>
    <w:p>
      <w:pPr>
        <w:jc w:val="center"/>
        <w:rPr>
          <w:rFonts w:ascii="Times New Roman" w:hAnsi="Times New Roman" w:eastAsia="仿宋_GB2312" w:cs="Times New Roman"/>
          <w:snapToGrid w:val="0"/>
          <w:kern w:val="0"/>
          <w:szCs w:val="28"/>
        </w:rPr>
      </w:pP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推进教育体育服务新进程</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促进教育服务升级。</w:t>
      </w:r>
      <w:r>
        <w:rPr>
          <w:rFonts w:ascii="Times New Roman" w:hAnsi="Times New Roman" w:eastAsia="仿宋_GB2312" w:cs="Times New Roman"/>
          <w:sz w:val="28"/>
          <w:szCs w:val="28"/>
        </w:rPr>
        <w:t>积极</w:t>
      </w:r>
      <w:r>
        <w:rPr>
          <w:rFonts w:ascii="Times New Roman" w:hAnsi="Times New Roman" w:eastAsia="仿宋_GB2312" w:cs="Times New Roman"/>
          <w:bCs/>
          <w:sz w:val="28"/>
          <w:szCs w:val="28"/>
        </w:rPr>
        <w:t>创建国省产教融合型城市。</w:t>
      </w:r>
      <w:r>
        <w:rPr>
          <w:rFonts w:ascii="Times New Roman" w:hAnsi="Times New Roman" w:eastAsia="仿宋_GB2312" w:cs="Times New Roman"/>
          <w:sz w:val="28"/>
          <w:szCs w:val="28"/>
        </w:rPr>
        <w:t>强</w:t>
      </w:r>
      <w:bookmarkStart w:id="188" w:name="_GoBack"/>
      <w:bookmarkEnd w:id="188"/>
      <w:r>
        <w:rPr>
          <w:rFonts w:ascii="Times New Roman" w:hAnsi="Times New Roman" w:eastAsia="仿宋_GB2312" w:cs="Times New Roman"/>
          <w:sz w:val="28"/>
          <w:szCs w:val="28"/>
        </w:rPr>
        <w:t>化职业教育产教融合，深化校企合作协同育人改革，引入一批产教融合型企业</w:t>
      </w:r>
      <w:r>
        <w:rPr>
          <w:rFonts w:ascii="Times New Roman" w:hAnsi="Times New Roman" w:eastAsia="仿宋_GB2312" w:cs="Times New Roman"/>
          <w:bCs/>
          <w:sz w:val="28"/>
          <w:szCs w:val="28"/>
        </w:rPr>
        <w:t>。</w:t>
      </w:r>
      <w:r>
        <w:rPr>
          <w:rFonts w:ascii="Times New Roman" w:hAnsi="Times New Roman" w:eastAsia="仿宋_GB2312" w:cs="Times New Roman"/>
          <w:sz w:val="28"/>
          <w:szCs w:val="28"/>
        </w:rPr>
        <w:t>建设产教融合实训基地，以遂潼职业教育中心、产教融合示范园区等项目为抓手，推进职业教育产教融合进程。深化办学体制改革和育人机制改革，建立学历教育与培训并行的现代职业教育体系，优化学校和专业布局，探索建立教学共同体。</w:t>
      </w:r>
      <w:r>
        <w:rPr>
          <w:rFonts w:hint="eastAsia" w:ascii="Times New Roman" w:hAnsi="Times New Roman" w:eastAsia="仿宋_GB2312" w:cs="Times New Roman"/>
          <w:sz w:val="28"/>
          <w:szCs w:val="28"/>
        </w:rPr>
        <w:t>完善普惠性学前教育和特殊教育、专门教育保障机制</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支持和规范民营教育和校外培训机构发展。</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加快发展体育产业。</w:t>
      </w:r>
      <w:r>
        <w:rPr>
          <w:rFonts w:ascii="Times New Roman" w:hAnsi="Times New Roman" w:eastAsia="仿宋_GB2312" w:cs="Times New Roman"/>
          <w:sz w:val="28"/>
          <w:szCs w:val="28"/>
        </w:rPr>
        <w:t>积极创建国省体育消费试点城市，主动融入遂宁与德阳、绵阳、乐山、眉山、资阳、雅安7市的“环成都体育产业发展区”建设。拓展健身休闲、竞赛表演、中介培训、体育用品、体育彩票等体育服务，辐射带动体育传媒、体育广告、体育旅游、体育会展、体育保险等相关业态。大力开展户外运动，引导企业投资开发户外营地、徒步骑行服务站、汽车露营营地等设施。加强体育旅游融合发展，丰富旅游产品中的体育运动休闲内涵，延长游客停留时间，打造集体育健身、旅游体验、时尚运动为一体的产业链。探索赛事市场化运作模式，打造一批在国内、省内有影响力的品牌赛事。完善体育设施，通过改造厂房、仓库、商业设施等用于体育健身，鼓励社会力量建设小型化、多样化活动场馆和健身设施。</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促进健康养老产业特色化发展</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借助安居在文化旅游等领域的优势资源，扶持医养结合、健康养老、康复治疗等康养产业特色发展。以医养结合、智慧养老等为重点，融合生态农业、药食同源、文化旅游、健身休闲等产业形态，以三仙湖康体旅游等项目为支撑，探索“生产基地+康养旅游”的经营模式，树立“安心安养”的康养品牌。全力做好中国科学院大学健康医疗大数据遂宁研究中心大健康大数据工作，高标准、高质量、高水平完成试点任务，为“健康遂宁、智慧医疗”提供成功经验和模范样本。构建居家社区机构相协调、医养康养相结合的养老服务体系，推动医疗机构与养老机构建立稳定的医疗合作联系，提升养老机构的医疗卫生服务支持。以医疗机构为主体，建设护理型养老机构，鼓励基层医疗卫生机构利用闲置低效医疗床位开发护理型床位。创新养老服务股权多元化模式和医养结合模式，</w:t>
      </w:r>
      <w:r>
        <w:rPr>
          <w:rFonts w:ascii="Times New Roman" w:hAnsi="Times New Roman" w:eastAsia="仿宋_GB2312" w:cs="Times New Roman"/>
          <w:spacing w:val="-6"/>
          <w:sz w:val="28"/>
          <w:szCs w:val="28"/>
        </w:rPr>
        <w:t>鼓励支持企业发展银发经济，</w:t>
      </w:r>
      <w:r>
        <w:rPr>
          <w:rFonts w:ascii="Times New Roman" w:hAnsi="Times New Roman" w:eastAsia="仿宋_GB2312" w:cs="Times New Roman"/>
          <w:sz w:val="28"/>
          <w:szCs w:val="28"/>
        </w:rPr>
        <w:t>重点建设市场化的优质医养结合机构。加快引进专业化的养生技术服务团队和专业企业，重点开发膳食调理、慢病预防、心理调节等中医特色养生产品及服务，搭建健康综合服务平台，拓展康养产业链条。</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第五节 加快电子商务发展</w:t>
      </w:r>
    </w:p>
    <w:p>
      <w:pPr>
        <w:spacing w:line="520" w:lineRule="exact"/>
        <w:ind w:firstLine="560" w:firstLineChars="200"/>
        <w:rPr>
          <w:rFonts w:ascii="Times New Roman" w:hAnsi="Times New Roman" w:eastAsia="仿宋_GB2312" w:cs="Times New Roman"/>
          <w:b/>
          <w:bCs/>
          <w:sz w:val="28"/>
          <w:szCs w:val="28"/>
        </w:rPr>
      </w:pPr>
      <w:r>
        <w:rPr>
          <w:rFonts w:ascii="Times New Roman" w:hAnsi="Times New Roman" w:eastAsia="仿宋_GB2312" w:cs="Times New Roman"/>
          <w:sz w:val="28"/>
          <w:szCs w:val="28"/>
        </w:rPr>
        <w:t>推进电子商务与现代农业、智慧文旅、智慧物流等产业融合发展，</w:t>
      </w:r>
      <w:r>
        <w:rPr>
          <w:rFonts w:ascii="Times New Roman" w:hAnsi="Times New Roman" w:eastAsia="仿宋_GB2312" w:cs="Times New Roman"/>
          <w:bCs/>
          <w:sz w:val="28"/>
          <w:szCs w:val="28"/>
        </w:rPr>
        <w:t>加快建设本土电子商务交易平台、技术服务平台、中介服务平台，</w:t>
      </w:r>
      <w:r>
        <w:rPr>
          <w:rFonts w:ascii="Times New Roman" w:hAnsi="Times New Roman" w:eastAsia="仿宋_GB2312" w:cs="Times New Roman"/>
          <w:sz w:val="28"/>
          <w:szCs w:val="28"/>
        </w:rPr>
        <w:t>培育发展一批电子商务新型研发机构和创新平台，</w:t>
      </w:r>
      <w:r>
        <w:rPr>
          <w:rFonts w:ascii="Times New Roman" w:hAnsi="Times New Roman" w:eastAsia="仿宋_GB2312" w:cs="Times New Roman"/>
          <w:bCs/>
          <w:sz w:val="28"/>
          <w:szCs w:val="28"/>
        </w:rPr>
        <w:t>打造电子商务创新创业孵化基地，以遂宁市安居区电子商务产业园建设为引领，推广“直播电商”“社区电商”“微信电商”新消费模式，建设全域智慧商圈。</w:t>
      </w:r>
      <w:r>
        <w:rPr>
          <w:rFonts w:ascii="Times New Roman" w:hAnsi="Times New Roman" w:eastAsia="仿宋_GB2312" w:cs="Times New Roman"/>
          <w:sz w:val="28"/>
          <w:szCs w:val="28"/>
        </w:rPr>
        <w:t>积极推进电子商务进农村，进一步整合优化已建贫困村电子商务扶贫服务站点，扩大电商进农村覆盖面，促进工业品下乡和农产品进城双向流通。引导物流快递企业在乡镇建立配送门店、在贫困村建立快递服务点，开展集中收购、集中配送服务，打通农村物流快递最后“一百米”，实现农村电子商务物流快递服务全覆盖。借助区域农特产品网络示范店、智慧农贸市场综合体项目的建设，进一步提升“安居产、安居造”名优农特产品知晓度，围绕线上线下组织产销对接活动，进一步拓宽产品销售渠道。</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第六节 加快现代物流产业规模化发展</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依托成渝地区中欧班列、遂宁陆港新通道等，开通直达成都、重庆等周边城市和东南亚地区定制物流专线，打造形成“东西联通，南北畅达”的物流通道，完善集疏运系统，提升运营组织能力，构建多式联运物流体系，积极发展工业物流、电商物流、临港物流、</w:t>
      </w:r>
      <w:r>
        <w:rPr>
          <w:rFonts w:ascii="Times New Roman" w:hAnsi="Times New Roman" w:eastAsia="仿宋_GB2312" w:cs="Times New Roman"/>
          <w:bCs/>
          <w:sz w:val="28"/>
          <w:szCs w:val="28"/>
        </w:rPr>
        <w:t>农产品冷链物流等</w:t>
      </w:r>
      <w:r>
        <w:rPr>
          <w:rFonts w:ascii="Times New Roman" w:hAnsi="Times New Roman" w:eastAsia="仿宋_GB2312" w:cs="Times New Roman"/>
          <w:sz w:val="28"/>
          <w:szCs w:val="28"/>
        </w:rPr>
        <w:t>特色行业物流，打造川渝毗邻地区重要的商品集散地和物流分拣配送中心，推动安居物流园区扩容增量，促进通道优势向产业优势转化。以遂宁市安居区智慧仓储建设项目等为抓手，建成一批适应电商未来发展要求的快递物流园区、仓库，完善快递物流服务基础网络体系。大力推动城市共同配送、众包配送、社区服务站代存代储、绿色快递包装循环共用等快递物流运作模式创新。推行农村客运响应式片区化经营，建立</w:t>
      </w:r>
      <w:r>
        <w:rPr>
          <w:rFonts w:ascii="Times New Roman" w:hAnsi="Times New Roman" w:eastAsia="仿宋_GB2312" w:cs="Times New Roman"/>
          <w:bCs/>
          <w:sz w:val="28"/>
          <w:szCs w:val="28"/>
        </w:rPr>
        <w:t>大农村商贸物流体系。</w:t>
      </w:r>
      <w:r>
        <w:rPr>
          <w:rFonts w:ascii="Times New Roman" w:hAnsi="Times New Roman" w:eastAsia="仿宋_GB2312" w:cs="Times New Roman"/>
          <w:sz w:val="28"/>
          <w:szCs w:val="28"/>
        </w:rPr>
        <w:t>加快推进物流业数字化，运用大数据、物联网、云计算、移动互联网等手段，整合铁路、公路、物流园区等物流信息资源，建设安居物流业公共服务平台和智慧物流信息平台，实现数据实时交换和共享。</w:t>
      </w:r>
    </w:p>
    <w:p>
      <w:pPr>
        <w:spacing w:line="360" w:lineRule="exact"/>
        <w:jc w:val="center"/>
        <w:rPr>
          <w:rFonts w:ascii="Times New Roman" w:hAnsi="Times New Roman" w:eastAsia="仿宋_GB2312" w:cs="Times New Roman"/>
          <w:b/>
          <w:sz w:val="24"/>
          <w:szCs w:val="21"/>
        </w:rPr>
      </w:pPr>
      <w:bookmarkStart w:id="87" w:name="_Toc50372533"/>
      <w:r>
        <w:rPr>
          <w:rFonts w:ascii="Times New Roman" w:hAnsi="Times New Roman" w:eastAsia="仿宋_GB2312" w:cs="Times New Roman"/>
          <w:b/>
          <w:sz w:val="24"/>
          <w:szCs w:val="21"/>
        </w:rPr>
        <w:br w:type="page"/>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b/>
                <w:sz w:val="24"/>
                <w:szCs w:val="21"/>
              </w:rPr>
              <w:t>专栏4-3  “4+2”现代服务业建设重点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商业贸易建设重点</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遂宁市安居区夜间经济慢游街项目、遂宁市安居区综合体建设、遂宁市安居区安居时光里文旅商业街建设项目、遂宁市安居区纵港</w:t>
            </w:r>
            <w:r>
              <w:rPr>
                <w:rFonts w:ascii="Times New Roman" w:hAnsi="Times New Roman" w:eastAsia="宋体" w:cs="Times New Roman"/>
                <w:sz w:val="24"/>
                <w:szCs w:val="21"/>
              </w:rPr>
              <w:t>•</w:t>
            </w:r>
            <w:r>
              <w:rPr>
                <w:rFonts w:ascii="Times New Roman" w:hAnsi="Times New Roman" w:eastAsia="仿宋_GB2312" w:cs="Times New Roman"/>
                <w:sz w:val="24"/>
                <w:szCs w:val="21"/>
              </w:rPr>
              <w:t>天香</w:t>
            </w:r>
            <w:r>
              <w:rPr>
                <w:rFonts w:ascii="Times New Roman" w:hAnsi="Times New Roman" w:eastAsia="宋体" w:cs="Times New Roman"/>
                <w:sz w:val="24"/>
                <w:szCs w:val="21"/>
              </w:rPr>
              <w:t>•</w:t>
            </w:r>
            <w:r>
              <w:rPr>
                <w:rFonts w:ascii="Times New Roman" w:hAnsi="Times New Roman" w:eastAsia="仿宋_GB2312" w:cs="Times New Roman"/>
                <w:sz w:val="24"/>
                <w:szCs w:val="21"/>
              </w:rPr>
              <w:t>未来城项目等。</w:t>
            </w:r>
          </w:p>
          <w:p>
            <w:pPr>
              <w:spacing w:line="36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文旅产业建设重点</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遂宁市安居区伍先华纪念馆（故居）建设项目、遂宁市安居区安居时光里文旅商业街建设项目、遂宁市安居区游客集散中心、遂宁市安居区拦江国家级特色小镇建设项目、遂宁市安居区竹产业高质量生态发展园区示范项目、遂宁市安居区莲花湖水库生态渔业养殖休闲观光项目、遂宁市安居区禅月湖-卧佛院旅游景区、遂宁市安居区三仙湖旅游度假区、遂宁市安居区黄峨古镇文旅综合体、遂宁市安居区七彩明珠4A级景区提升建设项目、琼江源国家级水利风景区、遂宁市安居区地心大峡谷风景区、遂宁市安居区西城文旅产业园等。</w:t>
            </w:r>
          </w:p>
          <w:p>
            <w:pPr>
              <w:spacing w:line="36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教育体育产业建设重点</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遂宁市安居区职业高级中学产教融合项目、遂潼职业教育中心和产教融合示范园区等。</w:t>
            </w:r>
          </w:p>
          <w:p>
            <w:pPr>
              <w:spacing w:line="36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健康养老产业建设</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中信正业健康医疗养老项目、遂宁市安居区家政服务培训中心建设项目、遂宁市安居区道地中药材基地、遂宁市安居区人民医院康养中心建设项目、遂宁市安潼老年康养中心、遂宁市安居区中药文化特色产业园、遂宁市安居区紧密型县域医疗卫生共同体网络信息化建设项目等。</w:t>
            </w:r>
          </w:p>
          <w:p>
            <w:pPr>
              <w:spacing w:line="360" w:lineRule="exact"/>
              <w:ind w:firstLine="482" w:firstLineChars="200"/>
              <w:rPr>
                <w:rFonts w:ascii="Times New Roman" w:hAnsi="Times New Roman" w:eastAsia="仿宋_GB2312" w:cs="Times New Roman"/>
                <w:sz w:val="24"/>
                <w:szCs w:val="21"/>
              </w:rPr>
            </w:pPr>
            <w:r>
              <w:rPr>
                <w:rFonts w:ascii="Times New Roman" w:hAnsi="Times New Roman" w:eastAsia="仿宋_GB2312" w:cs="Times New Roman"/>
                <w:b/>
                <w:sz w:val="24"/>
                <w:szCs w:val="21"/>
              </w:rPr>
              <w:t>电子商务建设重点</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遂宁市安居区电商直播流量基地、遂宁市安居区智慧农贸市场综合体等。</w:t>
            </w:r>
          </w:p>
          <w:p>
            <w:pPr>
              <w:spacing w:line="360" w:lineRule="exact"/>
              <w:ind w:firstLine="482" w:firstLineChars="200"/>
              <w:rPr>
                <w:rFonts w:ascii="Times New Roman" w:hAnsi="Times New Roman" w:eastAsia="仿宋_GB2312" w:cs="Times New Roman"/>
                <w:sz w:val="28"/>
                <w:szCs w:val="28"/>
              </w:rPr>
            </w:pPr>
            <w:r>
              <w:rPr>
                <w:rFonts w:ascii="Times New Roman" w:hAnsi="Times New Roman" w:eastAsia="仿宋_GB2312" w:cs="Times New Roman"/>
                <w:b/>
                <w:sz w:val="24"/>
                <w:szCs w:val="21"/>
              </w:rPr>
              <w:t>现代物流产业建设重点</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丫丫宝食品西南（安居）仓储冷链物流基地项目、遂宁市安居区冷链物流建设项目、遂宁市安居区智慧仓储建设项目、遂宁市安居区物流集散（配送、投递）中心等。</w:t>
            </w:r>
          </w:p>
        </w:tc>
      </w:tr>
      <w:bookmarkEnd w:id="85"/>
      <w:bookmarkEnd w:id="86"/>
      <w:bookmarkEnd w:id="87"/>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88" w:name="_Toc23733"/>
      <w:bookmarkStart w:id="89" w:name="_Toc21301"/>
      <w:bookmarkStart w:id="90" w:name="_Toc65153182"/>
      <w:bookmarkStart w:id="91" w:name="_Toc15777"/>
      <w:r>
        <w:rPr>
          <w:rFonts w:hint="eastAsia" w:ascii="方正黑体简体" w:hAnsi="方正黑体简体" w:eastAsia="方正黑体简体" w:cs="方正黑体简体"/>
          <w:b w:val="0"/>
          <w:bCs w:val="0"/>
        </w:rPr>
        <w:t>第十五章 加快培育数字经济</w:t>
      </w:r>
      <w:bookmarkEnd w:id="88"/>
      <w:bookmarkEnd w:id="89"/>
      <w:bookmarkEnd w:id="90"/>
      <w:bookmarkEnd w:id="9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超前布局数字基础设施</w:t>
      </w:r>
    </w:p>
    <w:p>
      <w:pPr>
        <w:spacing w:line="520" w:lineRule="exact"/>
        <w:ind w:firstLine="560" w:firstLineChars="200"/>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加快布局</w:t>
      </w:r>
      <w:r>
        <w:rPr>
          <w:rFonts w:ascii="Times New Roman" w:hAnsi="Times New Roman" w:eastAsia="仿宋_GB2312" w:cs="Times New Roman"/>
          <w:color w:val="000000"/>
          <w:sz w:val="28"/>
          <w:szCs w:val="28"/>
        </w:rPr>
        <w:t>5G</w:t>
      </w:r>
      <w:r>
        <w:rPr>
          <w:rFonts w:hint="eastAsia" w:ascii="Times New Roman" w:hAnsi="Times New Roman" w:eastAsia="仿宋_GB2312" w:cs="Times New Roman"/>
          <w:color w:val="000000"/>
          <w:sz w:val="28"/>
          <w:szCs w:val="28"/>
        </w:rPr>
        <w:t>、云计算、大数据中心、人工智能、工业互联网、传感终端等新型数字基础设施。规划新一代人工智能等未来产业，大力发展高端数控机床和工业机器人产业。</w:t>
      </w:r>
      <w:r>
        <w:rPr>
          <w:rFonts w:ascii="Times New Roman" w:hAnsi="Times New Roman" w:eastAsia="仿宋_GB2312" w:cs="Times New Roman"/>
          <w:color w:val="000000"/>
          <w:sz w:val="28"/>
          <w:szCs w:val="28"/>
        </w:rPr>
        <w:t>推进5G在</w:t>
      </w:r>
      <w:r>
        <w:rPr>
          <w:rFonts w:ascii="Times New Roman" w:hAnsi="Times New Roman" w:eastAsia="仿宋_GB2312" w:cs="Times New Roman"/>
          <w:bCs/>
          <w:sz w:val="28"/>
          <w:szCs w:val="28"/>
        </w:rPr>
        <w:t>锂电及新材料</w:t>
      </w:r>
      <w:r>
        <w:rPr>
          <w:rFonts w:ascii="Times New Roman" w:hAnsi="Times New Roman" w:eastAsia="仿宋_GB2312" w:cs="Times New Roman"/>
          <w:sz w:val="28"/>
          <w:szCs w:val="28"/>
        </w:rPr>
        <w:t>、</w:t>
      </w:r>
      <w:r>
        <w:rPr>
          <w:rFonts w:ascii="Times New Roman" w:hAnsi="Times New Roman" w:eastAsia="仿宋_GB2312" w:cs="Times New Roman"/>
          <w:bCs/>
          <w:sz w:val="28"/>
          <w:szCs w:val="28"/>
        </w:rPr>
        <w:t>汽车</w:t>
      </w:r>
      <w:r>
        <w:rPr>
          <w:rFonts w:hint="eastAsia" w:ascii="Times New Roman" w:hAnsi="Times New Roman" w:eastAsia="仿宋_GB2312" w:cs="Times New Roman"/>
          <w:bCs/>
          <w:sz w:val="28"/>
          <w:szCs w:val="28"/>
        </w:rPr>
        <w:t>与</w:t>
      </w:r>
      <w:r>
        <w:rPr>
          <w:rFonts w:ascii="Times New Roman" w:hAnsi="Times New Roman" w:eastAsia="仿宋_GB2312" w:cs="Times New Roman"/>
          <w:bCs/>
          <w:sz w:val="28"/>
          <w:szCs w:val="28"/>
        </w:rPr>
        <w:t>装备制造</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天然气</w:t>
      </w:r>
      <w:r>
        <w:rPr>
          <w:rFonts w:ascii="Times New Roman" w:hAnsi="Times New Roman" w:eastAsia="仿宋_GB2312" w:cs="Times New Roman"/>
          <w:bCs/>
          <w:sz w:val="28"/>
          <w:szCs w:val="28"/>
        </w:rPr>
        <w:t>清洁能源、通航</w:t>
      </w:r>
      <w:r>
        <w:rPr>
          <w:rFonts w:hint="eastAsia" w:ascii="Times New Roman" w:hAnsi="Times New Roman" w:eastAsia="仿宋_GB2312" w:cs="Times New Roman"/>
          <w:bCs/>
          <w:sz w:val="28"/>
          <w:szCs w:val="28"/>
        </w:rPr>
        <w:t>配套服务</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食品及特色消费品</w:t>
      </w:r>
      <w:r>
        <w:rPr>
          <w:rFonts w:ascii="Times New Roman" w:hAnsi="Times New Roman" w:eastAsia="仿宋_GB2312" w:cs="Times New Roman"/>
          <w:color w:val="000000"/>
          <w:sz w:val="28"/>
          <w:szCs w:val="28"/>
        </w:rPr>
        <w:t>五大</w:t>
      </w:r>
      <w:r>
        <w:rPr>
          <w:rFonts w:hint="eastAsia" w:ascii="Times New Roman" w:hAnsi="Times New Roman" w:eastAsia="仿宋_GB2312" w:cs="Times New Roman"/>
          <w:color w:val="000000"/>
          <w:sz w:val="28"/>
          <w:szCs w:val="28"/>
        </w:rPr>
        <w:t>现代工业产业</w:t>
      </w:r>
      <w:r>
        <w:rPr>
          <w:rFonts w:ascii="Times New Roman" w:hAnsi="Times New Roman" w:eastAsia="仿宋_GB2312" w:cs="Times New Roman"/>
          <w:color w:val="000000"/>
          <w:sz w:val="28"/>
          <w:szCs w:val="28"/>
        </w:rPr>
        <w:t>的智能化生产过程应用</w:t>
      </w:r>
      <w:r>
        <w:rPr>
          <w:rFonts w:hint="eastAsia" w:ascii="Times New Roman" w:hAnsi="Times New Roman" w:eastAsia="仿宋_GB2312" w:cs="Times New Roman"/>
          <w:color w:val="000000"/>
          <w:sz w:val="28"/>
          <w:szCs w:val="28"/>
        </w:rPr>
        <w:t>。</w:t>
      </w:r>
      <w:r>
        <w:rPr>
          <w:rFonts w:ascii="Times New Roman" w:hAnsi="Times New Roman" w:eastAsia="仿宋_GB2312" w:cs="Times New Roman"/>
          <w:color w:val="000000"/>
          <w:sz w:val="28"/>
          <w:szCs w:val="28"/>
        </w:rPr>
        <w:t>重点建设安居区</w:t>
      </w:r>
      <w:r>
        <w:rPr>
          <w:rFonts w:ascii="Times New Roman" w:hAnsi="Times New Roman" w:eastAsia="仿宋_GB2312" w:cs="Times New Roman"/>
          <w:sz w:val="28"/>
          <w:szCs w:val="28"/>
        </w:rPr>
        <w:t>5G产业园、工业数字化应用等项目</w:t>
      </w:r>
      <w:r>
        <w:rPr>
          <w:rFonts w:ascii="Times New Roman" w:hAnsi="Times New Roman" w:eastAsia="仿宋_GB2312" w:cs="Times New Roman"/>
          <w:color w:val="000000"/>
          <w:sz w:val="28"/>
          <w:szCs w:val="28"/>
        </w:rPr>
        <w:t>，提高网络覆盖深度和广度。开展5G在智慧城管、智慧教育、智慧</w:t>
      </w:r>
      <w:r>
        <w:rPr>
          <w:rFonts w:hint="eastAsia" w:ascii="Times New Roman" w:hAnsi="Times New Roman" w:eastAsia="仿宋_GB2312" w:cs="Times New Roman"/>
          <w:color w:val="000000"/>
          <w:sz w:val="28"/>
          <w:szCs w:val="28"/>
        </w:rPr>
        <w:t>医疗</w:t>
      </w:r>
      <w:r>
        <w:rPr>
          <w:rFonts w:ascii="Times New Roman" w:hAnsi="Times New Roman" w:eastAsia="仿宋_GB2312" w:cs="Times New Roman"/>
          <w:color w:val="000000"/>
          <w:sz w:val="28"/>
          <w:szCs w:val="28"/>
        </w:rPr>
        <w:t>等场景的示范应用建设</w:t>
      </w:r>
      <w:r>
        <w:rPr>
          <w:rFonts w:hint="eastAsia" w:ascii="Times New Roman" w:hAnsi="Times New Roman" w:eastAsia="仿宋_GB2312" w:cs="Times New Roman"/>
          <w:color w:val="000000"/>
          <w:sz w:val="28"/>
          <w:szCs w:val="28"/>
        </w:rPr>
        <w:t>。积极融入</w:t>
      </w:r>
      <w:r>
        <w:rPr>
          <w:rFonts w:ascii="Times New Roman" w:hAnsi="Times New Roman" w:eastAsia="仿宋_GB2312" w:cs="Times New Roman"/>
          <w:color w:val="000000"/>
          <w:sz w:val="28"/>
          <w:szCs w:val="28"/>
        </w:rPr>
        <w:t>成渝</w:t>
      </w:r>
      <w:r>
        <w:rPr>
          <w:rFonts w:hint="eastAsia" w:ascii="Times New Roman" w:hAnsi="Times New Roman" w:eastAsia="仿宋_GB2312" w:cs="Times New Roman"/>
          <w:color w:val="000000"/>
          <w:sz w:val="28"/>
          <w:szCs w:val="28"/>
        </w:rPr>
        <w:t>地区</w:t>
      </w:r>
      <w:r>
        <w:rPr>
          <w:rFonts w:ascii="Times New Roman" w:hAnsi="Times New Roman" w:eastAsia="仿宋_GB2312" w:cs="Times New Roman"/>
          <w:color w:val="000000"/>
          <w:sz w:val="28"/>
          <w:szCs w:val="28"/>
        </w:rPr>
        <w:t>双城经济圈高速网络通道，统筹宽带有线网络、移动通信网络、无线局域网协调发展，大力提升网络基础设施</w:t>
      </w:r>
      <w:r>
        <w:rPr>
          <w:rFonts w:hint="eastAsia" w:ascii="Times New Roman" w:hAnsi="Times New Roman" w:eastAsia="仿宋_GB2312" w:cs="Times New Roman"/>
          <w:color w:val="000000"/>
          <w:sz w:val="28"/>
          <w:szCs w:val="28"/>
        </w:rPr>
        <w:t>支撑</w:t>
      </w:r>
      <w:r>
        <w:rPr>
          <w:rFonts w:ascii="Times New Roman" w:hAnsi="Times New Roman" w:eastAsia="仿宋_GB2312" w:cs="Times New Roman"/>
          <w:color w:val="000000"/>
          <w:sz w:val="28"/>
          <w:szCs w:val="28"/>
        </w:rPr>
        <w:t>能力。进一步扩大无线局域网重要公共区域热点覆盖，引导企业开展光纤进村和宽带惠农工作，</w:t>
      </w:r>
      <w:r>
        <w:rPr>
          <w:rFonts w:hint="eastAsia" w:ascii="Times New Roman" w:hAnsi="Times New Roman" w:eastAsia="仿宋_GB2312" w:cs="Times New Roman"/>
          <w:color w:val="000000"/>
          <w:sz w:val="28"/>
          <w:szCs w:val="28"/>
        </w:rPr>
        <w:t>同步提升农村地区带宽</w:t>
      </w:r>
      <w:r>
        <w:rPr>
          <w:rFonts w:ascii="Times New Roman" w:hAnsi="Times New Roman" w:eastAsia="仿宋_GB2312" w:cs="Times New Roman"/>
          <w:color w:val="000000"/>
          <w:sz w:val="28"/>
          <w:szCs w:val="28"/>
        </w:rPr>
        <w:t>。</w:t>
      </w:r>
    </w:p>
    <w:p>
      <w:pPr>
        <w:spacing w:line="520" w:lineRule="exact"/>
        <w:jc w:val="center"/>
        <w:outlineLvl w:val="2"/>
        <w:rPr>
          <w:rFonts w:hint="eastAsia" w:ascii="楷体_GB2312" w:hAnsi="楷体_GB2312" w:eastAsia="楷体_GB2312" w:cs="楷体_GB2312"/>
          <w:b/>
          <w:bCs w:val="0"/>
          <w:sz w:val="28"/>
          <w:szCs w:val="28"/>
        </w:rPr>
      </w:pPr>
      <w:r>
        <w:rPr>
          <w:rFonts w:hint="eastAsia" w:ascii="楷体_GB2312" w:hAnsi="楷体_GB2312" w:eastAsia="楷体_GB2312" w:cs="楷体_GB2312"/>
          <w:b/>
          <w:sz w:val="28"/>
          <w:szCs w:val="28"/>
        </w:rPr>
        <w:t>第二节 推进产业数字化转型</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bCs/>
          <w:sz w:val="28"/>
          <w:szCs w:val="28"/>
        </w:rPr>
        <w:t>推动工业、农业、服务业等领域数字化转型，支持龙头企业搭建网络化协同平台，推动农业机械设备和生产设施实现智能化改造，推进智慧物流现代化发展，建成全域智慧文旅管理、营销、服务体系。</w:t>
      </w:r>
      <w:r>
        <w:rPr>
          <w:rFonts w:ascii="Times New Roman" w:hAnsi="Times New Roman" w:eastAsia="仿宋_GB2312" w:cs="Times New Roman"/>
          <w:sz w:val="28"/>
          <w:szCs w:val="28"/>
        </w:rPr>
        <w:t>开发数字景区、数字博物馆、线上演艺等新产品，提升文博游、民俗游、研学游、工业游等文化体验和沉浸式体验。实施文化信息资源共享工程、数字图书馆推广工程、公共电子阅览室建设计划、数字博物馆、数字文化馆等公共文化数字工程，打造全民阅读、全民艺术普及、中华优秀传统文化数字化、文化精准扶贫、旅游集散、咨询服务等一体化发展的数字资源服务体系。</w:t>
      </w:r>
      <w:r>
        <w:rPr>
          <w:rFonts w:ascii="Times New Roman" w:hAnsi="Times New Roman" w:eastAsia="仿宋_GB2312" w:cs="Times New Roman"/>
          <w:bCs/>
          <w:sz w:val="28"/>
          <w:szCs w:val="28"/>
        </w:rPr>
        <w:t>积极发展线上消费、线上服务、线上管理，培育智能化新产品、新模式、新职业，以新供给满足新需求。支持鼓励银行、保险、基金等发展互联网金融、大数据金融、移动金融、供应链金融等新金融业态。推进数字产业化和产业数字化，促进数字经济和实体经济深度融合，</w:t>
      </w:r>
      <w:r>
        <w:rPr>
          <w:rFonts w:ascii="Times New Roman" w:hAnsi="Times New Roman" w:eastAsia="仿宋_GB2312" w:cs="Times New Roman"/>
          <w:sz w:val="28"/>
          <w:szCs w:val="28"/>
        </w:rPr>
        <w:t>在大数据产业和互联网企业挖掘培育方面补齐短板。进一步完善基础设施数字化建设，大力引进国内数字经济龙头企业，建设发展大数据产业基地。</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加快城市数字化建设</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加快智慧城市建设，大力发展智慧政务、智慧交通、智慧园区和智慧社区等智能化应用，打造“城市大脑”和“政务中枢”。推动数字政府建设，打造政府数据统一共享开放平台，重点建设一批数字化促进中心、工业互联网平台、产学研协同创新平台。建设智慧城市运营中心，加快信息资源整合、共享和利用，实现政务流程优化和业务协同。深入推进智慧规划应用、智慧社会治理、智慧民生服务、智慧科教文化、智慧环境应用等体系建设，推动信息技术在城市规划、建设和治理中的深度应用，搭建智慧教育“云”平台，建设文化数字云和公共数字文化网络，构建智慧养老信息服务平台。推进平安智慧小区建设，打造统一的社区公共服务综合信息平台，促进智能安防系统的安装和使用，推动社区防控现代化、精细化。</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adjustRightInd w:val="0"/>
              <w:snapToGrid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b/>
                <w:bCs/>
                <w:sz w:val="24"/>
                <w:szCs w:val="21"/>
              </w:rPr>
              <w:t>专栏4-4  数字经济建设重点领域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00" w:lineRule="exact"/>
              <w:ind w:firstLine="482" w:firstLineChars="200"/>
              <w:rPr>
                <w:rFonts w:ascii="Times New Roman" w:hAnsi="Times New Roman" w:eastAsia="仿宋_GB2312" w:cs="Times New Roman"/>
                <w:b/>
                <w:sz w:val="24"/>
                <w:szCs w:val="21"/>
              </w:rPr>
            </w:pPr>
            <w:r>
              <w:rPr>
                <w:rFonts w:ascii="Times New Roman" w:hAnsi="Times New Roman" w:eastAsia="仿宋_GB2312" w:cs="Times New Roman"/>
                <w:b/>
                <w:sz w:val="24"/>
                <w:szCs w:val="21"/>
              </w:rPr>
              <w:t>数字基础设施</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编制出台基站规划方案，推进基站选址、电力引接、管道及传输机房建设等工作，在城区及各镇建设5G通信基站600个、换电柜等配套设施。</w:t>
            </w:r>
          </w:p>
          <w:p>
            <w:pPr>
              <w:spacing w:line="400" w:lineRule="exact"/>
              <w:ind w:firstLine="482" w:firstLineChars="200"/>
              <w:rPr>
                <w:rFonts w:ascii="Times New Roman" w:hAnsi="Times New Roman" w:eastAsia="仿宋_GB2312" w:cs="Times New Roman"/>
                <w:b/>
                <w:sz w:val="24"/>
                <w:szCs w:val="21"/>
              </w:rPr>
            </w:pPr>
            <w:r>
              <w:rPr>
                <w:rFonts w:ascii="Times New Roman" w:hAnsi="Times New Roman" w:eastAsia="仿宋_GB2312" w:cs="Times New Roman"/>
                <w:b/>
                <w:sz w:val="24"/>
                <w:szCs w:val="21"/>
              </w:rPr>
              <w:t>产业数字化转型</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大力发展工业互联网，建立大数据服务中心，推进工业化和信息化融合，利用大数据发展人工智能产业，推动企业智能化生产线改造升级。推进安居区5G产业园建设。</w:t>
            </w:r>
          </w:p>
          <w:p>
            <w:pPr>
              <w:spacing w:line="400" w:lineRule="exact"/>
              <w:ind w:firstLine="482" w:firstLineChars="200"/>
              <w:rPr>
                <w:rFonts w:ascii="Times New Roman" w:hAnsi="Times New Roman" w:eastAsia="仿宋_GB2312" w:cs="Times New Roman"/>
                <w:sz w:val="28"/>
                <w:szCs w:val="28"/>
              </w:rPr>
            </w:pPr>
            <w:r>
              <w:rPr>
                <w:rFonts w:ascii="Times New Roman" w:hAnsi="Times New Roman" w:eastAsia="仿宋_GB2312" w:cs="Times New Roman"/>
                <w:b/>
                <w:sz w:val="24"/>
                <w:szCs w:val="21"/>
              </w:rPr>
              <w:t>城市数字化建设</w:t>
            </w:r>
            <w:r>
              <w:rPr>
                <w:rFonts w:hint="eastAsia" w:ascii="Times New Roman" w:hAnsi="Times New Roman" w:eastAsia="仿宋_GB2312" w:cs="Times New Roman"/>
                <w:b/>
                <w:sz w:val="24"/>
                <w:szCs w:val="21"/>
              </w:rPr>
              <w:t>：</w:t>
            </w:r>
            <w:r>
              <w:rPr>
                <w:rFonts w:ascii="Times New Roman" w:hAnsi="Times New Roman" w:eastAsia="仿宋_GB2312" w:cs="Times New Roman"/>
                <w:sz w:val="24"/>
                <w:szCs w:val="21"/>
              </w:rPr>
              <w:t>重点建设智慧城管平台，推进安居云医院和健康大数据建设，建设科技云政务和服务平台，旅游综合信息服务平台，</w:t>
            </w:r>
            <w:r>
              <w:rPr>
                <w:rFonts w:ascii="Times New Roman" w:hAnsi="Times New Roman" w:eastAsia="仿宋_GB2312" w:cs="Times New Roman"/>
                <w:color w:val="000000"/>
                <w:sz w:val="24"/>
                <w:szCs w:val="21"/>
              </w:rPr>
              <w:t>支持搭建智慧教育“云”平台，建设文化数字云和公共数字文化网络，构建智慧养老信息服务平台，丰富智能养老服务产品供给，打造统一的社区公共服务综合信息平台，建设能源综合管理服务平台等。</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92" w:name="_Toc31372"/>
      <w:bookmarkStart w:id="93" w:name="_Toc65153183"/>
      <w:bookmarkStart w:id="94" w:name="_Toc9030"/>
      <w:bookmarkStart w:id="95" w:name="_Toc24521"/>
      <w:r>
        <w:rPr>
          <w:rFonts w:hint="eastAsia" w:ascii="方正黑体简体" w:hAnsi="方正黑体简体" w:eastAsia="方正黑体简体" w:cs="方正黑体简体"/>
          <w:b w:val="0"/>
          <w:bCs w:val="0"/>
        </w:rPr>
        <w:t>第十六章 切实提升园区承载能力</w:t>
      </w:r>
      <w:bookmarkEnd w:id="92"/>
      <w:bookmarkEnd w:id="93"/>
      <w:bookmarkEnd w:id="94"/>
      <w:bookmarkEnd w:id="95"/>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大力支持经开区扩区拓园</w:t>
      </w:r>
    </w:p>
    <w:p>
      <w:pPr>
        <w:spacing w:line="520" w:lineRule="exact"/>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支持把安居经济开发区作为遂潼涪江创新产业园区的启动区，推进安居经开区扩区拓园</w:t>
      </w:r>
      <w:r>
        <w:rPr>
          <w:rFonts w:ascii="Times New Roman" w:hAnsi="Times New Roman" w:eastAsia="仿宋_GB2312" w:cs="Times New Roman"/>
          <w:bCs/>
          <w:sz w:val="28"/>
          <w:szCs w:val="28"/>
        </w:rPr>
        <w:t>。拓展土地供给能力，</w:t>
      </w:r>
      <w:r>
        <w:rPr>
          <w:rFonts w:hint="eastAsia" w:ascii="Times New Roman" w:hAnsi="Times New Roman" w:eastAsia="仿宋_GB2312" w:cs="Times New Roman"/>
          <w:bCs/>
          <w:sz w:val="28"/>
          <w:szCs w:val="28"/>
        </w:rPr>
        <w:t>提倡土地集约化利用，</w:t>
      </w:r>
      <w:r>
        <w:rPr>
          <w:rFonts w:ascii="Times New Roman" w:hAnsi="Times New Roman" w:eastAsia="仿宋_GB2312" w:cs="Times New Roman"/>
          <w:bCs/>
          <w:sz w:val="28"/>
          <w:szCs w:val="28"/>
        </w:rPr>
        <w:t>以供给调节建设用地总需求，保障项目用地和土地供应，年度建设用地供应计划优先保障园区用地，优先安排重大项目建设所需的新增用地计划。</w:t>
      </w:r>
      <w:r>
        <w:rPr>
          <w:rFonts w:hint="eastAsia" w:ascii="Times New Roman" w:hAnsi="Times New Roman" w:eastAsia="仿宋_GB2312" w:cs="Times New Roman"/>
          <w:bCs/>
          <w:sz w:val="28"/>
          <w:szCs w:val="28"/>
        </w:rPr>
        <w:t>有序推进园区征地拆迁、整合置换低效和闲置用地，</w:t>
      </w:r>
      <w:r>
        <w:rPr>
          <w:rFonts w:ascii="Times New Roman" w:hAnsi="Times New Roman" w:eastAsia="仿宋_GB2312" w:cs="Times New Roman"/>
          <w:bCs/>
          <w:sz w:val="28"/>
          <w:szCs w:val="28"/>
        </w:rPr>
        <w:t>通过依法转让、协议置换、限期开发、协商共建、协商收回等形式，</w:t>
      </w:r>
      <w:r>
        <w:rPr>
          <w:rFonts w:hint="eastAsia" w:ascii="Times New Roman" w:hAnsi="Times New Roman" w:eastAsia="仿宋_GB2312" w:cs="Times New Roman"/>
          <w:bCs/>
          <w:sz w:val="28"/>
          <w:szCs w:val="28"/>
        </w:rPr>
        <w:t>大力</w:t>
      </w:r>
      <w:r>
        <w:rPr>
          <w:rFonts w:ascii="Times New Roman" w:hAnsi="Times New Roman" w:eastAsia="仿宋_GB2312" w:cs="Times New Roman"/>
          <w:bCs/>
          <w:sz w:val="28"/>
          <w:szCs w:val="28"/>
        </w:rPr>
        <w:t>推进土地二次开发。严格项目准入，严控能耗高、土地耗用多、投入产出率低的项目，</w:t>
      </w:r>
      <w:r>
        <w:rPr>
          <w:rFonts w:hint="eastAsia" w:ascii="Times New Roman" w:hAnsi="Times New Roman" w:eastAsia="仿宋_GB2312" w:cs="Times New Roman"/>
          <w:bCs/>
          <w:sz w:val="28"/>
          <w:szCs w:val="28"/>
        </w:rPr>
        <w:t>着力推进符合主导产业发展方向、投资密度大、高税收高附加值的项目入园。</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不断提升经开区发展能级</w:t>
      </w:r>
    </w:p>
    <w:p>
      <w:pPr>
        <w:spacing w:line="520" w:lineRule="exact"/>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借鉴国家级遂宁经济技术开发区、省级遂宁高新技术产业开发区直管区政策和发展模式，联合</w:t>
      </w:r>
      <w:r>
        <w:rPr>
          <w:rFonts w:ascii="Times New Roman" w:hAnsi="Times New Roman" w:eastAsia="仿宋_GB2312" w:cs="Times New Roman"/>
          <w:bCs/>
          <w:sz w:val="28"/>
          <w:szCs w:val="28"/>
        </w:rPr>
        <w:t>遂宁高新区共同创建国家</w:t>
      </w:r>
      <w:r>
        <w:rPr>
          <w:rFonts w:hint="eastAsia" w:ascii="Times New Roman" w:hAnsi="Times New Roman" w:eastAsia="仿宋_GB2312" w:cs="Times New Roman"/>
          <w:bCs/>
          <w:sz w:val="28"/>
          <w:szCs w:val="28"/>
        </w:rPr>
        <w:t>级</w:t>
      </w:r>
      <w:r>
        <w:rPr>
          <w:rFonts w:ascii="Times New Roman" w:hAnsi="Times New Roman" w:eastAsia="仿宋_GB2312" w:cs="Times New Roman"/>
          <w:bCs/>
          <w:sz w:val="28"/>
          <w:szCs w:val="28"/>
        </w:rPr>
        <w:t>高新区</w:t>
      </w:r>
      <w:r>
        <w:rPr>
          <w:rFonts w:hint="eastAsia" w:ascii="Times New Roman" w:hAnsi="Times New Roman" w:eastAsia="仿宋_GB2312" w:cs="Times New Roman"/>
          <w:bCs/>
          <w:sz w:val="28"/>
          <w:szCs w:val="28"/>
        </w:rPr>
        <w:t>。</w:t>
      </w:r>
      <w:r>
        <w:rPr>
          <w:rFonts w:ascii="Times New Roman" w:hAnsi="Times New Roman" w:eastAsia="仿宋_GB2312" w:cs="Times New Roman"/>
          <w:bCs/>
          <w:sz w:val="28"/>
          <w:szCs w:val="28"/>
        </w:rPr>
        <w:t>强化产业园区规划与</w:t>
      </w:r>
      <w:r>
        <w:rPr>
          <w:rFonts w:hint="eastAsia" w:ascii="Times New Roman" w:hAnsi="Times New Roman" w:eastAsia="仿宋_GB2312" w:cs="Times New Roman"/>
          <w:bCs/>
          <w:sz w:val="28"/>
          <w:szCs w:val="28"/>
        </w:rPr>
        <w:t>国土</w:t>
      </w:r>
      <w:r>
        <w:rPr>
          <w:rFonts w:ascii="Times New Roman" w:hAnsi="Times New Roman" w:eastAsia="仿宋_GB2312" w:cs="Times New Roman"/>
          <w:bCs/>
          <w:sz w:val="28"/>
          <w:szCs w:val="28"/>
        </w:rPr>
        <w:t>空间规划等规划衔接，</w:t>
      </w:r>
      <w:r>
        <w:rPr>
          <w:rFonts w:hint="eastAsia" w:ascii="Times New Roman" w:hAnsi="Times New Roman" w:eastAsia="仿宋_GB2312" w:cs="Times New Roman"/>
          <w:bCs/>
          <w:sz w:val="28"/>
          <w:szCs w:val="28"/>
        </w:rPr>
        <w:t>持续</w:t>
      </w:r>
      <w:r>
        <w:rPr>
          <w:rFonts w:ascii="Times New Roman" w:hAnsi="Times New Roman" w:eastAsia="仿宋_GB2312" w:cs="Times New Roman"/>
          <w:bCs/>
          <w:sz w:val="28"/>
          <w:szCs w:val="28"/>
        </w:rPr>
        <w:t>优化“一区四园”</w:t>
      </w:r>
      <w:r>
        <w:rPr>
          <w:rFonts w:hint="eastAsia" w:ascii="Times New Roman" w:hAnsi="Times New Roman" w:eastAsia="仿宋_GB2312" w:cs="Times New Roman"/>
          <w:bCs/>
          <w:sz w:val="28"/>
          <w:szCs w:val="28"/>
        </w:rPr>
        <w:t>的</w:t>
      </w:r>
      <w:r>
        <w:rPr>
          <w:rFonts w:ascii="Times New Roman" w:hAnsi="Times New Roman" w:eastAsia="仿宋_GB2312" w:cs="Times New Roman"/>
          <w:bCs/>
          <w:sz w:val="28"/>
          <w:szCs w:val="28"/>
        </w:rPr>
        <w:t>空间格局</w:t>
      </w:r>
      <w:r>
        <w:rPr>
          <w:rFonts w:hint="eastAsia" w:ascii="Times New Roman" w:hAnsi="Times New Roman" w:eastAsia="仿宋_GB2312" w:cs="Times New Roman"/>
          <w:bCs/>
          <w:sz w:val="28"/>
          <w:szCs w:val="28"/>
        </w:rPr>
        <w:t>，进一步明晰</w:t>
      </w:r>
      <w:r>
        <w:rPr>
          <w:rFonts w:ascii="Times New Roman" w:hAnsi="Times New Roman" w:eastAsia="仿宋_GB2312" w:cs="Times New Roman"/>
          <w:bCs/>
          <w:sz w:val="28"/>
          <w:szCs w:val="28"/>
        </w:rPr>
        <w:t>锂电及新材料、汽车装备制造、天然气精细化工、食品工业等园区</w:t>
      </w:r>
      <w:r>
        <w:rPr>
          <w:rFonts w:hint="eastAsia" w:ascii="Times New Roman" w:hAnsi="Times New Roman" w:eastAsia="仿宋_GB2312" w:cs="Times New Roman"/>
          <w:bCs/>
          <w:sz w:val="28"/>
          <w:szCs w:val="28"/>
        </w:rPr>
        <w:t>的</w:t>
      </w:r>
      <w:r>
        <w:rPr>
          <w:rFonts w:ascii="Times New Roman" w:hAnsi="Times New Roman" w:eastAsia="仿宋_GB2312" w:cs="Times New Roman"/>
          <w:bCs/>
          <w:sz w:val="28"/>
          <w:szCs w:val="28"/>
        </w:rPr>
        <w:t>产业定位</w:t>
      </w:r>
      <w:r>
        <w:rPr>
          <w:rFonts w:hint="eastAsia" w:ascii="Times New Roman" w:hAnsi="Times New Roman" w:eastAsia="仿宋_GB2312" w:cs="Times New Roman"/>
          <w:bCs/>
          <w:sz w:val="28"/>
          <w:szCs w:val="28"/>
        </w:rPr>
        <w:t>和</w:t>
      </w:r>
      <w:r>
        <w:rPr>
          <w:rFonts w:ascii="Times New Roman" w:hAnsi="Times New Roman" w:eastAsia="仿宋_GB2312" w:cs="Times New Roman"/>
          <w:bCs/>
          <w:sz w:val="28"/>
          <w:szCs w:val="28"/>
        </w:rPr>
        <w:t>发展导向</w:t>
      </w:r>
      <w:r>
        <w:rPr>
          <w:rFonts w:hint="eastAsia" w:ascii="Times New Roman" w:hAnsi="Times New Roman" w:eastAsia="仿宋_GB2312" w:cs="Times New Roman"/>
          <w:bCs/>
          <w:sz w:val="28"/>
          <w:szCs w:val="28"/>
        </w:rPr>
        <w:t>。持续完善道路、供电、通讯、供水、排水、供气、供热等基础设施，推进龙眼井污水处理厂扩容提质，新建110Kv变电站建设，启动标准厂房二期建设等工程，有序开展园区场平和管网改造提升，优先推进5G的布网和应用。加快园区商业街、学校、医院、宿舍等生活服务配套设施建设和</w:t>
      </w:r>
      <w:r>
        <w:rPr>
          <w:rFonts w:ascii="Times New Roman" w:hAnsi="Times New Roman" w:eastAsia="仿宋_GB2312" w:cs="Times New Roman"/>
          <w:bCs/>
          <w:sz w:val="28"/>
          <w:szCs w:val="28"/>
        </w:rPr>
        <w:t>功能提升</w:t>
      </w:r>
      <w:r>
        <w:rPr>
          <w:rFonts w:hint="eastAsia" w:ascii="Times New Roman" w:hAnsi="Times New Roman" w:eastAsia="仿宋_GB2312" w:cs="Times New Roman"/>
          <w:bCs/>
          <w:sz w:val="28"/>
          <w:szCs w:val="28"/>
        </w:rPr>
        <w:t>，增强员工衣食住行、休闲娱乐、就医就学等需求优质供给。落实省市各项产业政策，加大招商引资力度，</w:t>
      </w:r>
      <w:r>
        <w:rPr>
          <w:rFonts w:ascii="Times New Roman" w:hAnsi="Times New Roman" w:eastAsia="仿宋_GB2312" w:cs="Times New Roman"/>
          <w:bCs/>
          <w:sz w:val="28"/>
          <w:szCs w:val="28"/>
        </w:rPr>
        <w:t>聚焦锂电及新材料、汽车与装备制造、天然气化工等重点领域，建立完善客商库、项目库和资源库，积极拓宽延伸补齐产业链，形成“策划一批、落地一批、推进一批、投产一批”接续有效的重大项目建设格局。依托成渝地区双城经济圈、遂潼一体化等战略，探索互利共赢的利益联结、跨区域承接产业转移协调等机制，创新“</w:t>
      </w:r>
      <w:r>
        <w:rPr>
          <w:rFonts w:hint="eastAsia" w:ascii="Times New Roman" w:hAnsi="Times New Roman" w:eastAsia="仿宋_GB2312" w:cs="Times New Roman"/>
          <w:bCs/>
          <w:sz w:val="28"/>
          <w:szCs w:val="28"/>
        </w:rPr>
        <w:t>飞地</w:t>
      </w:r>
      <w:r>
        <w:rPr>
          <w:rFonts w:ascii="Times New Roman" w:hAnsi="Times New Roman" w:eastAsia="仿宋_GB2312" w:cs="Times New Roman"/>
          <w:bCs/>
          <w:sz w:val="28"/>
          <w:szCs w:val="28"/>
        </w:rPr>
        <w:t>园区”“</w:t>
      </w:r>
      <w:r>
        <w:rPr>
          <w:rFonts w:hint="eastAsia" w:ascii="Times New Roman" w:hAnsi="Times New Roman" w:eastAsia="仿宋_GB2312" w:cs="Times New Roman"/>
          <w:bCs/>
          <w:sz w:val="28"/>
          <w:szCs w:val="28"/>
        </w:rPr>
        <w:t>合作</w:t>
      </w:r>
      <w:r>
        <w:rPr>
          <w:rFonts w:ascii="Times New Roman" w:hAnsi="Times New Roman" w:eastAsia="仿宋_GB2312" w:cs="Times New Roman"/>
          <w:bCs/>
          <w:sz w:val="28"/>
          <w:szCs w:val="28"/>
        </w:rPr>
        <w:t>建园”</w:t>
      </w:r>
      <w:r>
        <w:rPr>
          <w:rFonts w:hint="eastAsia" w:ascii="Times New Roman" w:hAnsi="Times New Roman" w:eastAsia="仿宋_GB2312" w:cs="Times New Roman"/>
          <w:bCs/>
          <w:sz w:val="28"/>
          <w:szCs w:val="28"/>
        </w:rPr>
        <w:t>等</w:t>
      </w:r>
      <w:r>
        <w:rPr>
          <w:rFonts w:ascii="Times New Roman" w:hAnsi="Times New Roman" w:eastAsia="仿宋_GB2312" w:cs="Times New Roman"/>
          <w:bCs/>
          <w:sz w:val="28"/>
          <w:szCs w:val="28"/>
        </w:rPr>
        <w:t>方式，加强与遂宁市其他工业园区与区县、成都、重庆、绵阳等地产业园区的区域合作</w:t>
      </w:r>
      <w:r>
        <w:rPr>
          <w:rFonts w:hint="eastAsia" w:ascii="Times New Roman" w:hAnsi="Times New Roman" w:eastAsia="仿宋_GB2312" w:cs="Times New Roman"/>
          <w:bCs/>
          <w:sz w:val="28"/>
          <w:szCs w:val="28"/>
        </w:rPr>
        <w:t>，</w:t>
      </w:r>
      <w:r>
        <w:rPr>
          <w:rFonts w:ascii="Times New Roman" w:hAnsi="Times New Roman" w:eastAsia="仿宋_GB2312" w:cs="Times New Roman"/>
          <w:bCs/>
          <w:sz w:val="28"/>
          <w:szCs w:val="28"/>
        </w:rPr>
        <w:t>推动政策叠加和服务体系共建。</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增强经开区管理服务效能</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进一步完善经开区独立运行机制，做到权责事相匹配，集中人力，集中精力，服务园区企业项目建设。加快构建有效的事中事后监管体系，探索审慎监管模式，破除限制新技术、新产品、新模式、新业态发展的制度障碍。深化投融资体制改革、税费改革、电力体制改革，完善市场化、社会化建园机制，建立多元的投资主体和投融资机制，通过争取工业园区产业发展专项资金、设立产业引导基金等形式，强化重点项目建设资金保障，帮助企业特别是中小企业降低融资、税费、物流、土地等成本负担。严格落实“五个一”工作机制，坚持重点项目协调推进机制，做到每月一调度，及时协调解决建设中的困难问题，确保项目快速推进。做好工业项目入库，及时制定投资入库计划表，明确每月入库任务，加大已达入库条件项目包装力度，确保项目及时入库。充分发挥项目秘书作用，完善公共服务网络，为园区企业提供“保姆式”服务，及时帮助园区企业解决用工、融资、运输等方面的问题。建设园区开放云平台，构建创新创业服务平台，加强政务数据、公共数据、社会数据融合，提升现有园区服务平台利用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adjustRightInd w:val="0"/>
              <w:snapToGrid w:val="0"/>
              <w:spacing w:line="400" w:lineRule="exact"/>
              <w:jc w:val="center"/>
              <w:rPr>
                <w:rFonts w:ascii="Times New Roman" w:hAnsi="Times New Roman" w:eastAsia="仿宋_GB2312" w:cs="Times New Roman"/>
                <w:sz w:val="28"/>
                <w:szCs w:val="28"/>
              </w:rPr>
            </w:pPr>
            <w:r>
              <w:rPr>
                <w:rFonts w:ascii="Times New Roman" w:hAnsi="Times New Roman" w:eastAsia="仿宋_GB2312" w:cs="Times New Roman"/>
                <w:b/>
                <w:bCs/>
                <w:sz w:val="24"/>
                <w:szCs w:val="24"/>
              </w:rPr>
              <w:t>专栏4-5  园区基础设施建设重点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供水排水设施</w:t>
            </w:r>
            <w:r>
              <w:rPr>
                <w:rFonts w:hint="eastAsia" w:ascii="Times New Roman" w:hAnsi="Times New Roman" w:eastAsia="仿宋_GB2312" w:cs="Times New Roman"/>
                <w:b/>
                <w:sz w:val="24"/>
                <w:szCs w:val="24"/>
              </w:rPr>
              <w:t>：</w:t>
            </w:r>
            <w:r>
              <w:rPr>
                <w:rFonts w:ascii="Times New Roman" w:hAnsi="Times New Roman" w:eastAsia="仿宋_GB2312" w:cs="Times New Roman"/>
                <w:sz w:val="24"/>
                <w:szCs w:val="24"/>
              </w:rPr>
              <w:t>安居经开区供排水管网改造等基础设施建设项目、安居经开区初期雨水收集处置系统、安居经开区龙眼井污水处理厂扩容及配套管网建设、安居经开区拓区扩园新建供排水项目等。</w:t>
            </w:r>
          </w:p>
          <w:p>
            <w:pPr>
              <w:adjustRightInd w:val="0"/>
              <w:snapToGrid w:val="0"/>
              <w:spacing w:line="400" w:lineRule="exact"/>
              <w:ind w:firstLine="482" w:firstLineChars="200"/>
              <w:rPr>
                <w:rFonts w:ascii="Times New Roman" w:hAnsi="Times New Roman" w:eastAsia="仿宋_GB2312" w:cs="Times New Roman"/>
                <w:sz w:val="24"/>
                <w:szCs w:val="24"/>
              </w:rPr>
            </w:pPr>
            <w:r>
              <w:rPr>
                <w:rFonts w:ascii="Times New Roman" w:hAnsi="Times New Roman" w:eastAsia="仿宋_GB2312" w:cs="Times New Roman"/>
                <w:b/>
                <w:sz w:val="24"/>
                <w:szCs w:val="24"/>
              </w:rPr>
              <w:t>市政道路</w:t>
            </w:r>
            <w:r>
              <w:rPr>
                <w:rFonts w:hint="eastAsia" w:ascii="Times New Roman" w:hAnsi="Times New Roman" w:eastAsia="仿宋_GB2312" w:cs="Times New Roman"/>
                <w:b/>
                <w:sz w:val="24"/>
                <w:szCs w:val="24"/>
              </w:rPr>
              <w:t>：</w:t>
            </w:r>
            <w:r>
              <w:rPr>
                <w:rFonts w:ascii="Times New Roman" w:hAnsi="Times New Roman" w:eastAsia="仿宋_GB2312" w:cs="Times New Roman"/>
                <w:sz w:val="24"/>
                <w:szCs w:val="24"/>
              </w:rPr>
              <w:t>安居经开区区间路网建设项目、安居经开区拓区扩园道路建设项目。</w:t>
            </w:r>
          </w:p>
          <w:p>
            <w:pPr>
              <w:adjustRightInd w:val="0"/>
              <w:snapToGrid w:val="0"/>
              <w:spacing w:line="400" w:lineRule="exact"/>
              <w:ind w:firstLine="482" w:firstLineChars="200"/>
              <w:rPr>
                <w:rFonts w:ascii="Times New Roman" w:hAnsi="Times New Roman" w:eastAsia="仿宋_GB2312" w:cs="Times New Roman"/>
                <w:sz w:val="28"/>
                <w:szCs w:val="28"/>
              </w:rPr>
            </w:pPr>
            <w:r>
              <w:rPr>
                <w:rFonts w:ascii="Times New Roman" w:hAnsi="Times New Roman" w:eastAsia="仿宋_GB2312" w:cs="Times New Roman"/>
                <w:b/>
                <w:sz w:val="24"/>
                <w:szCs w:val="24"/>
              </w:rPr>
              <w:t>其他市政建设</w:t>
            </w:r>
            <w:r>
              <w:rPr>
                <w:rFonts w:hint="eastAsia" w:ascii="Times New Roman" w:hAnsi="Times New Roman" w:eastAsia="仿宋_GB2312" w:cs="Times New Roman"/>
                <w:b/>
                <w:sz w:val="24"/>
                <w:szCs w:val="24"/>
              </w:rPr>
              <w:t>：</w:t>
            </w:r>
            <w:r>
              <w:rPr>
                <w:rFonts w:ascii="Times New Roman" w:hAnsi="Times New Roman" w:eastAsia="仿宋_GB2312" w:cs="Times New Roman"/>
                <w:sz w:val="24"/>
                <w:szCs w:val="24"/>
              </w:rPr>
              <w:t>安居经开区智慧园区建设项目、安居区锂电产业拓区扩园建设项目、安居经开区标准厂房建设项目、安居经开区配套商业综合体建设项目。</w:t>
            </w:r>
          </w:p>
        </w:tc>
      </w:tr>
    </w:tbl>
    <w:p>
      <w:pPr>
        <w:pStyle w:val="3"/>
        <w:spacing w:before="313" w:beforeLines="100" w:after="313" w:afterLines="100"/>
        <w:jc w:val="center"/>
        <w:rPr>
          <w:rFonts w:hint="eastAsia" w:ascii="Calibri" w:hAnsi="Calibri" w:eastAsia="方正小标宋简体"/>
          <w:sz w:val="32"/>
        </w:rPr>
      </w:pPr>
      <w:bookmarkStart w:id="96" w:name="_Toc1850"/>
      <w:bookmarkStart w:id="97" w:name="_Toc28404"/>
      <w:bookmarkStart w:id="98" w:name="_Toc65153184"/>
      <w:bookmarkStart w:id="99" w:name="_Toc10000"/>
      <w:r>
        <w:rPr>
          <w:rFonts w:hint="default" w:ascii="Calibri" w:hAnsi="Calibri" w:eastAsia="方正小标宋简体"/>
          <w:sz w:val="32"/>
        </w:rPr>
        <w:t>第五篇 推进乡村振兴，实现农业强区跨越式发展</w:t>
      </w:r>
      <w:bookmarkEnd w:id="96"/>
      <w:bookmarkEnd w:id="97"/>
      <w:bookmarkEnd w:id="98"/>
      <w:bookmarkEnd w:id="99"/>
    </w:p>
    <w:p>
      <w:pPr>
        <w:keepLines w:val="0"/>
        <w:spacing w:line="520" w:lineRule="exact"/>
        <w:ind w:firstLine="560" w:firstLineChars="200"/>
        <w:rPr>
          <w:rFonts w:ascii="Times New Roman" w:hAnsi="Times New Roman" w:eastAsia="仿宋_GB2312" w:cs="Times New Roman"/>
          <w:snapToGrid w:val="0"/>
          <w:kern w:val="0"/>
          <w:sz w:val="28"/>
          <w:szCs w:val="28"/>
        </w:rPr>
      </w:pPr>
      <w:r>
        <w:rPr>
          <w:rFonts w:hint="eastAsia" w:ascii="Times New Roman" w:hAnsi="Times New Roman" w:eastAsia="仿宋_GB2312" w:cs="Times New Roman"/>
          <w:snapToGrid w:val="0"/>
          <w:kern w:val="0"/>
          <w:sz w:val="28"/>
          <w:szCs w:val="28"/>
        </w:rPr>
        <w:t>实施“乡村振兴大升级”工程</w:t>
      </w:r>
      <w:r>
        <w:rPr>
          <w:rFonts w:hint="eastAsia" w:ascii="Times New Roman" w:hAnsi="Times New Roman" w:eastAsia="仿宋_GB2312" w:cs="Times New Roman"/>
          <w:snapToGrid w:val="0"/>
          <w:kern w:val="0"/>
          <w:sz w:val="28"/>
          <w:szCs w:val="28"/>
          <w:lang w:eastAsia="zh-CN"/>
        </w:rPr>
        <w:t>，</w:t>
      </w:r>
      <w:r>
        <w:rPr>
          <w:rFonts w:ascii="Times New Roman" w:hAnsi="Times New Roman" w:eastAsia="仿宋_GB2312" w:cs="Times New Roman"/>
          <w:snapToGrid w:val="0"/>
          <w:kern w:val="0"/>
          <w:sz w:val="28"/>
          <w:szCs w:val="28"/>
        </w:rPr>
        <w:t>优先发展农业农村，全面推进乡村振兴，加快发展“5+10”现代农业产业，加快形成工农互补、城乡互促、协调发展、共同繁荣的新型工农城乡关系，加快农业农村现代化，推动农业大区向农业强区跨越，</w:t>
      </w:r>
      <w:r>
        <w:rPr>
          <w:rFonts w:hint="eastAsia" w:ascii="Times New Roman" w:hAnsi="Times New Roman" w:eastAsia="仿宋_GB2312" w:cs="Times New Roman"/>
          <w:snapToGrid w:val="0"/>
          <w:kern w:val="0"/>
          <w:sz w:val="28"/>
          <w:szCs w:val="28"/>
          <w:lang w:val="en-US" w:eastAsia="zh-CN"/>
        </w:rPr>
        <w:t>全力打造全国乡村振兴样板地</w:t>
      </w:r>
      <w:r>
        <w:rPr>
          <w:rFonts w:ascii="Times New Roman" w:hAnsi="Times New Roman" w:eastAsia="仿宋_GB2312" w:cs="Times New Roman"/>
          <w:snapToGrid w:val="0"/>
          <w:kern w:val="0"/>
          <w:sz w:val="28"/>
          <w:szCs w:val="28"/>
        </w:rPr>
        <w:t>。</w:t>
      </w:r>
    </w:p>
    <w:p>
      <w:pPr>
        <w:pStyle w:val="4"/>
        <w:keepNext w:val="0"/>
        <w:keepLines w:val="0"/>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00" w:name="_Toc19229"/>
      <w:bookmarkStart w:id="101" w:name="_Toc16437"/>
      <w:bookmarkStart w:id="102" w:name="_Toc65153185"/>
      <w:bookmarkStart w:id="103" w:name="_Toc4956"/>
      <w:r>
        <w:rPr>
          <w:rFonts w:hint="eastAsia" w:ascii="方正黑体简体" w:hAnsi="方正黑体简体" w:eastAsia="方正黑体简体" w:cs="方正黑体简体"/>
          <w:b w:val="0"/>
          <w:bCs w:val="0"/>
        </w:rPr>
        <w:t>第十七章 推动农业高质量发展</w:t>
      </w:r>
      <w:bookmarkEnd w:id="100"/>
      <w:bookmarkEnd w:id="101"/>
      <w:bookmarkEnd w:id="102"/>
      <w:bookmarkEnd w:id="103"/>
    </w:p>
    <w:p>
      <w:pPr>
        <w:keepLines w:val="0"/>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建设五大农业产业基地</w:t>
      </w:r>
    </w:p>
    <w:p>
      <w:pPr>
        <w:keepLines w:val="0"/>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落实国家粮食安全战略，坚持最严格的耕地保护制度，稳固提升粮食综合生产能力，保障重要农产品供给安全。以三家大米现代农业园区为核心区，推进良种、良法、良制、良田、良机“五良”融合发展，在三家、西眉、白马新建优质粮油标准化基地10万亩，积极建设“川渝粮仓”，打造优质高产高效粮油保障基地。以提质增效为重点，加强与潼南、涪陵等合作，在横山、玉丰、西眉、磨溪建设涪江沿岸西眉河流域水生及加工蔬菜标准化基地12万亩。大力发展柠檬、沙田柚、黄金梨、桃李等优质水果，建设柠檬基地4万亩、沙田柚基地4万亩、桃李生产基地3万亩，改造提升常理、横山等镇3万亩黄金梨基地，打造优质现代水果基地。推动东方希望、齐全农牧建成投产，实行规模化、智能化、清洁化健康养殖，延伸生猪产业链，发展屠宰加工、低温分割、冷链流通、肉制品系列开发等生猪加工产业，打造优质商品猪战略保障基地。围绕三家、西眉等镇，大力建设渔米之乡，发展生态水产5万亩，打造生态水产基地。</w:t>
      </w:r>
    </w:p>
    <w:p>
      <w:pPr>
        <w:keepLines w:val="0"/>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建设十大特色农业园区</w:t>
      </w:r>
    </w:p>
    <w:p>
      <w:pPr>
        <w:keepLines w:val="0"/>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建设生态安居•西部生态农业产业区。</w:t>
      </w:r>
      <w:r>
        <w:rPr>
          <w:rFonts w:ascii="Times New Roman" w:hAnsi="Times New Roman" w:eastAsia="仿宋_GB2312" w:cs="Times New Roman"/>
          <w:sz w:val="28"/>
          <w:szCs w:val="28"/>
        </w:rPr>
        <w:t>以大农业为出发点，按“整体、协调、循环、再生”的原则，构建绿色生态农业三产融合示范区，建设遂宁市安居区优质油菜现代农业园区、</w:t>
      </w:r>
      <w:r>
        <w:rPr>
          <w:rFonts w:hint="eastAsia" w:ascii="Times New Roman" w:hAnsi="Times New Roman" w:eastAsia="仿宋_GB2312" w:cs="Times New Roman"/>
          <w:sz w:val="28"/>
          <w:szCs w:val="28"/>
        </w:rPr>
        <w:t>遂宁（安居）红薯现代农业园</w:t>
      </w:r>
      <w:r>
        <w:rPr>
          <w:rFonts w:ascii="Times New Roman" w:hAnsi="Times New Roman" w:eastAsia="仿宋_GB2312" w:cs="Times New Roman"/>
          <w:sz w:val="28"/>
          <w:szCs w:val="28"/>
        </w:rPr>
        <w:t>、遂宁市安居区柠檬现代农业园区和遂宁市安居区湿地现代农业园区，推动</w:t>
      </w:r>
      <w:r>
        <w:rPr>
          <w:rFonts w:hint="eastAsia" w:ascii="Times New Roman" w:hAnsi="Times New Roman" w:eastAsia="仿宋_GB2312" w:cs="Times New Roman"/>
          <w:sz w:val="28"/>
          <w:szCs w:val="28"/>
        </w:rPr>
        <w:t>遂宁（安居）红薯现代农业园</w:t>
      </w:r>
      <w:r>
        <w:rPr>
          <w:rFonts w:ascii="Times New Roman" w:hAnsi="Times New Roman" w:eastAsia="仿宋_GB2312" w:cs="Times New Roman"/>
          <w:sz w:val="28"/>
          <w:szCs w:val="28"/>
        </w:rPr>
        <w:t>创建为省级园区、安居区优质油菜现代农业园区创建为市级园区。</w:t>
      </w:r>
    </w:p>
    <w:p>
      <w:pPr>
        <w:keepLines w:val="0"/>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建设农旅安居•中部都市农业产业区</w:t>
      </w:r>
      <w:r>
        <w:rPr>
          <w:rFonts w:ascii="Times New Roman" w:hAnsi="Times New Roman" w:eastAsia="仿宋_GB2312" w:cs="Times New Roman"/>
          <w:b/>
          <w:bCs/>
          <w:sz w:val="28"/>
          <w:szCs w:val="28"/>
        </w:rPr>
        <w:t>。</w:t>
      </w:r>
      <w:r>
        <w:rPr>
          <w:rFonts w:ascii="Times New Roman" w:hAnsi="Times New Roman" w:eastAsia="仿宋_GB2312" w:cs="Times New Roman"/>
          <w:sz w:val="28"/>
          <w:szCs w:val="28"/>
        </w:rPr>
        <w:t>着力打造观光体验、休闲康养乡村旅游产业带，培育以生产名、特、优、新农副产品为主，兼具休闲娱乐、旅游观光、示范研学作用的都市农业功能区，建设遂宁市安居区笋用竹现代农业园区、遂宁市安居区莲藕产业现代农业园区和遂宁市安居区沙田柚现代农业园区，推动安居区莲藕产业现代农业园区创建为市级园区。</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打造现代安居•南部现代农业产业区。</w:t>
      </w:r>
      <w:r>
        <w:rPr>
          <w:rFonts w:ascii="Times New Roman" w:hAnsi="Times New Roman" w:eastAsia="仿宋_GB2312" w:cs="Times New Roman"/>
          <w:sz w:val="28"/>
          <w:szCs w:val="28"/>
        </w:rPr>
        <w:t>推广立体、循环种养殖技术，确立“绿色、优质、高效和可持续”的现代农业发展模式，建立贸工农一体化的产业体系，大力发展农产品加工业和商贸流通业，建成融合农业规模化经营、小城镇建设、乡镇企业发展于一体的新型农业经济带，建设遂宁市安居区三家大米现代农业园区、遂宁市安居区甜橙现代农业园区和遂宁市安居区藤椒现代农业园区，推动“三家大米”现代农业园区创建为省级园区、安居区甜橙现代农业园区创建为市级园区。</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增强农业综合生产能力</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加快高标准农田建设。</w:t>
      </w:r>
      <w:r>
        <w:rPr>
          <w:rFonts w:ascii="Times New Roman" w:hAnsi="Times New Roman" w:eastAsia="仿宋_GB2312" w:cs="Times New Roman"/>
          <w:sz w:val="28"/>
          <w:szCs w:val="28"/>
        </w:rPr>
        <w:t>大力实施土地整治，加强耕地数量、质量、生态“三位一体”保护，整合现代农业、粮食生产能力提升等项目资金，重点推进三家镇、东禅镇、西眉镇、拦江镇、分水镇等乡镇高标准农田建设，建设高标准农田14.5万亩，实现田网、渠网、路网“三网”配套；技改电力提灌站75站，新建电力提灌站15站；轮作休耕试点、提升耕地质量10万亩。</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推进重点水利基础设施建设</w:t>
      </w:r>
      <w:r>
        <w:rPr>
          <w:rFonts w:ascii="Times New Roman" w:hAnsi="Times New Roman" w:eastAsia="仿宋_GB2312" w:cs="Times New Roman"/>
          <w:b/>
          <w:bCs/>
          <w:sz w:val="28"/>
          <w:szCs w:val="28"/>
        </w:rPr>
        <w:t>。</w:t>
      </w:r>
      <w:r>
        <w:rPr>
          <w:rFonts w:ascii="Times New Roman" w:hAnsi="Times New Roman" w:eastAsia="仿宋_GB2312" w:cs="Times New Roman"/>
          <w:sz w:val="28"/>
          <w:szCs w:val="28"/>
        </w:rPr>
        <w:t>重点抓好毗河供水工程、三仙湖水库、萝卜园水库等三大水利工程建设，完成竣工验收，实现工程效益发挥。整治山坪塘338口，推进水利工程维修养护机制改革和农业水价综合改革，高效推进全区76座小型水库管护财政购买服务省级示范工作。推进水土保持坡耕地、小流域综合治理，加快安居水保试验站提质增效建设，争创国家级监测站点。</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大力实施农业科技创新。</w:t>
      </w:r>
      <w:r>
        <w:rPr>
          <w:rFonts w:ascii="Times New Roman" w:hAnsi="Times New Roman" w:eastAsia="仿宋_GB2312" w:cs="Times New Roman"/>
          <w:sz w:val="28"/>
          <w:szCs w:val="28"/>
        </w:rPr>
        <w:t>深入推进以技术试验示范为主的农业科技园建设，打造农业科技创新基地，实施“互联网+”现代农业行动，加快构建农业科技创新示范推广体系。大力发展良种繁育，依托遂宁市安居区农作物良种繁育基地项目，建设杂交水稻制种基地1.0万亩，建设杂交玉米制种基地0.8万亩，建设小麦良种繁育基地0.8万亩，建设五二四红苕原种基地0.4万亩，提升农业生产能力。</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推进信息化与现代农业深度融合。</w:t>
      </w:r>
      <w:r>
        <w:rPr>
          <w:rFonts w:ascii="Times New Roman" w:hAnsi="Times New Roman" w:eastAsia="仿宋_GB2312" w:cs="Times New Roman"/>
          <w:sz w:val="28"/>
          <w:szCs w:val="28"/>
        </w:rPr>
        <w:t>推进互联网与农产品生产、加工、销售等环节充分融合，依托遂宁市安居区“三农”大数据信息平台，收集“三农”基础数据、工作数据、决策数据、服务数据等4大类数据，打造三农数据库、工作图、服务站，为农业精细化生产提供技术支撑。实施宜机化改造，大力提升农业生产机械化水平，依托遂宁市安居区现代农业装备（农业机械化）项目，建设智能农机服务平台，提升农业生产过程智能化水平。利用大数据、农业云、物联网等智慧农业技术开展“四情”监测，通过物联网实现农业生产环境、农业生产过程、疾病识别与治理等实时监测，应用大数据进行分析和预测，发展精准农业。积极争取农业物联网应用示范基地建设项目，全面推进村级益农信息站点建设。</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推进现代农业接二连三</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大力推进农旅融合发展。</w:t>
      </w:r>
      <w:r>
        <w:rPr>
          <w:rFonts w:ascii="Times New Roman" w:hAnsi="Times New Roman" w:eastAsia="仿宋_GB2312" w:cs="Times New Roman"/>
          <w:sz w:val="28"/>
          <w:szCs w:val="28"/>
        </w:rPr>
        <w:t>推进现代农业产业园和农村产业融合发展示范园建设，突出发展“湖光山色、安逸安居”的乡村旅游，创建具有安居特色的农村产业融合发展试验区。深入推进“千村万户”“千村万景”农旅融合计划，依托七彩明珠风景区、“5+10”现代农业园区等基地，建设现代农业庄园、农业主题公园、农业嘉年华、农业风情小镇，以四季果蔬采摘、垂钓休闲、农事体验、阳光茶座、户外运动、乡村旅游节等特色项目，建设“吃、玩、住、种、购”于一体的特色农业体验基地，推动乡村资源景观化、现代农业产业基地景区化，推出乡村旅游特色精品线路，打造“湖光山色、安逸安居”的乡村旅游品牌。</w:t>
      </w:r>
    </w:p>
    <w:p>
      <w:pPr>
        <w:spacing w:line="520" w:lineRule="exact"/>
        <w:ind w:firstLine="562" w:firstLineChars="200"/>
        <w:rPr>
          <w:rFonts w:ascii="Times New Roman" w:hAnsi="Times New Roman" w:cs="Times New Roman"/>
        </w:rPr>
      </w:pPr>
      <w:r>
        <w:rPr>
          <w:rFonts w:ascii="Times New Roman" w:hAnsi="Times New Roman" w:eastAsia="仿宋_GB2312" w:cs="Times New Roman"/>
          <w:b/>
          <w:bCs/>
          <w:sz w:val="28"/>
          <w:szCs w:val="28"/>
        </w:rPr>
        <w:t>深入推进农工融合发展。</w:t>
      </w:r>
      <w:r>
        <w:rPr>
          <w:rFonts w:ascii="Times New Roman" w:hAnsi="Times New Roman" w:eastAsia="仿宋_GB2312" w:cs="Times New Roman"/>
          <w:sz w:val="28"/>
          <w:szCs w:val="28"/>
        </w:rPr>
        <w:t>深入推进产加销一体化，以农产品加工为纽带，推进产业交叉融合。加快发展保鲜仓储冷链物流业。统筹农产品初加工、精深加工和综合利用加工协调发展，促进农产品加工就地就近转化增值。支持扩大农产品产地初加工，支持发展适合家庭农场和农民合作社经营的农产品初加工，加强贮藏窖、果蔬通风库、冷藏库和烘干房等产地初加工设施建设。以精深加工提升农产品价值，推进农产品初加工和精深加工协调发展，提高加工转化率和附加值。重点依托阿宁食品，建设食品生产线、餐桌食品生产线和食品仓储、冷链物流系统及其配套实施，对产品进行初加工、精深加工，拉长农产品产业链。依托“憨果果”“辛农民”等农产品加工企业，实现“五大特色农业”就地加工。</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5000" w:type="pct"/>
            <w:vAlign w:val="center"/>
          </w:tcPr>
          <w:p>
            <w:pPr>
              <w:keepNext/>
              <w:spacing w:line="320" w:lineRule="exact"/>
              <w:jc w:val="center"/>
              <w:rPr>
                <w:rFonts w:ascii="Times New Roman" w:hAnsi="Times New Roman" w:eastAsia="仿宋_GB2312" w:cs="Times New Roman"/>
                <w:b/>
                <w:sz w:val="24"/>
              </w:rPr>
            </w:pPr>
            <w:r>
              <w:rPr>
                <w:rFonts w:ascii="Times New Roman" w:hAnsi="Times New Roman" w:eastAsia="仿宋_GB2312" w:cs="Times New Roman"/>
                <w:b/>
                <w:sz w:val="24"/>
              </w:rPr>
              <w:t>专栏5-1  构建现代农业体系重大项目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jc w:val="center"/>
        </w:trPr>
        <w:tc>
          <w:tcPr>
            <w:tcW w:w="5000" w:type="pct"/>
            <w:vAlign w:val="center"/>
          </w:tcPr>
          <w:p>
            <w:pPr>
              <w:keepNext/>
              <w:spacing w:line="32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特色产业基地建设重大项目</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现代化生猪循环产业基地项目、生态种养循环示范基地、深度融入成渝合作中国柠檬高质量发展建设项目、优质粮油特色产业全产业链融合发展、优质水果产业全产业链融合发展、优质蔬菜基地提升建设等特色产业重大项目。</w:t>
            </w:r>
          </w:p>
          <w:p>
            <w:pPr>
              <w:keepNext/>
              <w:spacing w:line="32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产业融合发展重大项目</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重点推进道地中药材基地建设及精深加工、农产品产地初加工、优质特色农产品供应链项目、莲花湖水库生态渔业养殖休闲观光项目等重大项目。</w:t>
            </w:r>
          </w:p>
          <w:p>
            <w:pPr>
              <w:keepNext/>
              <w:spacing w:line="32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农业生产能力提升重大项目</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重点推进农作物良种繁育基地建设项目、现代农业装备（农业机械化）、动植物疫病防控能力提升项目、安居区“三农"大数据信息平台、安居区高标准农田建设项目等重大项目。</w:t>
            </w:r>
          </w:p>
          <w:p>
            <w:pPr>
              <w:keepNext/>
              <w:spacing w:line="32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bCs/>
                <w:sz w:val="24"/>
                <w:szCs w:val="28"/>
              </w:rPr>
              <w:t>安居特色农业品牌建设重大项目：</w:t>
            </w:r>
            <w:r>
              <w:rPr>
                <w:rFonts w:ascii="Times New Roman" w:hAnsi="Times New Roman" w:eastAsia="仿宋_GB2312" w:cs="Times New Roman"/>
                <w:sz w:val="24"/>
                <w:szCs w:val="28"/>
              </w:rPr>
              <w:t>积极推进“三品一标”认证，加大无公害农产品、绿色食品A级产品、有机食品认证力度，培育“安居造”特色农业品牌，加快“三家大米”地理标志农产品创建，打响“辛农民”菜籽油、“524”红薯、“麻笑笑”“滴点财”藤椒油等特色品牌，新认证“三品一标”3个以上，重点培育5个特色农产品品牌，新增3家以上企业申请使用“遂宁鲜”公用标识。抓好地理标志农产品保护工作，创响一批“土字号”“乡字号”特色产品品牌。巧借“遂宁鲜”农产品区域公用品牌，依托安居农特产品专销店、西博会、农博会等展示展销平台，努力提高品牌知名度和产品市场占有率。</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04" w:name="_Toc14403"/>
      <w:bookmarkStart w:id="105" w:name="_Toc65153186"/>
      <w:bookmarkStart w:id="106" w:name="_Toc11421"/>
      <w:bookmarkStart w:id="107" w:name="_Toc25856"/>
      <w:bookmarkStart w:id="108" w:name="_Toc60670646"/>
      <w:bookmarkStart w:id="109" w:name="_Toc50372542"/>
      <w:r>
        <w:rPr>
          <w:rFonts w:hint="eastAsia" w:ascii="方正黑体简体" w:hAnsi="方正黑体简体" w:eastAsia="方正黑体简体" w:cs="方正黑体简体"/>
          <w:b w:val="0"/>
          <w:bCs w:val="0"/>
        </w:rPr>
        <w:t>第十八章 实施乡村建设行动</w:t>
      </w:r>
      <w:bookmarkEnd w:id="104"/>
      <w:bookmarkEnd w:id="105"/>
      <w:bookmarkEnd w:id="106"/>
      <w:bookmarkEnd w:id="107"/>
      <w:bookmarkEnd w:id="108"/>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建设美丽宜居乡村</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实施</w:t>
      </w:r>
      <w:r>
        <w:rPr>
          <w:rFonts w:ascii="Times New Roman" w:hAnsi="Times New Roman" w:eastAsia="仿宋_GB2312" w:cs="Times New Roman"/>
          <w:b/>
          <w:bCs/>
          <w:sz w:val="28"/>
          <w:szCs w:val="28"/>
        </w:rPr>
        <w:t>美丽乡村示范工程</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加快“一带一廊一县”</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29</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sz w:val="28"/>
          <w:szCs w:val="28"/>
        </w:rPr>
        <w:t>建设，</w:t>
      </w:r>
      <w:r>
        <w:rPr>
          <w:rFonts w:ascii="Times New Roman" w:hAnsi="Times New Roman" w:eastAsia="仿宋_GB2312" w:cs="Times New Roman"/>
          <w:sz w:val="28"/>
          <w:szCs w:val="28"/>
        </w:rPr>
        <w:t>完善“1+5+16+N”</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30</w:t>
      </w:r>
      <w:r>
        <w:rPr>
          <w:rFonts w:hint="default" w:ascii="Times New Roman" w:hAnsi="Times New Roman" w:eastAsia="仿宋_GB2312" w:cs="Times New Roman"/>
          <w:bCs/>
          <w:color w:val="auto"/>
          <w:kern w:val="0"/>
          <w:sz w:val="28"/>
          <w:szCs w:val="28"/>
          <w:highlight w:val="none"/>
          <w:vertAlign w:val="superscript"/>
          <w:lang w:eastAsia="zh-CN"/>
        </w:rPr>
        <w:t>〕</w:t>
      </w:r>
      <w:r>
        <w:rPr>
          <w:rFonts w:ascii="Times New Roman" w:hAnsi="Times New Roman" w:eastAsia="仿宋_GB2312" w:cs="Times New Roman"/>
          <w:sz w:val="28"/>
          <w:szCs w:val="28"/>
        </w:rPr>
        <w:t>乡村振兴全域布局，实施琼江流域“1廊6镇20村”</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31</w:t>
      </w:r>
      <w:r>
        <w:rPr>
          <w:rFonts w:hint="default" w:ascii="Times New Roman" w:hAnsi="Times New Roman" w:eastAsia="仿宋_GB2312" w:cs="Times New Roman"/>
          <w:bCs/>
          <w:color w:val="auto"/>
          <w:kern w:val="0"/>
          <w:sz w:val="28"/>
          <w:szCs w:val="28"/>
          <w:highlight w:val="none"/>
          <w:vertAlign w:val="superscript"/>
          <w:lang w:eastAsia="zh-CN"/>
        </w:rPr>
        <w:t>〕</w:t>
      </w:r>
      <w:r>
        <w:rPr>
          <w:rFonts w:ascii="Times New Roman" w:hAnsi="Times New Roman" w:eastAsia="仿宋_GB2312" w:cs="Times New Roman"/>
          <w:sz w:val="28"/>
          <w:szCs w:val="28"/>
        </w:rPr>
        <w:t>示范工程，创建省级乡村振兴先进县，培育琼江美丽巴蜀宜居乡村示范走廊，推进特色产业、人居环境整治、休闲农业发展，形成高品质生活宜居示范地的多元载体支撑，着力提升乡村宜居性。在拦江、安居、三家等镇打造一批乡村振兴和城乡融合发展示范基地，在常理镇海龙村打造全国农村能源科普、乡村振兴示范、生态文明实践基地。</w:t>
      </w:r>
    </w:p>
    <w:p>
      <w:pPr>
        <w:spacing w:line="520" w:lineRule="exact"/>
        <w:ind w:firstLine="562" w:firstLineChars="200"/>
        <w:rPr>
          <w:rFonts w:ascii="Times New Roman" w:hAnsi="Times New Roman" w:eastAsia="仿宋_GB2312" w:cs="Times New Roman"/>
          <w:sz w:val="28"/>
          <w:szCs w:val="28"/>
        </w:rPr>
      </w:pPr>
      <w:r>
        <w:rPr>
          <w:rFonts w:hint="eastAsia" w:ascii="Times New Roman" w:hAnsi="Times New Roman" w:eastAsia="仿宋_GB2312" w:cs="Times New Roman"/>
          <w:b/>
          <w:color w:val="000000" w:themeColor="text1"/>
          <w:sz w:val="28"/>
          <w:szCs w:val="28"/>
        </w:rPr>
        <w:t>优化乡村生产生活环境</w:t>
      </w:r>
      <w:r>
        <w:rPr>
          <w:rFonts w:ascii="Times New Roman" w:hAnsi="Times New Roman" w:eastAsia="仿宋_GB2312" w:cs="Times New Roman"/>
          <w:b/>
          <w:color w:val="000000" w:themeColor="text1"/>
          <w:sz w:val="28"/>
          <w:szCs w:val="28"/>
        </w:rPr>
        <w:t>。</w:t>
      </w:r>
      <w:r>
        <w:rPr>
          <w:rFonts w:hint="eastAsia" w:ascii="Times New Roman" w:hAnsi="Times New Roman" w:eastAsia="仿宋_GB2312" w:cs="Times New Roman"/>
          <w:color w:val="000000" w:themeColor="text1"/>
          <w:sz w:val="28"/>
          <w:szCs w:val="28"/>
        </w:rPr>
        <w:t>接续推进人居环境整治“五大行动”</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32</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color w:val="000000" w:themeColor="text1"/>
          <w:sz w:val="28"/>
          <w:szCs w:val="28"/>
        </w:rPr>
        <w:t>，继续实施农村“污水革命”“垃圾革命”“厕所革命”三大革命</w:t>
      </w:r>
      <w:r>
        <w:rPr>
          <w:rFonts w:ascii="Times New Roman" w:hAnsi="Times New Roman" w:eastAsia="仿宋_GB2312" w:cs="Times New Roman"/>
          <w:color w:val="000000" w:themeColor="text1"/>
          <w:sz w:val="28"/>
          <w:szCs w:val="28"/>
        </w:rPr>
        <w:t>。</w:t>
      </w:r>
      <w:r>
        <w:rPr>
          <w:rFonts w:hint="eastAsia" w:ascii="Times New Roman" w:hAnsi="Times New Roman" w:eastAsia="仿宋_GB2312" w:cs="Times New Roman"/>
          <w:color w:val="000000" w:themeColor="text1"/>
          <w:sz w:val="28"/>
          <w:szCs w:val="28"/>
        </w:rPr>
        <w:t>积极</w:t>
      </w:r>
      <w:r>
        <w:rPr>
          <w:rFonts w:ascii="Times New Roman" w:hAnsi="Times New Roman" w:eastAsia="仿宋_GB2312" w:cs="Times New Roman"/>
          <w:color w:val="000000" w:themeColor="text1"/>
          <w:sz w:val="28"/>
          <w:szCs w:val="28"/>
        </w:rPr>
        <w:t>推进农村环境基础设施建设，实施“三清七改”行动，大力开展村庄绿化亮化行动。建立农村环境基础设施建设和运营社会化机制，</w:t>
      </w:r>
      <w:r>
        <w:rPr>
          <w:rFonts w:hint="eastAsia" w:ascii="Times New Roman" w:hAnsi="Times New Roman" w:eastAsia="仿宋_GB2312" w:cs="Times New Roman"/>
          <w:color w:val="000000" w:themeColor="text1"/>
          <w:sz w:val="28"/>
          <w:szCs w:val="28"/>
        </w:rPr>
        <w:t>提升</w:t>
      </w:r>
      <w:r>
        <w:rPr>
          <w:rFonts w:ascii="Times New Roman" w:hAnsi="Times New Roman" w:eastAsia="仿宋_GB2312" w:cs="Times New Roman"/>
          <w:color w:val="000000" w:themeColor="text1"/>
          <w:sz w:val="28"/>
          <w:szCs w:val="28"/>
        </w:rPr>
        <w:t>农村污水、生活垃圾</w:t>
      </w:r>
      <w:r>
        <w:rPr>
          <w:rFonts w:hint="eastAsia" w:ascii="Times New Roman" w:hAnsi="Times New Roman" w:eastAsia="仿宋_GB2312" w:cs="Times New Roman"/>
          <w:color w:val="000000" w:themeColor="text1"/>
          <w:sz w:val="28"/>
          <w:szCs w:val="28"/>
        </w:rPr>
        <w:t>等</w:t>
      </w:r>
      <w:r>
        <w:rPr>
          <w:rFonts w:ascii="Times New Roman" w:hAnsi="Times New Roman" w:eastAsia="仿宋_GB2312" w:cs="Times New Roman"/>
          <w:color w:val="000000" w:themeColor="text1"/>
          <w:sz w:val="28"/>
          <w:szCs w:val="28"/>
        </w:rPr>
        <w:t>废弃物有效处置力度。推进农村水生态治理，基本消除农村黑臭水体。持续推进农村“五乱”治理，持续推进“公路、铁路”沿线环境</w:t>
      </w:r>
      <w:r>
        <w:rPr>
          <w:rFonts w:hint="eastAsia" w:ascii="Times New Roman" w:hAnsi="Times New Roman" w:eastAsia="仿宋_GB2312" w:cs="Times New Roman"/>
          <w:color w:val="000000" w:themeColor="text1"/>
          <w:sz w:val="28"/>
          <w:szCs w:val="28"/>
        </w:rPr>
        <w:t>建设</w:t>
      </w:r>
      <w:r>
        <w:rPr>
          <w:rFonts w:ascii="Times New Roman" w:hAnsi="Times New Roman" w:eastAsia="仿宋_GB2312" w:cs="Times New Roman"/>
          <w:color w:val="000000" w:themeColor="text1"/>
          <w:sz w:val="28"/>
          <w:szCs w:val="28"/>
        </w:rPr>
        <w:t>。</w:t>
      </w:r>
    </w:p>
    <w:p>
      <w:pPr>
        <w:spacing w:line="520" w:lineRule="exact"/>
        <w:ind w:firstLine="562" w:firstLineChars="200"/>
        <w:rPr>
          <w:rFonts w:ascii="Times New Roman" w:hAnsi="Times New Roman" w:eastAsia="仿宋_GB2312" w:cs="Times New Roman"/>
          <w:sz w:val="28"/>
          <w:szCs w:val="28"/>
        </w:rPr>
      </w:pPr>
      <w:r>
        <w:rPr>
          <w:rFonts w:ascii="Times New Roman" w:hAnsi="Times New Roman" w:eastAsia="仿宋_GB2312" w:cs="Times New Roman"/>
          <w:b/>
          <w:bCs/>
          <w:sz w:val="28"/>
          <w:szCs w:val="28"/>
        </w:rPr>
        <w:t>推进乡风文明建设。</w:t>
      </w:r>
      <w:r>
        <w:rPr>
          <w:rFonts w:ascii="Times New Roman" w:hAnsi="Times New Roman" w:eastAsia="仿宋_GB2312" w:cs="Times New Roman"/>
          <w:sz w:val="28"/>
          <w:szCs w:val="28"/>
        </w:rPr>
        <w:t>倡导现代文明生活方式，培育形成文明乡风、良好家风、淳朴民风。实施以“住上好房子、过上好日子、养成好习惯、形成好风气”为主要内容的“四好”创建升级版。大力推广“六顺六净”，改善农村群众生产生活方式，培育现代文明卫生习惯。坚持举办农民夜校示范校，加强思想道德教育，弘扬中华优秀传统文化。推动乡村公共文化蓬勃发展，建设文明宣传中心，弘扬文明乡风、淳朴民风、优良家风，培育时代新农民，挖掘和培育地方特色文化，实现乡村“文治”。</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巩固拓展脱贫攻坚成果与乡村振兴有效衔接</w:t>
      </w:r>
    </w:p>
    <w:p>
      <w:pPr>
        <w:spacing w:line="520" w:lineRule="exact"/>
        <w:ind w:firstLine="562"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b/>
          <w:bCs/>
          <w:sz w:val="28"/>
          <w:szCs w:val="28"/>
        </w:rPr>
        <w:t>促进脱贫攻坚与乡村振兴有效衔接</w:t>
      </w:r>
      <w:r>
        <w:rPr>
          <w:rFonts w:ascii="Times New Roman" w:hAnsi="Times New Roman" w:eastAsia="仿宋_GB2312" w:cs="Times New Roman"/>
          <w:b/>
          <w:bCs/>
          <w:sz w:val="28"/>
          <w:szCs w:val="28"/>
        </w:rPr>
        <w:t>。</w:t>
      </w:r>
      <w:r>
        <w:rPr>
          <w:rFonts w:ascii="Times New Roman" w:hAnsi="Times New Roman" w:eastAsia="仿宋_GB2312" w:cs="Times New Roman"/>
          <w:sz w:val="28"/>
          <w:szCs w:val="28"/>
        </w:rPr>
        <w:t>严格落实“四个不摘”</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33</w:t>
      </w:r>
      <w:r>
        <w:rPr>
          <w:rFonts w:hint="default" w:ascii="Times New Roman" w:hAnsi="Times New Roman" w:eastAsia="仿宋_GB2312" w:cs="Times New Roman"/>
          <w:bCs/>
          <w:color w:val="auto"/>
          <w:kern w:val="0"/>
          <w:sz w:val="28"/>
          <w:szCs w:val="28"/>
          <w:highlight w:val="none"/>
          <w:vertAlign w:val="superscript"/>
          <w:lang w:eastAsia="zh-CN"/>
        </w:rPr>
        <w:t>〕</w:t>
      </w:r>
      <w:r>
        <w:rPr>
          <w:rFonts w:ascii="Times New Roman" w:hAnsi="Times New Roman" w:eastAsia="仿宋_GB2312" w:cs="Times New Roman"/>
          <w:sz w:val="28"/>
          <w:szCs w:val="28"/>
        </w:rPr>
        <w:t>要求，保持财政投入、帮扶政策、帮扶力量总体稳定</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健全防止返贫</w:t>
      </w:r>
      <w:r>
        <w:rPr>
          <w:rFonts w:hint="eastAsia" w:ascii="Times New Roman" w:hAnsi="Times New Roman" w:eastAsia="仿宋_GB2312" w:cs="Times New Roman"/>
          <w:sz w:val="28"/>
          <w:szCs w:val="28"/>
        </w:rPr>
        <w:t>致贫</w:t>
      </w:r>
      <w:r>
        <w:rPr>
          <w:rFonts w:ascii="Times New Roman" w:hAnsi="Times New Roman" w:eastAsia="仿宋_GB2312" w:cs="Times New Roman"/>
          <w:sz w:val="28"/>
          <w:szCs w:val="28"/>
        </w:rPr>
        <w:t>监测和帮扶机制，</w:t>
      </w:r>
      <w:r>
        <w:rPr>
          <w:rFonts w:hint="eastAsia" w:ascii="Times New Roman" w:hAnsi="Times New Roman" w:eastAsia="仿宋_GB2312" w:cs="Times New Roman"/>
          <w:sz w:val="28"/>
          <w:szCs w:val="28"/>
        </w:rPr>
        <w:t>持续促进脱贫人口稳定就业，抓好易地搬迁后续扶持，</w:t>
      </w:r>
      <w:r>
        <w:rPr>
          <w:rFonts w:ascii="Times New Roman" w:hAnsi="Times New Roman" w:eastAsia="仿宋_GB2312" w:cs="Times New Roman"/>
          <w:sz w:val="28"/>
          <w:szCs w:val="28"/>
        </w:rPr>
        <w:t>健全农村</w:t>
      </w:r>
      <w:r>
        <w:rPr>
          <w:rFonts w:hint="eastAsia" w:ascii="Times New Roman" w:hAnsi="Times New Roman" w:eastAsia="仿宋_GB2312" w:cs="Times New Roman"/>
          <w:sz w:val="28"/>
          <w:szCs w:val="28"/>
        </w:rPr>
        <w:t>低收入人口常态化帮扶机制，持续做好消费扶贫，加强扶贫项目资产管理。坚持和完善社会力量参与帮扶机制。做好过渡期内领导体制、工作体系、政策体系、考核体系机制等衔接，推动脱贫攻坚向乡村振兴平稳过渡。</w:t>
      </w:r>
    </w:p>
    <w:p>
      <w:pPr>
        <w:spacing w:line="520" w:lineRule="exact"/>
        <w:ind w:firstLine="562" w:firstLineChars="200"/>
        <w:jc w:val="left"/>
        <w:rPr>
          <w:rFonts w:ascii="Times New Roman" w:hAnsi="Times New Roman" w:eastAsia="仿宋_GB2312" w:cs="Times New Roman"/>
          <w:sz w:val="28"/>
          <w:szCs w:val="28"/>
        </w:rPr>
      </w:pPr>
      <w:r>
        <w:rPr>
          <w:rFonts w:ascii="Times New Roman" w:hAnsi="Times New Roman" w:eastAsia="仿宋_GB2312" w:cs="Times New Roman"/>
          <w:b/>
          <w:bCs/>
          <w:sz w:val="28"/>
          <w:szCs w:val="28"/>
        </w:rPr>
        <w:t>激发农业农村内生动力。</w:t>
      </w:r>
      <w:r>
        <w:rPr>
          <w:rFonts w:ascii="Times New Roman" w:hAnsi="Times New Roman" w:eastAsia="仿宋_GB2312" w:cs="Times New Roman"/>
          <w:sz w:val="28"/>
          <w:szCs w:val="28"/>
        </w:rPr>
        <w:t>推动产业扶贫向产业振兴迈进，完善激活“人”“地”“钱”要素的政策措施，</w:t>
      </w:r>
      <w:r>
        <w:rPr>
          <w:rFonts w:hint="eastAsia" w:ascii="Times New Roman" w:hAnsi="Times New Roman" w:eastAsia="仿宋_GB2312" w:cs="Times New Roman"/>
          <w:sz w:val="28"/>
          <w:szCs w:val="28"/>
        </w:rPr>
        <w:t>支持乡村特色产业发展壮大，</w:t>
      </w:r>
      <w:r>
        <w:rPr>
          <w:rFonts w:ascii="Times New Roman" w:hAnsi="Times New Roman" w:eastAsia="仿宋_GB2312" w:cs="Times New Roman"/>
          <w:sz w:val="28"/>
          <w:szCs w:val="28"/>
        </w:rPr>
        <w:t>创新村民参与的新型农村集体经济形式，持续推进乡村振兴先进镇、示范村创建。招引和鼓励大学生、优秀农民工等返乡创业，每年引进一批干部人才到乡村挂职任职、教育培训一批本地“土专家”“田秀才”、扶持培育一批产业发展急需人才</w:t>
      </w:r>
      <w:r>
        <w:rPr>
          <w:rFonts w:hint="eastAsia" w:ascii="Times New Roman" w:hAnsi="Times New Roman" w:eastAsia="仿宋_GB2312" w:cs="Times New Roman"/>
          <w:sz w:val="28"/>
          <w:szCs w:val="28"/>
        </w:rPr>
        <w:t>，分类统筹推进六支乡村人才队伍建设</w:t>
      </w:r>
      <w:r>
        <w:rPr>
          <w:rFonts w:ascii="Times New Roman" w:hAnsi="Times New Roman" w:eastAsia="仿宋_GB2312" w:cs="Times New Roman"/>
          <w:sz w:val="28"/>
          <w:szCs w:val="28"/>
        </w:rPr>
        <w:t>。在三家大米、524红苕现代农业园区布局文化社区、农旅驿站等农业元素旅游小品12处，促进文农旅融合发展。</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10" w:name="_Toc27176"/>
      <w:bookmarkStart w:id="111" w:name="_Toc65153187"/>
      <w:bookmarkStart w:id="112" w:name="_Toc60670647"/>
      <w:bookmarkStart w:id="113" w:name="_Toc27485"/>
      <w:bookmarkStart w:id="114" w:name="_Toc12951"/>
      <w:r>
        <w:rPr>
          <w:rFonts w:hint="eastAsia" w:ascii="方正黑体简体" w:hAnsi="方正黑体简体" w:eastAsia="方正黑体简体" w:cs="方正黑体简体"/>
          <w:b w:val="0"/>
          <w:bCs w:val="0"/>
        </w:rPr>
        <w:t>第十九章 深化农业农村改革</w:t>
      </w:r>
      <w:bookmarkEnd w:id="110"/>
      <w:bookmarkEnd w:id="111"/>
      <w:bookmarkEnd w:id="112"/>
      <w:bookmarkEnd w:id="113"/>
      <w:bookmarkEnd w:id="114"/>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推动农村土地制度改革</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推动农村土地制度改革，探索“三权分置”实现形式，保障进城落户农民土地承包权、宅基地使用权、集体收益分配权，鼓励引导依法自愿有偿流转土地。完善农村承包地制度，稳慎改革农村宅基地制度，建立集体经营性建设用地入市制度。在三家大米、安居红苕等现代农业园区积极实施土地增减挂钩项目，通过实施土地增减挂钩项目，改善园区基础设施和当地农民居住条件，整理出的部分建设用地指标用于支持园区农产品加工、冷链储运、基础设施等建设，解决农业产业用地难问题。</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促进农村经济模式转变</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推动农村资源转换为资产再转换为资本，发展多种形式股份合作和农业经营模式。实施村集体经济“五年攻坚行动”，持续深化供销社综合改革，完善农业专业化社会化服务体系和利益联结机制，聚焦蔬菜、生猪、食用菌等特色优势产业，健全农业社会化服务组织，发展育种育苗、代耕代种、统防统治、土地托管、代销代购、农机作业、储藏保鲜等各类农业社会化服务，构建政府公益性服务、市场经营性服务和集体经济组织自我服务“三位一体”的农业社会化服务体系，壮大新型集体经济。发展适度规模经营，探索建立新型职业农民制度，培育农民合作社、家庭农场等新型农业经营主体，实现小农户和现代农业有机衔接。整合使用各类涉农资金，延续现有扶持政策，稳定产业扶持资金投入和产品销售市场“前后端”，加大农业支持力度，健全农村金融服务体系，拓展农业保险服务领域。建立覆盖250个行政村的农业产业项目库，开展集中推介招商，强化政策和产业宣传，引进有实力的业主发展具备适宜性、独特性、市场性的优势主导产业。</w:t>
      </w:r>
    </w:p>
    <w:bookmarkEnd w:id="109"/>
    <w:p>
      <w:pPr>
        <w:pStyle w:val="3"/>
        <w:spacing w:before="313" w:beforeLines="100" w:after="313" w:afterLines="100" w:line="520" w:lineRule="exact"/>
        <w:jc w:val="center"/>
        <w:rPr>
          <w:rFonts w:hint="eastAsia" w:ascii="Calibri" w:hAnsi="Calibri" w:eastAsia="方正小标宋简体"/>
          <w:sz w:val="32"/>
        </w:rPr>
      </w:pPr>
      <w:bookmarkStart w:id="115" w:name="_Toc24773"/>
      <w:bookmarkStart w:id="116" w:name="_Toc65153188"/>
      <w:bookmarkStart w:id="117" w:name="_Toc27218"/>
      <w:bookmarkStart w:id="118" w:name="_Toc6123"/>
      <w:bookmarkStart w:id="119" w:name="_Toc50372563"/>
      <w:r>
        <w:rPr>
          <w:rFonts w:hint="eastAsia" w:ascii="Calibri" w:hAnsi="Calibri" w:eastAsia="方正小标宋简体"/>
          <w:sz w:val="32"/>
        </w:rPr>
        <w:t>第</w:t>
      </w:r>
      <w:r>
        <w:rPr>
          <w:rFonts w:hint="default" w:ascii="Calibri" w:hAnsi="Calibri" w:eastAsia="方正小标宋简体"/>
          <w:sz w:val="32"/>
        </w:rPr>
        <w:t>六</w:t>
      </w:r>
      <w:r>
        <w:rPr>
          <w:rFonts w:hint="eastAsia" w:ascii="Calibri" w:hAnsi="Calibri" w:eastAsia="方正小标宋简体"/>
          <w:sz w:val="32"/>
        </w:rPr>
        <w:t>篇 践行两山理念，</w:t>
      </w:r>
      <w:r>
        <w:rPr>
          <w:rFonts w:hint="default" w:ascii="Calibri" w:hAnsi="Calibri" w:eastAsia="方正小标宋简体"/>
          <w:sz w:val="32"/>
        </w:rPr>
        <w:t>推动人与</w:t>
      </w:r>
      <w:r>
        <w:rPr>
          <w:rFonts w:hint="eastAsia" w:ascii="Calibri" w:hAnsi="Calibri" w:eastAsia="方正小标宋简体"/>
          <w:sz w:val="32"/>
        </w:rPr>
        <w:t>自然和谐共生</w:t>
      </w:r>
      <w:bookmarkEnd w:id="115"/>
      <w:bookmarkEnd w:id="116"/>
      <w:bookmarkEnd w:id="117"/>
      <w:bookmarkEnd w:id="118"/>
    </w:p>
    <w:p>
      <w:pPr>
        <w:spacing w:line="520" w:lineRule="exact"/>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rPr>
        <w:t>统筹山水林田湖草综合治理，</w:t>
      </w:r>
      <w:r>
        <w:rPr>
          <w:rFonts w:hint="eastAsia" w:ascii="Times New Roman" w:hAnsi="Times New Roman" w:eastAsia="仿宋_GB2312" w:cs="Times New Roman"/>
          <w:color w:val="000000"/>
          <w:kern w:val="0"/>
          <w:sz w:val="28"/>
          <w:szCs w:val="28"/>
        </w:rPr>
        <w:t>坚决打好污染防治攻坚战，</w:t>
      </w:r>
      <w:r>
        <w:rPr>
          <w:rFonts w:ascii="Times New Roman" w:hAnsi="Times New Roman" w:eastAsia="仿宋_GB2312" w:cs="Times New Roman"/>
          <w:color w:val="000000"/>
          <w:kern w:val="0"/>
          <w:sz w:val="28"/>
          <w:szCs w:val="28"/>
        </w:rPr>
        <w:t>全面</w:t>
      </w:r>
      <w:r>
        <w:rPr>
          <w:rFonts w:hint="eastAsia" w:ascii="Times New Roman" w:hAnsi="Times New Roman" w:eastAsia="仿宋_GB2312" w:cs="Times New Roman"/>
          <w:color w:val="000000"/>
          <w:kern w:val="0"/>
          <w:sz w:val="28"/>
          <w:szCs w:val="28"/>
        </w:rPr>
        <w:t>推进</w:t>
      </w:r>
      <w:r>
        <w:rPr>
          <w:rFonts w:ascii="Times New Roman" w:hAnsi="Times New Roman" w:eastAsia="仿宋_GB2312" w:cs="Times New Roman"/>
          <w:color w:val="000000"/>
          <w:kern w:val="0"/>
          <w:sz w:val="28"/>
          <w:szCs w:val="28"/>
        </w:rPr>
        <w:t>经济社会发展绿色转型</w:t>
      </w:r>
      <w:r>
        <w:rPr>
          <w:rFonts w:hint="eastAsia" w:ascii="Times New Roman" w:hAnsi="Times New Roman" w:eastAsia="仿宋_GB2312" w:cs="Times New Roman"/>
          <w:color w:val="000000"/>
          <w:kern w:val="0"/>
          <w:sz w:val="28"/>
          <w:szCs w:val="28"/>
        </w:rPr>
        <w:t>，</w:t>
      </w:r>
      <w:r>
        <w:rPr>
          <w:rFonts w:ascii="Times New Roman" w:hAnsi="Times New Roman" w:eastAsia="仿宋_GB2312" w:cs="Times New Roman"/>
          <w:color w:val="000000"/>
          <w:kern w:val="0"/>
          <w:sz w:val="28"/>
          <w:szCs w:val="28"/>
        </w:rPr>
        <w:t>筑牢长江上游和成渝地区双城经济圈中部生态屏障</w:t>
      </w:r>
      <w:r>
        <w:rPr>
          <w:rFonts w:hint="eastAsia" w:ascii="Times New Roman" w:hAnsi="Times New Roman" w:eastAsia="仿宋_GB2312" w:cs="Times New Roman"/>
          <w:color w:val="000000"/>
          <w:kern w:val="0"/>
          <w:sz w:val="28"/>
          <w:szCs w:val="28"/>
        </w:rPr>
        <w:t>，</w:t>
      </w:r>
      <w:r>
        <w:rPr>
          <w:rFonts w:ascii="Times New Roman" w:hAnsi="Times New Roman" w:eastAsia="仿宋_GB2312" w:cs="Times New Roman"/>
          <w:color w:val="000000"/>
          <w:kern w:val="0"/>
          <w:sz w:val="28"/>
          <w:szCs w:val="28"/>
        </w:rPr>
        <w:t>促进人与自然和谐共生</w:t>
      </w:r>
      <w:r>
        <w:rPr>
          <w:rFonts w:hint="eastAsia" w:ascii="Times New Roman" w:hAnsi="Times New Roman" w:eastAsia="仿宋_GB2312" w:cs="Times New Roman"/>
          <w:color w:val="000000"/>
          <w:kern w:val="0"/>
          <w:sz w:val="28"/>
          <w:szCs w:val="28"/>
        </w:rPr>
        <w:t>，</w:t>
      </w:r>
      <w:r>
        <w:rPr>
          <w:rFonts w:ascii="Times New Roman" w:hAnsi="Times New Roman" w:eastAsia="仿宋_GB2312" w:cs="Times New Roman"/>
          <w:color w:val="000000"/>
          <w:kern w:val="0"/>
          <w:sz w:val="28"/>
          <w:szCs w:val="28"/>
        </w:rPr>
        <w:t>全力打造成渝轴线美丽中国安居样板</w:t>
      </w:r>
      <w:r>
        <w:rPr>
          <w:rFonts w:hint="eastAsia" w:ascii="Times New Roman" w:hAnsi="Times New Roman" w:eastAsia="仿宋_GB2312" w:cs="Times New Roman"/>
          <w:color w:val="000000"/>
          <w:kern w:val="0"/>
          <w:sz w:val="28"/>
          <w:szCs w:val="28"/>
        </w:rPr>
        <w:t>和</w:t>
      </w:r>
      <w:r>
        <w:rPr>
          <w:rFonts w:ascii="Times New Roman" w:hAnsi="Times New Roman" w:eastAsia="仿宋_GB2312" w:cs="Times New Roman"/>
          <w:color w:val="000000"/>
          <w:kern w:val="0"/>
          <w:sz w:val="28"/>
          <w:szCs w:val="28"/>
        </w:rPr>
        <w:t>宜居宜业宜游的公园城市典范。</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20" w:name="_Toc65153189"/>
      <w:bookmarkStart w:id="121" w:name="_Toc14341"/>
      <w:bookmarkStart w:id="122" w:name="_Toc9324"/>
      <w:bookmarkStart w:id="123" w:name="_Toc30175"/>
      <w:r>
        <w:rPr>
          <w:rFonts w:hint="eastAsia" w:ascii="方正黑体简体" w:hAnsi="方正黑体简体" w:eastAsia="方正黑体简体" w:cs="方正黑体简体"/>
          <w:b w:val="0"/>
          <w:bCs w:val="0"/>
        </w:rPr>
        <w:t>第二十章 强化生态环境保护与修复</w:t>
      </w:r>
      <w:bookmarkEnd w:id="120"/>
      <w:bookmarkEnd w:id="121"/>
      <w:bookmarkEnd w:id="122"/>
      <w:bookmarkEnd w:id="123"/>
      <w:r>
        <w:rPr>
          <w:rFonts w:hint="eastAsia" w:ascii="方正黑体简体" w:hAnsi="方正黑体简体" w:eastAsia="方正黑体简体" w:cs="方正黑体简体"/>
          <w:b w:val="0"/>
          <w:bCs w:val="0"/>
        </w:rPr>
        <w:t xml:space="preserve"> </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强化区域生态空间管控</w:t>
      </w:r>
    </w:p>
    <w:p>
      <w:pPr>
        <w:spacing w:line="520" w:lineRule="exact"/>
        <w:ind w:firstLine="560" w:firstLineChars="200"/>
        <w:rPr>
          <w:rFonts w:ascii="Times New Roman" w:hAnsi="Times New Roman" w:eastAsia="仿宋_GB2312" w:cs="Times New Roman"/>
          <w:b/>
          <w:color w:val="000000" w:themeColor="text1"/>
          <w:sz w:val="28"/>
          <w:szCs w:val="28"/>
        </w:rPr>
      </w:pPr>
      <w:r>
        <w:rPr>
          <w:rFonts w:ascii="Times New Roman" w:hAnsi="Times New Roman" w:eastAsia="仿宋_GB2312" w:cs="Times New Roman"/>
          <w:color w:val="000000" w:themeColor="text1"/>
          <w:sz w:val="28"/>
          <w:szCs w:val="28"/>
        </w:rPr>
        <w:t>落实省</w:t>
      </w:r>
      <w:r>
        <w:rPr>
          <w:rFonts w:hint="eastAsia" w:ascii="Times New Roman" w:hAnsi="Times New Roman" w:eastAsia="仿宋_GB2312" w:cs="Times New Roman"/>
          <w:color w:val="000000" w:themeColor="text1"/>
          <w:sz w:val="28"/>
          <w:szCs w:val="28"/>
        </w:rPr>
        <w:t>市</w:t>
      </w:r>
      <w:r>
        <w:rPr>
          <w:rFonts w:ascii="Times New Roman" w:hAnsi="Times New Roman" w:eastAsia="仿宋_GB2312" w:cs="Times New Roman"/>
          <w:color w:val="000000" w:themeColor="text1"/>
          <w:sz w:val="28"/>
          <w:szCs w:val="28"/>
        </w:rPr>
        <w:t>空间规划相关要求，明确生态修复目标、任务和重点区域，确定土地综合整治与生态保护修复工程的规模、布局和时序以及各类自然保护地范围边界，提出生态修复要求</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严守长江经济带战略环评“三线一单”，将生态保护红线作为各项决策的重要依据和前提条件，加快制定有利于提升和保障生态功能的土地、产业、投资等配套政策，严把项目环境准入关</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确保安居区生态功能不降低、面积不减少、性质不改变。建立生态保护红线常态化执法机制，建立完善生态红线监测网络和监管平台，实现生态风险及时预警。</w:t>
      </w:r>
      <w:r>
        <w:rPr>
          <w:rFonts w:hint="eastAsia" w:ascii="Times New Roman" w:hAnsi="Times New Roman" w:eastAsia="仿宋_GB2312" w:cs="Times New Roman"/>
          <w:color w:val="000000" w:themeColor="text1"/>
          <w:sz w:val="28"/>
          <w:szCs w:val="28"/>
        </w:rPr>
        <w:t>严格落实“三线一单”生态环境分区管控制度，构建“三线一单”长效管理机制与动态调整机制，充分运用5G、大数据等现代信息技术，推进“三线一单”信息管理平台建设，实现动态管理与数据共享。</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持续推进生态保护修复</w:t>
      </w:r>
    </w:p>
    <w:p>
      <w:pPr>
        <w:pStyle w:val="38"/>
        <w:autoSpaceDE/>
        <w:autoSpaceDN/>
        <w:adjustRightInd/>
        <w:spacing w:line="520" w:lineRule="exact"/>
        <w:ind w:firstLine="562" w:firstLineChars="200"/>
        <w:jc w:val="both"/>
        <w:rPr>
          <w:rFonts w:ascii="Times New Roman" w:hAnsi="Times New Roman" w:cs="Times New Roman"/>
          <w:sz w:val="28"/>
          <w:szCs w:val="28"/>
        </w:rPr>
      </w:pPr>
      <w:r>
        <w:rPr>
          <w:rFonts w:ascii="Times New Roman" w:hAnsi="Times New Roman" w:eastAsia="仿宋_GB2312" w:cs="Times New Roman"/>
          <w:b/>
          <w:color w:val="000000" w:themeColor="text1"/>
          <w:sz w:val="28"/>
          <w:szCs w:val="28"/>
        </w:rPr>
        <w:t>强化河湖、湿地生态系统保护。</w:t>
      </w:r>
      <w:r>
        <w:rPr>
          <w:rFonts w:ascii="Times New Roman" w:hAnsi="Times New Roman" w:eastAsia="仿宋_GB2312" w:cs="Times New Roman"/>
          <w:color w:val="000000" w:themeColor="text1"/>
          <w:sz w:val="28"/>
          <w:szCs w:val="28"/>
        </w:rPr>
        <w:t>积极采取水量调度、湖滨带生态修复、生态补水、河湖水系连通等措施，统筹推进湿地保护与修复、退耕还湿、退渔还湖、天然植被恢复等工程，持续改善水环境质量。加强三仙湖、</w:t>
      </w:r>
      <w:r>
        <w:rPr>
          <w:rFonts w:hint="eastAsia" w:ascii="Times New Roman" w:hAnsi="Times New Roman" w:eastAsia="仿宋_GB2312" w:cs="Times New Roman"/>
          <w:color w:val="000000" w:themeColor="text1"/>
          <w:sz w:val="28"/>
          <w:szCs w:val="28"/>
        </w:rPr>
        <w:t>莲花湖</w:t>
      </w:r>
      <w:r>
        <w:rPr>
          <w:rFonts w:ascii="Times New Roman" w:hAnsi="Times New Roman" w:eastAsia="仿宋_GB2312" w:cs="Times New Roman"/>
          <w:color w:val="000000" w:themeColor="text1"/>
          <w:sz w:val="28"/>
          <w:szCs w:val="28"/>
        </w:rPr>
        <w:t>水库、</w:t>
      </w:r>
      <w:r>
        <w:rPr>
          <w:rFonts w:hint="eastAsia" w:ascii="Times New Roman" w:hAnsi="Times New Roman" w:eastAsia="仿宋_GB2312" w:cs="Times New Roman"/>
          <w:color w:val="000000" w:themeColor="text1"/>
          <w:sz w:val="28"/>
          <w:szCs w:val="28"/>
        </w:rPr>
        <w:t>禅月湖</w:t>
      </w:r>
      <w:r>
        <w:rPr>
          <w:rFonts w:ascii="Times New Roman" w:hAnsi="Times New Roman" w:eastAsia="仿宋_GB2312" w:cs="Times New Roman"/>
          <w:color w:val="000000" w:themeColor="text1"/>
          <w:sz w:val="28"/>
          <w:szCs w:val="28"/>
        </w:rPr>
        <w:t>水库等重点</w:t>
      </w:r>
      <w:r>
        <w:rPr>
          <w:rFonts w:hint="eastAsia" w:ascii="Times New Roman" w:hAnsi="Times New Roman" w:eastAsia="仿宋_GB2312" w:cs="Times New Roman"/>
          <w:color w:val="000000" w:themeColor="text1"/>
          <w:sz w:val="28"/>
          <w:szCs w:val="28"/>
        </w:rPr>
        <w:t>水域</w:t>
      </w:r>
      <w:r>
        <w:rPr>
          <w:rFonts w:ascii="Times New Roman" w:hAnsi="Times New Roman" w:eastAsia="仿宋_GB2312" w:cs="Times New Roman"/>
          <w:color w:val="000000" w:themeColor="text1"/>
          <w:sz w:val="28"/>
          <w:szCs w:val="28"/>
        </w:rPr>
        <w:t>生态安全体系建设，推进</w:t>
      </w:r>
      <w:r>
        <w:rPr>
          <w:rFonts w:ascii="Times New Roman" w:hAnsi="Times New Roman" w:eastAsia="仿宋_GB2312" w:cs="Times New Roman"/>
          <w:sz w:val="28"/>
          <w:szCs w:val="28"/>
        </w:rPr>
        <w:t>安居区中小型灌渠干渠生态改造，实施西眉河、蟠龙河等10多河道以及会安家沟水库、白鸽嘴水库等20多座小型水库生态修复工程。</w:t>
      </w:r>
      <w:r>
        <w:rPr>
          <w:rFonts w:ascii="Times New Roman" w:hAnsi="Times New Roman" w:eastAsia="仿宋_GB2312" w:cs="Times New Roman"/>
          <w:color w:val="000000" w:themeColor="text1"/>
          <w:sz w:val="28"/>
          <w:szCs w:val="28"/>
        </w:rPr>
        <w:t>开展琼江、</w:t>
      </w:r>
      <w:r>
        <w:rPr>
          <w:rFonts w:hint="eastAsia" w:ascii="Times New Roman" w:hAnsi="Times New Roman" w:eastAsia="仿宋_GB2312" w:cs="Times New Roman"/>
          <w:color w:val="000000" w:themeColor="text1"/>
          <w:sz w:val="28"/>
          <w:szCs w:val="28"/>
        </w:rPr>
        <w:t>西眉河</w:t>
      </w:r>
      <w:r>
        <w:rPr>
          <w:rFonts w:ascii="Times New Roman" w:hAnsi="Times New Roman" w:eastAsia="仿宋_GB2312" w:cs="Times New Roman"/>
          <w:color w:val="000000" w:themeColor="text1"/>
          <w:sz w:val="28"/>
          <w:szCs w:val="28"/>
        </w:rPr>
        <w:t>等流域生态廊道建设，实施生态护坡、自然植被护岸等措施，构筑河湖沿岸生态屏障。建立完善湿地保护体系，推进琼江湿地建设，扩大湿地面积，改善湿地生态质量，增强湿地生态功能，</w:t>
      </w:r>
      <w:r>
        <w:rPr>
          <w:rFonts w:hint="eastAsia" w:ascii="Times New Roman" w:hAnsi="Times New Roman" w:eastAsia="仿宋_GB2312" w:cs="Times New Roman"/>
          <w:color w:val="000000" w:themeColor="text1"/>
          <w:sz w:val="28"/>
          <w:szCs w:val="28"/>
        </w:rPr>
        <w:t>推进三仙湖水库饮用水水源保护区的“划、立、治”工作。</w:t>
      </w:r>
    </w:p>
    <w:p>
      <w:pPr>
        <w:spacing w:line="520" w:lineRule="exact"/>
        <w:ind w:firstLine="562" w:firstLineChars="200"/>
        <w:rPr>
          <w:rFonts w:ascii="Times New Roman" w:hAnsi="Times New Roman" w:eastAsia="仿宋_GB2312" w:cs="Times New Roman"/>
          <w:color w:val="000000" w:themeColor="text1"/>
          <w:sz w:val="28"/>
          <w:szCs w:val="28"/>
        </w:rPr>
      </w:pPr>
      <w:r>
        <w:rPr>
          <w:rFonts w:hint="eastAsia" w:ascii="Times New Roman" w:hAnsi="Times New Roman" w:eastAsia="仿宋_GB2312" w:cs="Times New Roman"/>
          <w:b/>
          <w:color w:val="000000" w:themeColor="text1"/>
          <w:sz w:val="28"/>
          <w:szCs w:val="28"/>
        </w:rPr>
        <w:t>开展重点生态功能修复</w:t>
      </w:r>
      <w:r>
        <w:rPr>
          <w:rFonts w:ascii="Times New Roman" w:hAnsi="Times New Roman" w:eastAsia="仿宋_GB2312" w:cs="Times New Roman"/>
          <w:b/>
          <w:color w:val="000000" w:themeColor="text1"/>
          <w:sz w:val="28"/>
          <w:szCs w:val="28"/>
        </w:rPr>
        <w:t>。</w:t>
      </w:r>
      <w:r>
        <w:rPr>
          <w:rFonts w:ascii="Times New Roman" w:hAnsi="Times New Roman" w:eastAsia="仿宋_GB2312" w:cs="Times New Roman"/>
          <w:color w:val="000000" w:themeColor="text1"/>
          <w:sz w:val="28"/>
          <w:szCs w:val="28"/>
        </w:rPr>
        <w:t>积极推进</w:t>
      </w:r>
      <w:r>
        <w:rPr>
          <w:rFonts w:hint="eastAsia" w:ascii="Times New Roman" w:hAnsi="Times New Roman" w:eastAsia="仿宋_GB2312" w:cs="Times New Roman"/>
          <w:color w:val="000000" w:themeColor="text1"/>
          <w:sz w:val="28"/>
          <w:szCs w:val="28"/>
        </w:rPr>
        <w:t>国家生态文明建设示范区建设，</w:t>
      </w:r>
      <w:r>
        <w:rPr>
          <w:rFonts w:ascii="Times New Roman" w:hAnsi="Times New Roman" w:eastAsia="仿宋_GB2312" w:cs="Times New Roman"/>
          <w:color w:val="000000" w:themeColor="text1"/>
          <w:sz w:val="28"/>
          <w:szCs w:val="28"/>
        </w:rPr>
        <w:t>按照“因地制宜、因区施策”的原则，采取</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自然恢复更新为主</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人工促进修复</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相结合的措施</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深入开展国土绿化行动等工程，</w:t>
      </w:r>
      <w:r>
        <w:rPr>
          <w:rFonts w:hint="eastAsia" w:ascii="Times New Roman" w:hAnsi="Times New Roman" w:eastAsia="仿宋_GB2312" w:cs="Times New Roman"/>
          <w:color w:val="000000" w:themeColor="text1"/>
          <w:sz w:val="28"/>
          <w:szCs w:val="28"/>
        </w:rPr>
        <w:t>提升安居区生态系统质量和稳定性。严格落实林长制，开展生态园林城市建设，争创国家森林城市。</w:t>
      </w:r>
      <w:r>
        <w:rPr>
          <w:rFonts w:ascii="Times New Roman" w:hAnsi="Times New Roman" w:eastAsia="仿宋_GB2312" w:cs="Times New Roman"/>
          <w:color w:val="000000" w:themeColor="text1"/>
          <w:sz w:val="28"/>
          <w:szCs w:val="28"/>
        </w:rPr>
        <w:t>加强水土流失综合治理，构建水土保持综合防护体系，建设沿江、沿河、环湖水资源保护带和生态隔离带，重点开展琼江流域玉丰段水源涵养，增强水源涵养和水土保持能力。大力推进废弃矿山修复工作，明确修复职责，出台修复办法，制定实施方案，实现矿山生态恢复治理突破。</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加强生物多样性保护。</w:t>
      </w:r>
      <w:r>
        <w:rPr>
          <w:rFonts w:ascii="Times New Roman" w:hAnsi="Times New Roman" w:eastAsia="仿宋_GB2312" w:cs="Times New Roman"/>
          <w:color w:val="000000" w:themeColor="text1"/>
          <w:sz w:val="28"/>
          <w:szCs w:val="28"/>
        </w:rPr>
        <w:t>实施生物多样性保护战略与行动计划。强化莲花湖、三仙湖等</w:t>
      </w:r>
      <w:r>
        <w:rPr>
          <w:rFonts w:hint="eastAsia" w:ascii="Times New Roman" w:hAnsi="Times New Roman" w:eastAsia="仿宋_GB2312" w:cs="Times New Roman"/>
          <w:color w:val="000000" w:themeColor="text1"/>
          <w:sz w:val="28"/>
          <w:szCs w:val="28"/>
        </w:rPr>
        <w:t>重点区域</w:t>
      </w:r>
      <w:r>
        <w:rPr>
          <w:rFonts w:ascii="Times New Roman" w:hAnsi="Times New Roman" w:eastAsia="仿宋_GB2312" w:cs="Times New Roman"/>
          <w:color w:val="000000" w:themeColor="text1"/>
          <w:sz w:val="28"/>
          <w:szCs w:val="28"/>
        </w:rPr>
        <w:t>建设，保护典型生态系统、物种、基因和景观的多样性。严格按照相关法律法规对保护地内的人类活动进行监管，实现生物资源的就地保护。推进新生水库、</w:t>
      </w:r>
      <w:r>
        <w:rPr>
          <w:rFonts w:hint="eastAsia" w:ascii="Times New Roman" w:hAnsi="Times New Roman" w:eastAsia="仿宋_GB2312" w:cs="Times New Roman"/>
          <w:color w:val="000000" w:themeColor="text1"/>
          <w:sz w:val="28"/>
          <w:szCs w:val="28"/>
        </w:rPr>
        <w:t>莲花湖</w:t>
      </w:r>
      <w:r>
        <w:rPr>
          <w:rFonts w:ascii="Times New Roman" w:hAnsi="Times New Roman" w:eastAsia="仿宋_GB2312" w:cs="Times New Roman"/>
          <w:color w:val="000000" w:themeColor="text1"/>
          <w:sz w:val="28"/>
          <w:szCs w:val="28"/>
        </w:rPr>
        <w:t>等饮用水水源地</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源头山区及湿地生态恢复、生物多样性保护、生物栖息地生态林建设。</w:t>
      </w:r>
      <w:r>
        <w:rPr>
          <w:rFonts w:hint="eastAsia" w:ascii="Times New Roman" w:hAnsi="Times New Roman" w:eastAsia="仿宋_GB2312" w:cs="Times New Roman"/>
          <w:color w:val="000000" w:themeColor="text1"/>
          <w:sz w:val="28"/>
          <w:szCs w:val="28"/>
        </w:rPr>
        <w:t>严格落实长江十年禁渔，依法查处破坏生态环境的违法行为。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adjustRightInd w:val="0"/>
              <w:snapToGrid w:val="0"/>
              <w:spacing w:line="400" w:lineRule="exact"/>
              <w:jc w:val="center"/>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4"/>
                <w:szCs w:val="28"/>
              </w:rPr>
              <w:t>专栏6-1  生态环境保护与修复重点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5000" w:type="pct"/>
          </w:tcPr>
          <w:p>
            <w:pPr>
              <w:widowControl/>
              <w:adjustRightInd w:val="0"/>
              <w:snapToGrid w:val="0"/>
              <w:spacing w:line="400" w:lineRule="exact"/>
              <w:ind w:firstLine="482" w:firstLineChars="200"/>
              <w:rPr>
                <w:rFonts w:ascii="Times New Roman" w:hAnsi="Times New Roman" w:eastAsia="仿宋_GB2312" w:cs="Times New Roman"/>
                <w:b/>
                <w:color w:val="000000" w:themeColor="text1"/>
                <w:sz w:val="24"/>
                <w:szCs w:val="28"/>
              </w:rPr>
            </w:pPr>
            <w:r>
              <w:rPr>
                <w:rFonts w:ascii="Times New Roman" w:hAnsi="Times New Roman" w:eastAsia="仿宋_GB2312" w:cs="Times New Roman"/>
                <w:b/>
                <w:color w:val="000000" w:themeColor="text1"/>
                <w:sz w:val="24"/>
                <w:szCs w:val="28"/>
              </w:rPr>
              <w:t>国土空间绿化行动：</w:t>
            </w:r>
            <w:r>
              <w:rPr>
                <w:rFonts w:ascii="Times New Roman" w:hAnsi="Times New Roman" w:eastAsia="仿宋_GB2312" w:cs="Times New Roman"/>
                <w:color w:val="000000" w:themeColor="text1"/>
                <w:sz w:val="24"/>
                <w:szCs w:val="28"/>
              </w:rPr>
              <w:t>安居区三家域内琼江流域生态环境保护项目（森林生态修复及生物多样性保护）。</w:t>
            </w:r>
          </w:p>
          <w:p>
            <w:pPr>
              <w:widowControl/>
              <w:adjustRightInd w:val="0"/>
              <w:snapToGrid w:val="0"/>
              <w:spacing w:line="400" w:lineRule="exact"/>
              <w:ind w:firstLine="482" w:firstLineChars="200"/>
              <w:rPr>
                <w:rFonts w:ascii="Times New Roman" w:hAnsi="Times New Roman" w:eastAsia="仿宋_GB2312" w:cs="Times New Roman"/>
                <w:color w:val="000000" w:themeColor="text1"/>
                <w:sz w:val="24"/>
                <w:szCs w:val="28"/>
              </w:rPr>
            </w:pPr>
            <w:r>
              <w:rPr>
                <w:rFonts w:ascii="Times New Roman" w:hAnsi="Times New Roman" w:eastAsia="仿宋_GB2312" w:cs="Times New Roman"/>
                <w:b/>
                <w:color w:val="000000" w:themeColor="text1"/>
                <w:sz w:val="24"/>
                <w:szCs w:val="28"/>
              </w:rPr>
              <w:t>江河、湖库及其沿岸保护：</w:t>
            </w:r>
            <w:r>
              <w:rPr>
                <w:rFonts w:ascii="Times New Roman" w:hAnsi="Times New Roman" w:eastAsia="仿宋_GB2312" w:cs="Times New Roman"/>
                <w:color w:val="000000" w:themeColor="text1"/>
                <w:sz w:val="24"/>
                <w:szCs w:val="28"/>
              </w:rPr>
              <w:t>安居区高滩坝饮用水水源地区标准化建设、安居三仙湖水库饮用水水源地标准化建设、安居区饮用水水质自动站建设、安居区</w:t>
            </w:r>
            <w:r>
              <w:rPr>
                <w:rFonts w:ascii="Times New Roman" w:hAnsi="Times New Roman" w:eastAsia="仿宋_GB2312" w:cs="Times New Roman"/>
                <w:sz w:val="24"/>
                <w:szCs w:val="21"/>
              </w:rPr>
              <w:t>莲花湖</w:t>
            </w:r>
            <w:r>
              <w:rPr>
                <w:rFonts w:ascii="Times New Roman" w:hAnsi="Times New Roman" w:eastAsia="仿宋_GB2312" w:cs="Times New Roman"/>
                <w:color w:val="000000" w:themeColor="text1"/>
                <w:sz w:val="24"/>
                <w:szCs w:val="28"/>
              </w:rPr>
              <w:t>水库饮用水水源地生态修复及规范化建设项目、安居区琼江流域东禅-玉丰段水源涵养项目。</w:t>
            </w:r>
          </w:p>
          <w:p>
            <w:pPr>
              <w:widowControl/>
              <w:adjustRightInd w:val="0"/>
              <w:snapToGrid w:val="0"/>
              <w:spacing w:line="400" w:lineRule="exact"/>
              <w:ind w:firstLine="466"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pacing w:val="-4"/>
                <w:sz w:val="24"/>
                <w:szCs w:val="28"/>
              </w:rPr>
              <w:t>重点区域生态保护修复：</w:t>
            </w:r>
            <w:r>
              <w:rPr>
                <w:rFonts w:ascii="Times New Roman" w:hAnsi="Times New Roman" w:eastAsia="仿宋_GB2312" w:cs="Times New Roman"/>
                <w:color w:val="000000" w:themeColor="text1"/>
                <w:spacing w:val="-4"/>
                <w:sz w:val="24"/>
                <w:szCs w:val="28"/>
                <w:shd w:val="clear" w:color="auto" w:fill="FFFFFF"/>
              </w:rPr>
              <w:t>安居区琼江安居段水生态修复项目、安居区重点生态保护修复治理（关闭非煤矿山植被恢复），进行10处废弃矿山综合治理。</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24" w:name="_Toc26257"/>
      <w:bookmarkStart w:id="125" w:name="_Toc2423"/>
      <w:bookmarkStart w:id="126" w:name="_Toc65153190"/>
      <w:bookmarkStart w:id="127" w:name="_Toc4588"/>
      <w:r>
        <w:rPr>
          <w:rFonts w:hint="eastAsia" w:ascii="方正黑体简体" w:hAnsi="方正黑体简体" w:eastAsia="方正黑体简体" w:cs="方正黑体简体"/>
          <w:b w:val="0"/>
          <w:bCs w:val="0"/>
        </w:rPr>
        <w:t>第二十一章 推进环境治理现代化建设</w:t>
      </w:r>
      <w:bookmarkEnd w:id="124"/>
      <w:bookmarkEnd w:id="125"/>
      <w:bookmarkEnd w:id="126"/>
      <w:bookmarkEnd w:id="127"/>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完善生态环境治理体系</w:t>
      </w:r>
    </w:p>
    <w:p>
      <w:pPr>
        <w:spacing w:line="520" w:lineRule="exact"/>
        <w:ind w:firstLine="562"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b/>
          <w:snapToGrid w:val="0"/>
          <w:kern w:val="0"/>
          <w:sz w:val="28"/>
          <w:szCs w:val="28"/>
        </w:rPr>
        <w:t>健全区域生态补偿制度体系。</w:t>
      </w:r>
      <w:r>
        <w:rPr>
          <w:rFonts w:ascii="Times New Roman" w:hAnsi="Times New Roman" w:eastAsia="仿宋_GB2312" w:cs="Times New Roman"/>
          <w:snapToGrid w:val="0"/>
          <w:kern w:val="0"/>
          <w:sz w:val="28"/>
          <w:szCs w:val="28"/>
        </w:rPr>
        <w:t>按照“谁开发、谁保护，谁受益、谁补偿”原则，积极开展生态补偿工作，加快建立符合区域特色的生态保护补偿制度。完善重要生态功能区的保护和补偿机制，推进琼江等流域、三仙湖水库等流域源头区生态保护补偿研究，制定市场化、多元化生态补偿机制和资源开发补偿等区际利益平衡机制。建立健全琼江、蟠龙河等流域岸线保护和开发利用协调机制，统筹岸线与后方土地的使用和管理，科学合理利用河湖岸线资源，探索建立岸线资源有偿使用制度。推进横向生态环境保护补偿，开展园区共建、飞地经济等跨区域合作。</w:t>
      </w:r>
    </w:p>
    <w:p>
      <w:pPr>
        <w:spacing w:line="520" w:lineRule="exact"/>
        <w:ind w:firstLine="562"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b/>
          <w:snapToGrid w:val="0"/>
          <w:kern w:val="0"/>
          <w:sz w:val="28"/>
          <w:szCs w:val="28"/>
        </w:rPr>
        <w:t>完善生态环境保护机制。</w:t>
      </w:r>
      <w:r>
        <w:rPr>
          <w:rFonts w:ascii="Times New Roman" w:hAnsi="Times New Roman" w:eastAsia="仿宋_GB2312" w:cs="Times New Roman"/>
          <w:snapToGrid w:val="0"/>
          <w:kern w:val="0"/>
          <w:sz w:val="28"/>
          <w:szCs w:val="28"/>
        </w:rPr>
        <w:t>健全环境治理领导责任体系，落实党政领导责任，严格环保目标管理，健全生态环境保护督察机制。健全环境治理企业责任体系，落实生产者责任延伸制度。健全环境治理全民行动体系，强化社会监督，发挥各类社会团体作用，完善公众监督、举报反馈等机制。健全环境治理监管体系，加强生态空间管控，完善资源环境承载能力监测预警机制、优化环境监管执法方式、强化环境保护司法联动。健全环境治理市场体系，培育规范环境治理市场，大力发展环保产业，创新环境治理模式，完善绿色价格机制。健全环境治理信用体系，加强政务诚信建设，健全企业环保信用评价制度。健全环境治理政策体系，加强财政资金支持，落实税收调控政策，完善金融扶持政策。积极参与成渝地区环境污染联防联控，协同推进区域信息共享、联合执法、环评会商、协调预警机制建立健全。</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扎实推进污染综合防治</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纵深推进大气污染防治行动。</w:t>
      </w:r>
      <w:r>
        <w:rPr>
          <w:rFonts w:ascii="Times New Roman" w:hAnsi="Times New Roman" w:eastAsia="仿宋_GB2312" w:cs="Times New Roman"/>
          <w:color w:val="000000" w:themeColor="text1"/>
          <w:sz w:val="28"/>
          <w:szCs w:val="28"/>
        </w:rPr>
        <w:t>积极</w:t>
      </w:r>
      <w:r>
        <w:rPr>
          <w:rFonts w:hint="eastAsia" w:ascii="Times New Roman" w:hAnsi="Times New Roman" w:eastAsia="仿宋_GB2312" w:cs="Times New Roman"/>
          <w:color w:val="000000" w:themeColor="text1"/>
          <w:sz w:val="28"/>
          <w:szCs w:val="28"/>
        </w:rPr>
        <w:t>参与</w:t>
      </w:r>
      <w:r>
        <w:rPr>
          <w:rFonts w:ascii="Times New Roman" w:hAnsi="Times New Roman" w:eastAsia="仿宋_GB2312" w:cs="Times New Roman"/>
          <w:color w:val="000000" w:themeColor="text1"/>
          <w:sz w:val="28"/>
          <w:szCs w:val="28"/>
        </w:rPr>
        <w:t>成渝</w:t>
      </w:r>
      <w:r>
        <w:rPr>
          <w:rFonts w:hint="eastAsia" w:ascii="Times New Roman" w:hAnsi="Times New Roman" w:eastAsia="仿宋_GB2312" w:cs="Times New Roman"/>
          <w:color w:val="000000" w:themeColor="text1"/>
          <w:sz w:val="28"/>
          <w:szCs w:val="28"/>
        </w:rPr>
        <w:t>地区</w:t>
      </w:r>
      <w:r>
        <w:rPr>
          <w:rFonts w:ascii="Times New Roman" w:hAnsi="Times New Roman" w:eastAsia="仿宋_GB2312" w:cs="Times New Roman"/>
          <w:color w:val="000000" w:themeColor="text1"/>
          <w:sz w:val="28"/>
          <w:szCs w:val="28"/>
        </w:rPr>
        <w:t>双城经济圈</w:t>
      </w:r>
      <w:r>
        <w:rPr>
          <w:rFonts w:hint="eastAsia" w:ascii="Times New Roman" w:hAnsi="Times New Roman" w:eastAsia="仿宋_GB2312" w:cs="Times New Roman"/>
          <w:color w:val="000000" w:themeColor="text1"/>
          <w:sz w:val="28"/>
          <w:szCs w:val="28"/>
        </w:rPr>
        <w:t>等区域</w:t>
      </w:r>
      <w:r>
        <w:rPr>
          <w:rFonts w:ascii="Times New Roman" w:hAnsi="Times New Roman" w:eastAsia="仿宋_GB2312" w:cs="Times New Roman"/>
          <w:color w:val="000000" w:themeColor="text1"/>
          <w:sz w:val="28"/>
          <w:szCs w:val="28"/>
        </w:rPr>
        <w:t>大气污染联防联控体系与机制建设，协同开展区域大气污染综合整治。着力强化大气二次污染物、细微颗粒物</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臭氧等污染物以及温室气体的协同治理能力。建立“源头-过程-末端”治理模式、探索推进“一行一策”，实施VOCs全过程综合整治，实施化工、工业涂装、包装印刷、机动车等重点行业挥发性有机物综合整治工程。加大重污染天气应对力度，按照“一厂一策”的原则，督促大气重点监管单位编制重污染天气应急方案。建立健全重污染天气监测、预警和应急响应体系，完善大气复合污染监测系统。</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严格落实水污染防治行动计划。</w:t>
      </w:r>
      <w:r>
        <w:rPr>
          <w:rFonts w:hint="eastAsia" w:ascii="Times New Roman" w:hAnsi="Times New Roman" w:eastAsia="仿宋_GB2312" w:cs="Times New Roman"/>
          <w:color w:val="000000" w:themeColor="text1"/>
          <w:sz w:val="28"/>
          <w:szCs w:val="28"/>
        </w:rPr>
        <w:t>严格落实“河长制+警长制”</w:t>
      </w:r>
      <w:r>
        <w:rPr>
          <w:rFonts w:ascii="Times New Roman" w:hAnsi="Times New Roman" w:eastAsia="仿宋_GB2312" w:cs="Times New Roman"/>
          <w:color w:val="000000" w:themeColor="text1"/>
          <w:sz w:val="28"/>
          <w:szCs w:val="28"/>
        </w:rPr>
        <w:t>，按照“一河一策”要求，推进重点流域水污染防治。制定水资源、水环境承载力评价及监测预警方案，实现地表水、地下水统筹管控。全力推进琼江河流域生态治理项目实施，确保大安断面</w:t>
      </w:r>
      <w:r>
        <w:rPr>
          <w:rFonts w:hint="eastAsia" w:ascii="Times New Roman" w:hAnsi="Times New Roman" w:eastAsia="仿宋_GB2312" w:cs="Times New Roman"/>
          <w:color w:val="000000" w:themeColor="text1"/>
          <w:sz w:val="28"/>
          <w:szCs w:val="28"/>
        </w:rPr>
        <w:t>、跑马滩断面</w:t>
      </w:r>
      <w:r>
        <w:rPr>
          <w:rFonts w:ascii="Times New Roman" w:hAnsi="Times New Roman" w:eastAsia="仿宋_GB2312" w:cs="Times New Roman"/>
          <w:color w:val="000000" w:themeColor="text1"/>
          <w:sz w:val="28"/>
          <w:szCs w:val="28"/>
        </w:rPr>
        <w:t>水质稳定达标、</w:t>
      </w:r>
      <w:r>
        <w:rPr>
          <w:rFonts w:hint="eastAsia" w:ascii="Times New Roman" w:hAnsi="Times New Roman" w:eastAsia="仿宋_GB2312" w:cs="Times New Roman"/>
          <w:color w:val="000000" w:themeColor="text1"/>
          <w:sz w:val="28"/>
          <w:szCs w:val="28"/>
        </w:rPr>
        <w:t>白鹤桥断面在2025年年平均水质达标</w:t>
      </w:r>
      <w:r>
        <w:rPr>
          <w:rFonts w:ascii="Times New Roman" w:hAnsi="Times New Roman" w:eastAsia="仿宋_GB2312" w:cs="Times New Roman"/>
          <w:color w:val="000000" w:themeColor="text1"/>
          <w:sz w:val="28"/>
          <w:szCs w:val="28"/>
        </w:rPr>
        <w:t>。加强农村</w:t>
      </w:r>
      <w:r>
        <w:rPr>
          <w:rFonts w:hint="eastAsia" w:ascii="Times New Roman" w:hAnsi="Times New Roman" w:eastAsia="仿宋_GB2312" w:cs="Times New Roman"/>
          <w:color w:val="000000" w:themeColor="text1"/>
          <w:sz w:val="28"/>
          <w:szCs w:val="28"/>
        </w:rPr>
        <w:t>污水</w:t>
      </w:r>
      <w:r>
        <w:rPr>
          <w:rFonts w:ascii="Times New Roman" w:hAnsi="Times New Roman" w:eastAsia="仿宋_GB2312" w:cs="Times New Roman"/>
          <w:color w:val="000000" w:themeColor="text1"/>
          <w:sz w:val="28"/>
          <w:szCs w:val="28"/>
        </w:rPr>
        <w:t>与农业面源污染治理，推进农膜使用和农田残膜回收利用“减量化、资源化、无害化”，实施测土配方施肥和化肥农药减量增效工程。</w:t>
      </w:r>
      <w:r>
        <w:rPr>
          <w:rFonts w:hint="eastAsia" w:ascii="Times New Roman" w:hAnsi="Times New Roman" w:eastAsia="仿宋_GB2312" w:cs="Times New Roman"/>
          <w:color w:val="000000" w:themeColor="text1"/>
          <w:sz w:val="28"/>
          <w:szCs w:val="28"/>
        </w:rPr>
        <w:t>实施“巩固琼江河、攻坚西眉河”行动，推动场镇污水处理厂稳定达标、农村居民聚居点污水处理站建设运行，开展全域病害管网整治行动。</w:t>
      </w:r>
      <w:r>
        <w:rPr>
          <w:rFonts w:ascii="Times New Roman" w:hAnsi="Times New Roman" w:eastAsia="仿宋_GB2312" w:cs="Times New Roman"/>
          <w:color w:val="000000" w:themeColor="text1"/>
          <w:sz w:val="28"/>
          <w:szCs w:val="28"/>
        </w:rPr>
        <w:t>加强工业企业水污染综合治理，推进龙眼井污水处理厂扩容，集中治理工业集聚区水污染。</w:t>
      </w:r>
      <w:r>
        <w:rPr>
          <w:rFonts w:hint="eastAsia" w:ascii="Times New Roman" w:hAnsi="Times New Roman" w:eastAsia="仿宋_GB2312" w:cs="Times New Roman"/>
          <w:color w:val="000000" w:themeColor="text1"/>
          <w:sz w:val="28"/>
          <w:szCs w:val="28"/>
        </w:rPr>
        <w:t>实施</w:t>
      </w:r>
      <w:r>
        <w:rPr>
          <w:rFonts w:ascii="Times New Roman" w:hAnsi="Times New Roman" w:eastAsia="仿宋_GB2312" w:cs="Times New Roman"/>
          <w:color w:val="000000" w:themeColor="text1"/>
          <w:sz w:val="28"/>
          <w:szCs w:val="28"/>
        </w:rPr>
        <w:t>地下水污染防治</w:t>
      </w:r>
      <w:r>
        <w:rPr>
          <w:rFonts w:hint="eastAsia" w:ascii="Times New Roman" w:hAnsi="Times New Roman" w:eastAsia="仿宋_GB2312" w:cs="Times New Roman"/>
          <w:color w:val="000000" w:themeColor="text1"/>
          <w:sz w:val="28"/>
          <w:szCs w:val="28"/>
        </w:rPr>
        <w:t>工程</w:t>
      </w:r>
      <w:r>
        <w:rPr>
          <w:rFonts w:ascii="Times New Roman" w:hAnsi="Times New Roman" w:eastAsia="仿宋_GB2312" w:cs="Times New Roman"/>
          <w:color w:val="000000" w:themeColor="text1"/>
          <w:sz w:val="28"/>
          <w:szCs w:val="28"/>
        </w:rPr>
        <w:t>，强化工业固废处置场地、垃圾填埋场地等重点场地的地下水污染防治。</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全面强化土壤污染治理与修复。</w:t>
      </w:r>
      <w:r>
        <w:rPr>
          <w:rFonts w:ascii="Times New Roman" w:hAnsi="Times New Roman" w:eastAsia="仿宋_GB2312" w:cs="Times New Roman"/>
          <w:color w:val="000000" w:themeColor="text1"/>
          <w:sz w:val="28"/>
          <w:szCs w:val="28"/>
        </w:rPr>
        <w:t>深入开展土壤环境质量调查和评估，</w:t>
      </w:r>
      <w:r>
        <w:rPr>
          <w:rFonts w:hint="eastAsia" w:ascii="Times New Roman" w:hAnsi="Times New Roman" w:eastAsia="仿宋_GB2312" w:cs="Times New Roman"/>
          <w:color w:val="000000" w:themeColor="text1"/>
          <w:sz w:val="28"/>
          <w:szCs w:val="28"/>
        </w:rPr>
        <w:t>建立健全</w:t>
      </w:r>
      <w:r>
        <w:rPr>
          <w:rFonts w:ascii="Times New Roman" w:hAnsi="Times New Roman" w:eastAsia="仿宋_GB2312" w:cs="Times New Roman"/>
          <w:color w:val="000000" w:themeColor="text1"/>
          <w:sz w:val="28"/>
          <w:szCs w:val="28"/>
        </w:rPr>
        <w:t>土壤环境基础数据库与监测网络，全面提升土壤环境信息化管理水平。严格控制新增土壤污染，强化未污染土壤保护，开展耕地土壤和农产品协同监测与评价。加强污染土地安全利用管理，鼓励对工业污染地块，采用“环境修复+开发建设”模式。强化污染场地开发利用监管，建立土壤污染的责任追究制度，积极鼓励社会资金参与土壤污染防治</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强化危废、固废源头控制，推进垃圾减量化、资源化和无害化。加强工业固废、建筑废弃物的综合利用和安全处置，提高固体废物的资源利用率。加快生活垃圾分类处理，推进生活垃圾无害化处理设施的规划建设</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建全城乡生活垃圾收运处理系统，加快</w:t>
      </w:r>
      <w:r>
        <w:rPr>
          <w:rFonts w:hint="eastAsia" w:ascii="Times New Roman" w:hAnsi="Times New Roman" w:eastAsia="仿宋_GB2312" w:cs="Times New Roman"/>
          <w:color w:val="000000" w:themeColor="text1"/>
          <w:sz w:val="28"/>
          <w:szCs w:val="28"/>
        </w:rPr>
        <w:t>推进</w:t>
      </w:r>
      <w:r>
        <w:rPr>
          <w:rFonts w:ascii="Times New Roman" w:hAnsi="Times New Roman" w:eastAsia="仿宋_GB2312" w:cs="Times New Roman"/>
          <w:color w:val="000000" w:themeColor="text1"/>
          <w:sz w:val="28"/>
          <w:szCs w:val="28"/>
        </w:rPr>
        <w:t>再生资源回收利用与生活垃圾清运的有效衔接。</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pPr>
              <w:adjustRightInd w:val="0"/>
              <w:snapToGrid w:val="0"/>
              <w:spacing w:line="400" w:lineRule="exact"/>
              <w:jc w:val="center"/>
              <w:rPr>
                <w:rFonts w:ascii="Times New Roman" w:hAnsi="Times New Roman" w:eastAsia="仿宋_GB2312" w:cs="Times New Roman"/>
                <w:b/>
                <w:color w:val="000000" w:themeColor="text1"/>
                <w:sz w:val="24"/>
                <w:szCs w:val="28"/>
              </w:rPr>
            </w:pPr>
            <w:r>
              <w:rPr>
                <w:rFonts w:ascii="Times New Roman" w:hAnsi="Times New Roman" w:eastAsia="仿宋_GB2312" w:cs="Times New Roman"/>
                <w:b/>
                <w:snapToGrid w:val="0"/>
                <w:color w:val="000000" w:themeColor="text1"/>
                <w:kern w:val="0"/>
                <w:sz w:val="24"/>
                <w:szCs w:val="28"/>
              </w:rPr>
              <w:t>专栏6-2  环境污染防治重点工程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adjustRightInd w:val="0"/>
              <w:snapToGrid w:val="0"/>
              <w:spacing w:line="400" w:lineRule="exact"/>
              <w:ind w:firstLine="466" w:firstLineChars="200"/>
              <w:rPr>
                <w:rFonts w:ascii="Times New Roman" w:hAnsi="Times New Roman" w:eastAsia="仿宋_GB2312" w:cs="Times New Roman"/>
                <w:snapToGrid w:val="0"/>
                <w:color w:val="000000" w:themeColor="text1"/>
                <w:spacing w:val="-4"/>
                <w:kern w:val="0"/>
                <w:sz w:val="24"/>
                <w:szCs w:val="28"/>
              </w:rPr>
            </w:pPr>
            <w:r>
              <w:rPr>
                <w:rFonts w:ascii="Times New Roman" w:hAnsi="Times New Roman" w:eastAsia="仿宋_GB2312" w:cs="Times New Roman"/>
                <w:b/>
                <w:snapToGrid w:val="0"/>
                <w:color w:val="000000" w:themeColor="text1"/>
                <w:spacing w:val="-4"/>
                <w:kern w:val="0"/>
                <w:sz w:val="24"/>
                <w:szCs w:val="28"/>
              </w:rPr>
              <w:t>大气污染防治重点工程：</w:t>
            </w:r>
            <w:r>
              <w:rPr>
                <w:rFonts w:ascii="Times New Roman" w:hAnsi="Times New Roman" w:eastAsia="仿宋_GB2312" w:cs="Times New Roman"/>
                <w:snapToGrid w:val="0"/>
                <w:color w:val="000000" w:themeColor="text1"/>
                <w:spacing w:val="-4"/>
                <w:kern w:val="0"/>
                <w:sz w:val="24"/>
                <w:szCs w:val="28"/>
              </w:rPr>
              <w:t>安居区工业企业VOCs治理。</w:t>
            </w:r>
          </w:p>
          <w:p>
            <w:pPr>
              <w:adjustRightInd w:val="0"/>
              <w:snapToGrid w:val="0"/>
              <w:spacing w:line="400" w:lineRule="exact"/>
              <w:ind w:firstLine="482" w:firstLineChars="200"/>
              <w:rPr>
                <w:rFonts w:ascii="Times New Roman" w:hAnsi="Times New Roman" w:eastAsia="仿宋_GB2312" w:cs="Times New Roman"/>
                <w:snapToGrid w:val="0"/>
                <w:color w:val="000000" w:themeColor="text1"/>
                <w:kern w:val="0"/>
                <w:sz w:val="24"/>
                <w:szCs w:val="28"/>
              </w:rPr>
            </w:pPr>
            <w:r>
              <w:rPr>
                <w:rFonts w:ascii="Times New Roman" w:hAnsi="Times New Roman" w:eastAsia="仿宋_GB2312" w:cs="Times New Roman"/>
                <w:b/>
                <w:snapToGrid w:val="0"/>
                <w:color w:val="000000" w:themeColor="text1"/>
                <w:kern w:val="0"/>
                <w:sz w:val="24"/>
                <w:szCs w:val="28"/>
              </w:rPr>
              <w:t>水污染防治重点工程：</w:t>
            </w:r>
            <w:r>
              <w:rPr>
                <w:rFonts w:ascii="Times New Roman" w:hAnsi="Times New Roman" w:eastAsia="仿宋_GB2312" w:cs="Times New Roman"/>
                <w:snapToGrid w:val="0"/>
                <w:color w:val="000000" w:themeColor="text1"/>
                <w:kern w:val="0"/>
                <w:sz w:val="24"/>
                <w:szCs w:val="28"/>
              </w:rPr>
              <w:t>安居区流域生态走廊建设项目、安居区流域生态补水工程、安居区主要水系、遂宁市安居区琼江流域生态环境综合治理3期。</w:t>
            </w:r>
          </w:p>
          <w:p>
            <w:pPr>
              <w:adjustRightInd w:val="0"/>
              <w:snapToGrid w:val="0"/>
              <w:spacing w:line="400" w:lineRule="exact"/>
              <w:ind w:firstLine="482" w:firstLineChars="200"/>
              <w:rPr>
                <w:rFonts w:ascii="Times New Roman" w:hAnsi="Times New Roman" w:eastAsia="仿宋_GB2312" w:cs="Times New Roman"/>
                <w:snapToGrid w:val="0"/>
                <w:color w:val="000000" w:themeColor="text1"/>
                <w:sz w:val="24"/>
                <w:szCs w:val="28"/>
              </w:rPr>
            </w:pPr>
            <w:r>
              <w:rPr>
                <w:rFonts w:ascii="Times New Roman" w:hAnsi="Times New Roman" w:eastAsia="仿宋_GB2312" w:cs="Times New Roman"/>
                <w:b/>
                <w:snapToGrid w:val="0"/>
                <w:color w:val="000000" w:themeColor="text1"/>
                <w:sz w:val="24"/>
                <w:szCs w:val="28"/>
              </w:rPr>
              <w:t>土壤污染防治重点工程：</w:t>
            </w:r>
            <w:r>
              <w:rPr>
                <w:rFonts w:ascii="Times New Roman" w:hAnsi="Times New Roman" w:eastAsia="仿宋_GB2312" w:cs="Times New Roman"/>
                <w:snapToGrid w:val="0"/>
                <w:color w:val="000000" w:themeColor="text1"/>
                <w:sz w:val="24"/>
                <w:szCs w:val="28"/>
              </w:rPr>
              <w:t>安居区全域土地综合整治与生态修复项目，遂宁市安居区规模以下畜禽养殖粪污治理资源化利用。</w:t>
            </w:r>
          </w:p>
          <w:p>
            <w:pPr>
              <w:adjustRightInd w:val="0"/>
              <w:snapToGrid w:val="0"/>
              <w:spacing w:line="400" w:lineRule="exact"/>
              <w:ind w:firstLine="506" w:firstLineChars="200"/>
              <w:rPr>
                <w:rFonts w:ascii="Times New Roman" w:hAnsi="Times New Roman" w:eastAsia="仿宋_GB2312" w:cs="Times New Roman"/>
                <w:snapToGrid w:val="0"/>
                <w:color w:val="000000" w:themeColor="text1"/>
                <w:spacing w:val="6"/>
                <w:sz w:val="24"/>
                <w:szCs w:val="28"/>
              </w:rPr>
            </w:pPr>
            <w:r>
              <w:rPr>
                <w:rFonts w:ascii="Times New Roman" w:hAnsi="Times New Roman" w:eastAsia="仿宋_GB2312" w:cs="Times New Roman"/>
                <w:b/>
                <w:snapToGrid w:val="0"/>
                <w:color w:val="000000" w:themeColor="text1"/>
                <w:spacing w:val="6"/>
                <w:sz w:val="24"/>
                <w:szCs w:val="28"/>
              </w:rPr>
              <w:t>固废危废污染防治重点工程：</w:t>
            </w:r>
            <w:r>
              <w:rPr>
                <w:rFonts w:ascii="Times New Roman" w:hAnsi="Times New Roman" w:eastAsia="仿宋_GB2312" w:cs="Times New Roman"/>
                <w:snapToGrid w:val="0"/>
                <w:color w:val="000000" w:themeColor="text1"/>
                <w:spacing w:val="6"/>
                <w:sz w:val="24"/>
                <w:szCs w:val="28"/>
              </w:rPr>
              <w:t>锂电及新材料生产过程中产生的碳酸钙等废物处理。</w:t>
            </w:r>
          </w:p>
          <w:p>
            <w:pPr>
              <w:adjustRightInd w:val="0"/>
              <w:snapToGrid w:val="0"/>
              <w:spacing w:line="400" w:lineRule="exact"/>
              <w:ind w:firstLine="458" w:firstLineChars="200"/>
              <w:rPr>
                <w:rFonts w:ascii="Times New Roman" w:hAnsi="Times New Roman" w:eastAsia="仿宋_GB2312" w:cs="Times New Roman"/>
                <w:snapToGrid w:val="0"/>
                <w:color w:val="000000" w:themeColor="text1"/>
                <w:spacing w:val="-6"/>
                <w:sz w:val="24"/>
                <w:szCs w:val="28"/>
              </w:rPr>
            </w:pPr>
            <w:r>
              <w:rPr>
                <w:rFonts w:ascii="Times New Roman" w:hAnsi="Times New Roman" w:eastAsia="仿宋_GB2312" w:cs="Times New Roman"/>
                <w:b/>
                <w:snapToGrid w:val="0"/>
                <w:color w:val="000000" w:themeColor="text1"/>
                <w:spacing w:val="-6"/>
                <w:sz w:val="24"/>
                <w:szCs w:val="28"/>
              </w:rPr>
              <w:t>生活垃圾污水收集处理工程：</w:t>
            </w:r>
            <w:r>
              <w:rPr>
                <w:rFonts w:ascii="Times New Roman" w:hAnsi="Times New Roman" w:eastAsia="仿宋_GB2312" w:cs="Times New Roman"/>
                <w:snapToGrid w:val="0"/>
                <w:color w:val="000000" w:themeColor="text1"/>
                <w:spacing w:val="-6"/>
                <w:sz w:val="24"/>
                <w:szCs w:val="28"/>
              </w:rPr>
              <w:t>安居区生活垃圾分类、安居区建筑垃圾消纳场、安居区渗滤液处理厂、安居区城区污水管网建设、安居区乡镇污水管网建设。</w:t>
            </w:r>
          </w:p>
          <w:p>
            <w:pPr>
              <w:spacing w:line="400" w:lineRule="exact"/>
              <w:rPr>
                <w:rFonts w:ascii="Times New Roman" w:hAnsi="Times New Roman" w:eastAsia="仿宋_GB2312" w:cs="Times New Roman"/>
                <w:color w:val="000000" w:themeColor="text1"/>
                <w:sz w:val="28"/>
                <w:szCs w:val="28"/>
              </w:rPr>
            </w:pPr>
            <w:r>
              <w:rPr>
                <w:rFonts w:ascii="Times New Roman" w:hAnsi="Times New Roman" w:eastAsia="仿宋_GB2312" w:cs="Times New Roman"/>
                <w:b/>
                <w:snapToGrid w:val="0"/>
                <w:color w:val="000000" w:themeColor="text1"/>
                <w:sz w:val="24"/>
                <w:szCs w:val="28"/>
              </w:rPr>
              <w:t>农村环境人居提升工程：</w:t>
            </w:r>
            <w:r>
              <w:rPr>
                <w:rFonts w:ascii="Times New Roman" w:hAnsi="Times New Roman" w:eastAsia="仿宋_GB2312" w:cs="Times New Roman"/>
                <w:snapToGrid w:val="0"/>
                <w:color w:val="000000" w:themeColor="text1"/>
                <w:sz w:val="24"/>
                <w:szCs w:val="28"/>
              </w:rPr>
              <w:t>安居区农村人居环境综合整治项目。</w:t>
            </w:r>
          </w:p>
        </w:tc>
      </w:tr>
    </w:tbl>
    <w:p>
      <w:pPr>
        <w:keepNext w:val="0"/>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强化生态环境治理支撑</w:t>
      </w:r>
    </w:p>
    <w:p>
      <w:pPr>
        <w:spacing w:line="520" w:lineRule="exact"/>
        <w:ind w:firstLine="562" w:firstLineChars="200"/>
        <w:rPr>
          <w:rFonts w:ascii="Times New Roman" w:hAnsi="Times New Roman" w:eastAsia="仿宋_GB2312" w:cs="Times New Roman"/>
          <w:color w:val="000000" w:themeColor="text1"/>
          <w:sz w:val="28"/>
          <w:szCs w:val="28"/>
        </w:rPr>
      </w:pPr>
      <w:r>
        <w:rPr>
          <w:rFonts w:hint="eastAsia" w:ascii="Times New Roman" w:hAnsi="Times New Roman" w:eastAsia="仿宋_GB2312" w:cs="Times New Roman"/>
          <w:b/>
          <w:color w:val="000000" w:themeColor="text1"/>
          <w:sz w:val="28"/>
          <w:szCs w:val="28"/>
        </w:rPr>
        <w:t>防范重点区域环境风险。</w:t>
      </w:r>
      <w:r>
        <w:rPr>
          <w:rFonts w:hint="eastAsia" w:ascii="Times New Roman" w:hAnsi="Times New Roman" w:eastAsia="仿宋_GB2312" w:cs="Times New Roman"/>
          <w:color w:val="000000" w:themeColor="text1"/>
          <w:sz w:val="28"/>
          <w:szCs w:val="28"/>
        </w:rPr>
        <w:t>严格环境风险源头防控，</w:t>
      </w:r>
      <w:r>
        <w:rPr>
          <w:rFonts w:ascii="Times New Roman" w:hAnsi="Times New Roman" w:eastAsia="仿宋_GB2312" w:cs="Times New Roman"/>
          <w:color w:val="000000" w:themeColor="text1"/>
          <w:sz w:val="28"/>
          <w:szCs w:val="28"/>
        </w:rPr>
        <w:t>开展琼江</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三仙湖水库等</w:t>
      </w:r>
      <w:r>
        <w:rPr>
          <w:rFonts w:hint="eastAsia" w:ascii="Times New Roman" w:hAnsi="Times New Roman" w:eastAsia="仿宋_GB2312" w:cs="Times New Roman"/>
          <w:color w:val="000000" w:themeColor="text1"/>
          <w:sz w:val="28"/>
          <w:szCs w:val="28"/>
        </w:rPr>
        <w:t>重点水域和区域</w:t>
      </w:r>
      <w:r>
        <w:rPr>
          <w:rFonts w:ascii="Times New Roman" w:hAnsi="Times New Roman" w:eastAsia="仿宋_GB2312" w:cs="Times New Roman"/>
          <w:color w:val="000000" w:themeColor="text1"/>
          <w:sz w:val="28"/>
          <w:szCs w:val="28"/>
        </w:rPr>
        <w:t>环境风险评估，强化工业园区与高风险企业环境风险管控</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从严实施环境风险防控措施。</w:t>
      </w:r>
      <w:r>
        <w:rPr>
          <w:rFonts w:hint="eastAsia" w:ascii="Times New Roman" w:hAnsi="Times New Roman" w:eastAsia="仿宋_GB2312" w:cs="Times New Roman"/>
          <w:color w:val="000000" w:themeColor="text1"/>
          <w:sz w:val="28"/>
          <w:szCs w:val="28"/>
        </w:rPr>
        <w:t>强化环境应急协调联动，加快</w:t>
      </w:r>
      <w:r>
        <w:rPr>
          <w:rFonts w:ascii="Times New Roman" w:hAnsi="Times New Roman" w:eastAsia="仿宋_GB2312" w:cs="Times New Roman"/>
          <w:color w:val="000000" w:themeColor="text1"/>
          <w:sz w:val="28"/>
          <w:szCs w:val="28"/>
        </w:rPr>
        <w:t>环境应急预案编制与备案管理</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并实施动态管理。加强应急协调联动机制建设，构建</w:t>
      </w:r>
      <w:r>
        <w:rPr>
          <w:rFonts w:hint="eastAsia" w:ascii="Times New Roman" w:hAnsi="Times New Roman" w:eastAsia="仿宋_GB2312" w:cs="Times New Roman"/>
          <w:color w:val="000000" w:themeColor="text1"/>
          <w:sz w:val="28"/>
          <w:szCs w:val="28"/>
        </w:rPr>
        <w:t>跨</w:t>
      </w:r>
      <w:r>
        <w:rPr>
          <w:rFonts w:ascii="Times New Roman" w:hAnsi="Times New Roman" w:eastAsia="仿宋_GB2312" w:cs="Times New Roman"/>
          <w:color w:val="000000" w:themeColor="text1"/>
          <w:sz w:val="28"/>
          <w:szCs w:val="28"/>
        </w:rPr>
        <w:t>部门联动环境应急救援体系，提高信息互通、资源共享和协同处置能力。强化环境应急队伍建设和物资储备</w:t>
      </w:r>
      <w:r>
        <w:rPr>
          <w:rFonts w:hint="eastAsia" w:ascii="Times New Roman" w:hAnsi="Times New Roman" w:eastAsia="仿宋_GB2312" w:cs="Times New Roman"/>
          <w:color w:val="000000" w:themeColor="text1"/>
          <w:sz w:val="28"/>
          <w:szCs w:val="28"/>
        </w:rPr>
        <w:t>，</w:t>
      </w:r>
      <w:r>
        <w:rPr>
          <w:rFonts w:ascii="Times New Roman" w:hAnsi="Times New Roman" w:eastAsia="仿宋_GB2312" w:cs="Times New Roman"/>
          <w:color w:val="000000" w:themeColor="text1"/>
          <w:sz w:val="28"/>
          <w:szCs w:val="28"/>
        </w:rPr>
        <w:t>探索多元化环境应急保障力量共建模式。</w:t>
      </w:r>
      <w:r>
        <w:rPr>
          <w:rFonts w:hint="eastAsia" w:ascii="Times New Roman" w:hAnsi="Times New Roman" w:eastAsia="仿宋_GB2312" w:cs="Times New Roman"/>
          <w:color w:val="000000" w:themeColor="text1"/>
          <w:sz w:val="28"/>
          <w:szCs w:val="28"/>
        </w:rPr>
        <w:t>遏制重点领域重大环境风险，提升洪涝干旱、森林火灾、地质灾害、地震等自然灾害防御能力，完善各类应急基础设施。</w:t>
      </w:r>
      <w:r>
        <w:rPr>
          <w:rFonts w:ascii="Times New Roman" w:hAnsi="Times New Roman" w:eastAsia="仿宋_GB2312" w:cs="Times New Roman"/>
          <w:color w:val="000000" w:themeColor="text1"/>
          <w:sz w:val="28"/>
          <w:szCs w:val="28"/>
        </w:rPr>
        <w:t>完善危险化学品环境风险管理制度，建立危险化学品环境风险防控管理和应急信息数据库。完善重金属污染环境监管体系，完善重点防控行业环境准入条件。</w:t>
      </w:r>
    </w:p>
    <w:p>
      <w:pPr>
        <w:spacing w:line="520" w:lineRule="exact"/>
        <w:ind w:firstLine="562" w:firstLineChars="200"/>
        <w:rPr>
          <w:rFonts w:ascii="Times New Roman" w:hAnsi="Times New Roman" w:eastAsia="仿宋_GB2312" w:cs="Times New Roman"/>
          <w:b/>
          <w:color w:val="000000" w:themeColor="text1"/>
          <w:sz w:val="28"/>
          <w:szCs w:val="28"/>
        </w:rPr>
      </w:pPr>
      <w:r>
        <w:rPr>
          <w:rFonts w:ascii="Times New Roman" w:hAnsi="Times New Roman" w:eastAsia="仿宋_GB2312" w:cs="Times New Roman"/>
          <w:b/>
          <w:color w:val="000000" w:themeColor="text1"/>
          <w:sz w:val="28"/>
          <w:szCs w:val="28"/>
        </w:rPr>
        <w:t>提升生态环保支撑能力。</w:t>
      </w:r>
      <w:r>
        <w:rPr>
          <w:rFonts w:ascii="Times New Roman" w:hAnsi="Times New Roman" w:eastAsia="仿宋_GB2312" w:cs="Times New Roman"/>
          <w:color w:val="000000" w:themeColor="text1"/>
          <w:sz w:val="28"/>
          <w:szCs w:val="28"/>
        </w:rPr>
        <w:t>加强生态环境保护队伍建设，建立完善生态环境监督管理人才、专业技术领军人才选拔培养机制。</w:t>
      </w:r>
      <w:r>
        <w:rPr>
          <w:rFonts w:hint="eastAsia" w:ascii="Times New Roman" w:hAnsi="Times New Roman" w:eastAsia="仿宋_GB2312" w:cs="Times New Roman"/>
          <w:color w:val="000000" w:themeColor="text1"/>
          <w:sz w:val="28"/>
          <w:szCs w:val="28"/>
        </w:rPr>
        <w:t>完善</w:t>
      </w:r>
      <w:r>
        <w:rPr>
          <w:rFonts w:ascii="Times New Roman" w:hAnsi="Times New Roman" w:eastAsia="仿宋_GB2312" w:cs="Times New Roman"/>
          <w:color w:val="000000" w:themeColor="text1"/>
          <w:sz w:val="28"/>
          <w:szCs w:val="28"/>
        </w:rPr>
        <w:t>生态环境监测网络，健全生态环境质量预警评估体系，实现环境质量、污染源和生态状况监测预警全覆盖。加强各类环境基础设施改造提升，切实推进水质监测站、空气监测站等项目实施。加强生态环境信息化建设，整合各部门监测数据，完善监测数据集成共享机制。加大环保监测装备应用力度，推动监测装备精准、快速、便携化发展。强化本地环保产业支撑，培育一批专业化骨干企业，扶持一批专特优精中小企业。充分运用四川省以及周边省市大专院校、科研</w:t>
      </w:r>
      <w:r>
        <w:rPr>
          <w:rFonts w:hint="eastAsia" w:ascii="Times New Roman" w:hAnsi="Times New Roman" w:eastAsia="仿宋_GB2312" w:cs="Times New Roman"/>
          <w:color w:val="000000" w:themeColor="text1"/>
          <w:sz w:val="28"/>
          <w:szCs w:val="28"/>
        </w:rPr>
        <w:t>机构</w:t>
      </w:r>
      <w:r>
        <w:rPr>
          <w:rFonts w:ascii="Times New Roman" w:hAnsi="Times New Roman" w:eastAsia="仿宋_GB2312" w:cs="Times New Roman"/>
          <w:color w:val="000000" w:themeColor="text1"/>
          <w:sz w:val="28"/>
          <w:szCs w:val="28"/>
        </w:rPr>
        <w:t>、环保企业的科研技术力量，强化产学研协同创新。</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28" w:name="_Toc23751"/>
      <w:bookmarkStart w:id="129" w:name="_Toc28155"/>
      <w:bookmarkStart w:id="130" w:name="_Toc65153191"/>
      <w:bookmarkStart w:id="131" w:name="_Toc30457"/>
      <w:r>
        <w:rPr>
          <w:rFonts w:hint="eastAsia" w:ascii="方正黑体简体" w:hAnsi="方正黑体简体" w:eastAsia="方正黑体简体" w:cs="方正黑体简体"/>
          <w:b w:val="0"/>
          <w:bCs w:val="0"/>
        </w:rPr>
        <w:t>第二十二章 大力推动绿色低碳循环发展</w:t>
      </w:r>
      <w:bookmarkEnd w:id="128"/>
      <w:bookmarkEnd w:id="129"/>
      <w:bookmarkEnd w:id="130"/>
      <w:bookmarkEnd w:id="13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加强能源资源节约集约</w:t>
      </w:r>
    </w:p>
    <w:p>
      <w:pPr>
        <w:spacing w:line="520" w:lineRule="exact"/>
        <w:ind w:firstLine="562"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b/>
          <w:snapToGrid w:val="0"/>
          <w:kern w:val="0"/>
          <w:sz w:val="28"/>
          <w:szCs w:val="28"/>
        </w:rPr>
        <w:t>严格实行能</w:t>
      </w:r>
      <w:r>
        <w:rPr>
          <w:rFonts w:hint="eastAsia" w:ascii="Times New Roman" w:hAnsi="Times New Roman" w:eastAsia="仿宋_GB2312" w:cs="Times New Roman"/>
          <w:b/>
          <w:snapToGrid w:val="0"/>
          <w:kern w:val="0"/>
          <w:sz w:val="28"/>
          <w:szCs w:val="28"/>
        </w:rPr>
        <w:t>耗总量和</w:t>
      </w:r>
      <w:r>
        <w:rPr>
          <w:rFonts w:ascii="Times New Roman" w:hAnsi="Times New Roman" w:eastAsia="仿宋_GB2312" w:cs="Times New Roman"/>
          <w:b/>
          <w:snapToGrid w:val="0"/>
          <w:kern w:val="0"/>
          <w:sz w:val="28"/>
          <w:szCs w:val="28"/>
        </w:rPr>
        <w:t>强度双控制度。</w:t>
      </w:r>
      <w:r>
        <w:rPr>
          <w:rFonts w:hint="eastAsia" w:ascii="Times New Roman" w:hAnsi="Times New Roman" w:eastAsia="仿宋_GB2312" w:cs="Times New Roman"/>
          <w:snapToGrid w:val="0"/>
          <w:kern w:val="0"/>
          <w:sz w:val="28"/>
          <w:szCs w:val="28"/>
        </w:rPr>
        <w:t>探索推进二</w:t>
      </w:r>
      <w:r>
        <w:rPr>
          <w:rFonts w:hint="eastAsia" w:ascii="宋体" w:hAnsi="宋体" w:eastAsia="宋体" w:cs="宋体"/>
          <w:snapToGrid w:val="0"/>
          <w:kern w:val="0"/>
          <w:sz w:val="28"/>
          <w:szCs w:val="28"/>
        </w:rPr>
        <w:t>〇</w:t>
      </w:r>
      <w:r>
        <w:rPr>
          <w:rFonts w:hint="eastAsia" w:ascii="仿宋_GB2312" w:hAnsi="仿宋_GB2312" w:eastAsia="仿宋_GB2312" w:cs="仿宋_GB2312"/>
          <w:snapToGrid w:val="0"/>
          <w:kern w:val="0"/>
          <w:sz w:val="28"/>
          <w:szCs w:val="28"/>
        </w:rPr>
        <w:t>三</w:t>
      </w:r>
      <w:r>
        <w:rPr>
          <w:rFonts w:hint="eastAsia" w:ascii="宋体" w:hAnsi="宋体" w:eastAsia="宋体" w:cs="宋体"/>
          <w:snapToGrid w:val="0"/>
          <w:kern w:val="0"/>
          <w:sz w:val="28"/>
          <w:szCs w:val="28"/>
        </w:rPr>
        <w:t>〇</w:t>
      </w:r>
      <w:r>
        <w:rPr>
          <w:rFonts w:hint="eastAsia" w:ascii="仿宋_GB2312" w:hAnsi="仿宋_GB2312" w:eastAsia="仿宋_GB2312" w:cs="仿宋_GB2312"/>
          <w:snapToGrid w:val="0"/>
          <w:kern w:val="0"/>
          <w:sz w:val="28"/>
          <w:szCs w:val="28"/>
        </w:rPr>
        <w:t>年前碳排放达峰行动，</w:t>
      </w:r>
      <w:r>
        <w:rPr>
          <w:rFonts w:ascii="Times New Roman" w:hAnsi="Times New Roman" w:eastAsia="仿宋_GB2312" w:cs="Times New Roman"/>
          <w:snapToGrid w:val="0"/>
          <w:kern w:val="0"/>
          <w:sz w:val="28"/>
          <w:szCs w:val="28"/>
        </w:rPr>
        <w:t>持续优化能源结构，提升供应侧非化石能源比重、提高消费侧电力比重，推进清洁能源快速发展</w:t>
      </w:r>
      <w:r>
        <w:rPr>
          <w:rFonts w:hint="eastAsia" w:ascii="Times New Roman" w:hAnsi="Times New Roman" w:eastAsia="仿宋_GB2312" w:cs="Times New Roman"/>
          <w:snapToGrid w:val="0"/>
          <w:kern w:val="0"/>
          <w:sz w:val="28"/>
          <w:szCs w:val="28"/>
        </w:rPr>
        <w:t>，有序降低二氧化碳排放量，</w:t>
      </w:r>
      <w:r>
        <w:rPr>
          <w:rFonts w:hint="eastAsia" w:ascii="仿宋_GB2312" w:hAnsi="仿宋_GB2312" w:eastAsia="仿宋_GB2312" w:cs="仿宋_GB2312"/>
          <w:snapToGrid w:val="0"/>
          <w:kern w:val="0"/>
          <w:sz w:val="28"/>
          <w:szCs w:val="28"/>
        </w:rPr>
        <w:t>努力争取二〇六〇年实现碳中和目标</w:t>
      </w:r>
      <w:r>
        <w:rPr>
          <w:rFonts w:ascii="Times New Roman" w:hAnsi="Times New Roman" w:eastAsia="仿宋_GB2312" w:cs="Times New Roman"/>
          <w:snapToGrid w:val="0"/>
          <w:kern w:val="0"/>
          <w:sz w:val="28"/>
          <w:szCs w:val="28"/>
        </w:rPr>
        <w:t>。深入开展工业节能降耗、传统产业低碳转型升级工作。以工业、建筑业和交通领域等为重点，制定实施能效提升计划，探索推进能源消费与强度双降工程。鼓励发展绿色建筑、智能建筑，加强建筑用能管理，加快对园区、机关、学校、车站等公共机构和公共建筑进行绿色设计改造，推广绿色照明与高效制冷行动。优先发展公共交通，推广节能与新能源交通运输装备。鼓励公共场所和公共机构应用高效空调、高效照明等节能产品，支持企业开发应用节能设备与技术。</w:t>
      </w:r>
    </w:p>
    <w:p>
      <w:pPr>
        <w:spacing w:line="520" w:lineRule="exact"/>
        <w:ind w:firstLine="562"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b/>
          <w:snapToGrid w:val="0"/>
          <w:kern w:val="0"/>
          <w:sz w:val="28"/>
          <w:szCs w:val="28"/>
        </w:rPr>
        <w:t>全面实施最严格的水资源管理制度。</w:t>
      </w:r>
      <w:r>
        <w:rPr>
          <w:rFonts w:ascii="Times New Roman" w:hAnsi="Times New Roman" w:eastAsia="仿宋_GB2312" w:cs="Times New Roman"/>
          <w:snapToGrid w:val="0"/>
          <w:kern w:val="0"/>
          <w:sz w:val="28"/>
          <w:szCs w:val="28"/>
        </w:rPr>
        <w:t>坚持“以水定城、以水定地、以水定人、以水定产”的发展原则，统筹“生产、生活、生态”用水。全面推广高效节水技术和产品，发展节水农业，加强城市节水，推进企业节水改造。开展农业用水精细化管理，推广喷灌、滴灌、微灌等技术，分区域规模化推进高效节水灌溉。持续推进工业企业节水技术改造，支持企业使用高效冷却、循环用水等节水工艺，推进水循环阶梯利用。积极开发利用再生水、雨水、中水等非常规水源，形成清洁型、循环型节水产业集群。加强公共建筑和住宅节水设施建设，加强供水管网漏损检测和改造。加快</w:t>
      </w:r>
      <w:r>
        <w:rPr>
          <w:rFonts w:hint="eastAsia" w:ascii="Times New Roman" w:hAnsi="Times New Roman" w:eastAsia="仿宋_GB2312" w:cs="Times New Roman"/>
          <w:snapToGrid w:val="0"/>
          <w:kern w:val="0"/>
          <w:sz w:val="28"/>
          <w:szCs w:val="28"/>
        </w:rPr>
        <w:t>推进</w:t>
      </w:r>
      <w:r>
        <w:rPr>
          <w:rFonts w:ascii="Times New Roman" w:hAnsi="Times New Roman" w:eastAsia="仿宋_GB2312" w:cs="Times New Roman"/>
          <w:snapToGrid w:val="0"/>
          <w:kern w:val="0"/>
          <w:sz w:val="28"/>
          <w:szCs w:val="28"/>
        </w:rPr>
        <w:t>海绵城市</w:t>
      </w:r>
      <w:r>
        <w:rPr>
          <w:rFonts w:hint="eastAsia" w:ascii="Times New Roman" w:hAnsi="Times New Roman" w:eastAsia="仿宋_GB2312" w:cs="Times New Roman"/>
          <w:snapToGrid w:val="0"/>
          <w:kern w:val="0"/>
          <w:sz w:val="28"/>
          <w:szCs w:val="28"/>
        </w:rPr>
        <w:t>规划</w:t>
      </w:r>
      <w:r>
        <w:rPr>
          <w:rFonts w:ascii="Times New Roman" w:hAnsi="Times New Roman" w:eastAsia="仿宋_GB2312" w:cs="Times New Roman"/>
          <w:snapToGrid w:val="0"/>
          <w:kern w:val="0"/>
          <w:sz w:val="28"/>
          <w:szCs w:val="28"/>
        </w:rPr>
        <w:t>建设，全面建成节水型社会。</w:t>
      </w:r>
    </w:p>
    <w:p>
      <w:pPr>
        <w:spacing w:line="520" w:lineRule="exact"/>
        <w:ind w:firstLine="562"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b/>
          <w:snapToGrid w:val="0"/>
          <w:kern w:val="0"/>
          <w:sz w:val="28"/>
          <w:szCs w:val="28"/>
        </w:rPr>
        <w:t>强化土地资源节约集约。</w:t>
      </w:r>
      <w:r>
        <w:rPr>
          <w:rFonts w:ascii="Times New Roman" w:hAnsi="Times New Roman" w:eastAsia="仿宋_GB2312" w:cs="Times New Roman"/>
          <w:snapToGrid w:val="0"/>
          <w:kern w:val="0"/>
          <w:sz w:val="28"/>
          <w:szCs w:val="28"/>
        </w:rPr>
        <w:t>加强土地利用的规划管控、市场调节、标准控制和考核监督，严格土地用途管制。强化科技管地，全面提升监管水平，提高土地利用效率。坚持最严格耕地保护制度，规范耕地占补平衡，强化对城乡各类建设占用耕地的控制和引导。加大闲置土地处置力度，鼓励低效用地增容改造和深度开发。合理确定新增建设用地规模，强化对投资强度、建筑容积率等指标约束。大力推进全域土地综合整治与生态修复项目，加快农用地整理、建设用地整理和乡村生态保护修复，促进耕地保护和土地集约节约利用。</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促进经济社会绿色转型</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稳步推进循环发展。</w:t>
      </w:r>
      <w:r>
        <w:rPr>
          <w:rFonts w:ascii="Times New Roman" w:hAnsi="Times New Roman" w:eastAsia="仿宋_GB2312" w:cs="Times New Roman"/>
          <w:color w:val="000000" w:themeColor="text1"/>
          <w:sz w:val="28"/>
          <w:szCs w:val="28"/>
        </w:rPr>
        <w:t>建立资源高效利用制度机制，健全资源节约集约循环利用政策体系，推进循环经济产业园建设。积极开展循环经济试点示范行动，推动机械装备制造产业园、食品工业园等园区循环化改造。</w:t>
      </w:r>
      <w:r>
        <w:rPr>
          <w:rFonts w:ascii="Times New Roman" w:hAnsi="Times New Roman" w:eastAsia="仿宋_GB2312" w:cs="Times New Roman"/>
          <w:snapToGrid w:val="0"/>
          <w:color w:val="000000" w:themeColor="text1"/>
          <w:kern w:val="0"/>
          <w:sz w:val="28"/>
          <w:szCs w:val="28"/>
        </w:rPr>
        <w:t>加强重点企业清洁生产审核，推进重点行业改造生产流程，提高工业固体废物与建筑垃圾综合利用水平。</w:t>
      </w:r>
      <w:r>
        <w:rPr>
          <w:rFonts w:ascii="Times New Roman" w:hAnsi="Times New Roman" w:eastAsia="仿宋_GB2312" w:cs="Times New Roman"/>
          <w:color w:val="000000" w:themeColor="text1"/>
          <w:sz w:val="28"/>
          <w:szCs w:val="28"/>
        </w:rPr>
        <w:t>构建农业循环经济产业链，推进农林废弃物循环利用，促进秸秆资源化利用。</w:t>
      </w:r>
      <w:r>
        <w:rPr>
          <w:rFonts w:ascii="Times New Roman" w:hAnsi="Times New Roman" w:eastAsia="仿宋_GB2312" w:cs="Times New Roman"/>
          <w:snapToGrid w:val="0"/>
          <w:color w:val="000000" w:themeColor="text1"/>
          <w:kern w:val="0"/>
          <w:sz w:val="28"/>
          <w:szCs w:val="28"/>
        </w:rPr>
        <w:t>构建线上线下融合的废旧资源回收和循环利用体系</w:t>
      </w:r>
      <w:r>
        <w:rPr>
          <w:rFonts w:hint="eastAsia" w:ascii="Times New Roman" w:hAnsi="Times New Roman" w:eastAsia="仿宋_GB2312" w:cs="Times New Roman"/>
          <w:snapToGrid w:val="0"/>
          <w:color w:val="000000" w:themeColor="text1"/>
          <w:kern w:val="0"/>
          <w:sz w:val="28"/>
          <w:szCs w:val="28"/>
        </w:rPr>
        <w:t>，</w:t>
      </w:r>
      <w:r>
        <w:rPr>
          <w:rFonts w:hint="eastAsia" w:ascii="Times New Roman" w:hAnsi="Times New Roman" w:eastAsia="仿宋_GB2312" w:cs="Times New Roman"/>
          <w:color w:val="000000" w:themeColor="text1"/>
          <w:sz w:val="28"/>
          <w:szCs w:val="28"/>
        </w:rPr>
        <w:t>加强</w:t>
      </w:r>
      <w:r>
        <w:rPr>
          <w:rFonts w:ascii="Times New Roman" w:hAnsi="Times New Roman" w:eastAsia="仿宋_GB2312" w:cs="Times New Roman"/>
          <w:color w:val="000000" w:themeColor="text1"/>
          <w:sz w:val="28"/>
          <w:szCs w:val="28"/>
        </w:rPr>
        <w:t>城市社区和乡村再生资源社会回收</w:t>
      </w:r>
      <w:r>
        <w:rPr>
          <w:rFonts w:hint="eastAsia" w:ascii="Times New Roman" w:hAnsi="Times New Roman" w:eastAsia="仿宋_GB2312" w:cs="Times New Roman"/>
          <w:color w:val="000000" w:themeColor="text1"/>
          <w:sz w:val="28"/>
          <w:szCs w:val="28"/>
        </w:rPr>
        <w:t>力度</w:t>
      </w:r>
      <w:r>
        <w:rPr>
          <w:rFonts w:ascii="Times New Roman" w:hAnsi="Times New Roman" w:eastAsia="仿宋_GB2312" w:cs="Times New Roman"/>
          <w:color w:val="000000" w:themeColor="text1"/>
          <w:sz w:val="28"/>
          <w:szCs w:val="28"/>
        </w:rPr>
        <w:t>，推进城市生活垃圾分类收运，推进餐厨废弃物资源化利用和无害化处理。探索开展“无废城市”</w:t>
      </w:r>
      <w:r>
        <w:rPr>
          <w:rFonts w:hint="eastAsia" w:ascii="Times New Roman" w:hAnsi="Times New Roman" w:eastAsia="仿宋_GB2312" w:cs="Times New Roman"/>
          <w:color w:val="000000" w:themeColor="text1"/>
          <w:sz w:val="28"/>
          <w:szCs w:val="28"/>
        </w:rPr>
        <w:t>建设</w:t>
      </w:r>
      <w:r>
        <w:rPr>
          <w:rFonts w:ascii="Times New Roman" w:hAnsi="Times New Roman" w:eastAsia="仿宋_GB2312" w:cs="Times New Roman"/>
          <w:color w:val="000000" w:themeColor="text1"/>
          <w:sz w:val="28"/>
          <w:szCs w:val="28"/>
        </w:rPr>
        <w:t>。</w:t>
      </w:r>
    </w:p>
    <w:p>
      <w:pPr>
        <w:spacing w:line="520" w:lineRule="exact"/>
        <w:ind w:firstLine="562" w:firstLineChars="200"/>
        <w:rPr>
          <w:rFonts w:ascii="Times New Roman" w:hAnsi="Times New Roman" w:eastAsia="仿宋_GB2312" w:cs="Times New Roman"/>
          <w:color w:val="000000" w:themeColor="text1"/>
          <w:sz w:val="28"/>
          <w:szCs w:val="28"/>
        </w:rPr>
      </w:pPr>
      <w:r>
        <w:rPr>
          <w:rFonts w:ascii="Times New Roman" w:hAnsi="Times New Roman" w:eastAsia="仿宋_GB2312" w:cs="Times New Roman"/>
          <w:b/>
          <w:color w:val="000000" w:themeColor="text1"/>
          <w:sz w:val="28"/>
          <w:szCs w:val="28"/>
        </w:rPr>
        <w:t>积极推行绿色发展。</w:t>
      </w:r>
      <w:r>
        <w:rPr>
          <w:rFonts w:ascii="Times New Roman" w:hAnsi="Times New Roman" w:eastAsia="仿宋_GB2312" w:cs="Times New Roman"/>
          <w:color w:val="000000" w:themeColor="text1"/>
          <w:sz w:val="28"/>
          <w:szCs w:val="28"/>
        </w:rPr>
        <w:t>积极推行“绿色制造”，支持绿色工厂创建，构建绿色供应链。推动安居经济开发区创建绿色园区，构建“绿色制造”体系。积极发展新材料、节能环保等战略性新兴产业，构建低碳产业体系。推进生态环境教育设施和场所建设，开展生态文明主题活动，普及生态</w:t>
      </w:r>
      <w:r>
        <w:rPr>
          <w:rFonts w:hint="eastAsia" w:ascii="Times New Roman" w:hAnsi="Times New Roman" w:eastAsia="仿宋_GB2312" w:cs="Times New Roman"/>
          <w:color w:val="000000" w:themeColor="text1"/>
          <w:sz w:val="28"/>
          <w:szCs w:val="28"/>
        </w:rPr>
        <w:t>环境</w:t>
      </w:r>
      <w:r>
        <w:rPr>
          <w:rFonts w:ascii="Times New Roman" w:hAnsi="Times New Roman" w:eastAsia="仿宋_GB2312" w:cs="Times New Roman"/>
          <w:color w:val="000000" w:themeColor="text1"/>
          <w:sz w:val="28"/>
          <w:szCs w:val="28"/>
        </w:rPr>
        <w:t>知识，提高公众环保意识。积极倡导绿色生活方式，广泛开展绿色机关、绿色家庭、绿色学校等创建行动。实施公交优先战略，推进“公交都市”建设。推行绿色消费，积极引导市民购买新能源汽车、高能效家电、节水型器具等节能产品，开展反食品浪费行动，有序推进限塑工作。积极培育、发展各类环保社会团体和志愿者队伍。</w:t>
      </w:r>
    </w:p>
    <w:p>
      <w:pPr>
        <w:pStyle w:val="3"/>
        <w:spacing w:before="313" w:beforeLines="100" w:after="313" w:afterLines="100" w:line="520" w:lineRule="exact"/>
        <w:jc w:val="center"/>
        <w:rPr>
          <w:rFonts w:hint="eastAsia" w:ascii="Calibri" w:hAnsi="Calibri" w:eastAsia="方正小标宋简体"/>
          <w:sz w:val="32"/>
        </w:rPr>
      </w:pPr>
      <w:bookmarkStart w:id="132" w:name="_Toc31832"/>
      <w:bookmarkStart w:id="133" w:name="_Toc13633"/>
      <w:bookmarkStart w:id="134" w:name="_Toc20161"/>
      <w:bookmarkStart w:id="135" w:name="_Toc65153192"/>
      <w:r>
        <w:rPr>
          <w:rFonts w:hint="default" w:ascii="Calibri" w:hAnsi="Calibri" w:eastAsia="方正小标宋简体"/>
          <w:sz w:val="32"/>
        </w:rPr>
        <w:t>第七篇 保障改善</w:t>
      </w:r>
      <w:r>
        <w:rPr>
          <w:rFonts w:hint="eastAsia" w:ascii="Calibri" w:hAnsi="Calibri" w:eastAsia="方正小标宋简体"/>
          <w:sz w:val="32"/>
        </w:rPr>
        <w:t>民生，</w:t>
      </w:r>
      <w:r>
        <w:rPr>
          <w:rFonts w:hint="default" w:ascii="Calibri" w:hAnsi="Calibri" w:eastAsia="方正小标宋简体"/>
          <w:sz w:val="32"/>
        </w:rPr>
        <w:t>建设</w:t>
      </w:r>
      <w:r>
        <w:rPr>
          <w:rFonts w:hint="eastAsia" w:ascii="Calibri" w:hAnsi="Calibri" w:eastAsia="方正小标宋简体"/>
          <w:sz w:val="32"/>
        </w:rPr>
        <w:t>高品质生活宜居地</w:t>
      </w:r>
      <w:bookmarkEnd w:id="132"/>
      <w:bookmarkEnd w:id="133"/>
      <w:bookmarkEnd w:id="134"/>
      <w:bookmarkEnd w:id="135"/>
    </w:p>
    <w:p>
      <w:pPr>
        <w:widowControl/>
        <w:spacing w:line="520" w:lineRule="exact"/>
        <w:ind w:firstLine="560" w:firstLineChars="200"/>
        <w:rPr>
          <w:rFonts w:ascii="Times New Roman" w:hAnsi="Times New Roman" w:eastAsia="仿宋_GB2312" w:cs="Times New Roman"/>
          <w:sz w:val="28"/>
          <w:szCs w:val="28"/>
        </w:rPr>
      </w:pPr>
      <w:r>
        <w:rPr>
          <w:rFonts w:hint="default" w:ascii="Times New Roman" w:hAnsi="Times New Roman" w:eastAsia="仿宋_GB2312" w:cs="Times New Roman"/>
          <w:b w:val="0"/>
          <w:kern w:val="2"/>
          <w:sz w:val="28"/>
          <w:szCs w:val="28"/>
          <w:lang w:val="en-US" w:eastAsia="zh-CN"/>
        </w:rPr>
        <w:t>实施“</w:t>
      </w:r>
      <w:r>
        <w:rPr>
          <w:rFonts w:hint="default" w:ascii="Times New Roman" w:hAnsi="Times New Roman" w:eastAsia="仿宋_GB2312" w:cs="Times New Roman"/>
          <w:b w:val="0"/>
          <w:sz w:val="28"/>
          <w:szCs w:val="28"/>
          <w:lang w:val="en-US" w:eastAsia="zh-CN"/>
        </w:rPr>
        <w:t>民生幸福大升温</w:t>
      </w:r>
      <w:r>
        <w:rPr>
          <w:rFonts w:hint="default" w:ascii="Times New Roman" w:hAnsi="Times New Roman" w:eastAsia="仿宋_GB2312" w:cs="Times New Roman"/>
          <w:b w:val="0"/>
          <w:kern w:val="2"/>
          <w:sz w:val="28"/>
          <w:szCs w:val="28"/>
          <w:lang w:val="en-US" w:eastAsia="zh-CN"/>
        </w:rPr>
        <w:t>”工程</w:t>
      </w:r>
      <w:r>
        <w:rPr>
          <w:rFonts w:hint="eastAsia" w:ascii="Times New Roman" w:hAnsi="Times New Roman" w:eastAsia="仿宋_GB2312" w:cs="Times New Roman"/>
          <w:b w:val="0"/>
          <w:kern w:val="2"/>
          <w:sz w:val="28"/>
          <w:szCs w:val="28"/>
          <w:lang w:val="en-US" w:eastAsia="zh-CN"/>
        </w:rPr>
        <w:t>，</w:t>
      </w:r>
      <w:r>
        <w:rPr>
          <w:rFonts w:ascii="Times New Roman" w:hAnsi="Times New Roman" w:eastAsia="仿宋_GB2312" w:cs="Times New Roman"/>
          <w:sz w:val="28"/>
          <w:szCs w:val="28"/>
        </w:rPr>
        <w:t>以满足人民日益增长的美好生活需要作为出发点和落脚点，加大公共资源投入，加快补齐民生领域短板，加快构建共建共治共享的治理体系，建设文化更加繁荣、服务更加优质、环境更加优美的宜居宜业家园。</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36" w:name="_Toc22293"/>
      <w:bookmarkStart w:id="137" w:name="_Toc32388"/>
      <w:bookmarkStart w:id="138" w:name="_Toc30416"/>
      <w:bookmarkStart w:id="139" w:name="_Toc65153193"/>
      <w:r>
        <w:rPr>
          <w:rFonts w:hint="eastAsia" w:ascii="方正黑体简体" w:hAnsi="方正黑体简体" w:eastAsia="方正黑体简体" w:cs="方正黑体简体"/>
          <w:b w:val="0"/>
          <w:bCs w:val="0"/>
        </w:rPr>
        <w:t>第二十三章 繁荣发展文化事业</w:t>
      </w:r>
      <w:bookmarkEnd w:id="136"/>
      <w:bookmarkEnd w:id="137"/>
      <w:bookmarkEnd w:id="138"/>
      <w:bookmarkEnd w:id="139"/>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健全完善公共文化设施</w:t>
      </w:r>
    </w:p>
    <w:p>
      <w:pPr>
        <w:widowControl/>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创建省级现代公共文化服务体系示范县，全面建成公共文化服务设施网络。加大图书馆、文化馆（站）等公益场所免费开放力度，推动公共文化服务设施提档升级，打造一批文创园区、文创街区、文创小镇、文创企业，增强安居文化软实力。依托“三香安居”文旅云平台，加强区级融媒体中心建设，做强传媒产业，讲好安居故事。建立“三香安居”公共文化服务标准化体系，全面提升公共文化设施免费开放服务效能。</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广泛开展公共文化活动</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sz w:val="28"/>
          <w:szCs w:val="28"/>
        </w:rPr>
        <w:t>深入开展习近平新时代中国特色社会主义思想学习教育，推动理想信念教育常态化制度化。实施文明创建工程，深入推进公民道德建设、诚信社会建设，着力形成适应新时代要求的思想观念、精神风貌、文明风尚、行为规范。加强网络文明建设，发展积极健康的网络文化。广泛开展志愿服务关爱行动，擦亮全国文明城市“金字招牌”。实施“一镇一品”文化提升和文艺精品创作展演工程，</w:t>
      </w:r>
      <w:r>
        <w:rPr>
          <w:rFonts w:ascii="Times New Roman" w:hAnsi="Times New Roman" w:eastAsia="仿宋_GB2312" w:cs="Times New Roman"/>
          <w:bCs/>
          <w:sz w:val="28"/>
          <w:szCs w:val="28"/>
        </w:rPr>
        <w:t>打造石工号子、黄峨文化等独具安居地域文化IP。做响做亮川渝泛琼江流域文化旅游宣传季、川渝绝味美食节、海龙乡愁竹文化节、乡村文化旅游节等活动品牌。做响大安舒牛肉、跑马滩坛子肉等一批传统美食文化品牌。推进全民健身与全民健康深度融合，积极引进国内外高水平体育赛事，全力争创国省体育示范基地和体育旅游示范基地。</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保护弘扬安居历史文化</w:t>
      </w:r>
    </w:p>
    <w:p>
      <w:pPr>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实施琼江流域文化调查和挖掘，打造安居、大足、安岳石刻文化走廊，安居石刻博物馆争创国家二级博物馆。深度挖掘本土文化资源，强化优秀传统文化保护传承和发展利用，推动观音绣、灵广竹编等非物质文化遗产资源产业化，打造知名教育培训和研学体验基地等文化品牌，黄峨助廉馆创建省级家风教育示范基地。弘扬书院教育文化，以中国传统的教育理念，提供满足现代人需求的教育模式。发掘传统饮食文化，培育独特的美食文化。加强毗卢寺、长安寺、十圣宫等重点文物单位的系统性保护、开发和利用。</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40" w:name="_Toc20785"/>
      <w:bookmarkStart w:id="141" w:name="_Toc3283"/>
      <w:bookmarkStart w:id="142" w:name="_Toc11522"/>
      <w:bookmarkStart w:id="143" w:name="_Toc65153194"/>
      <w:r>
        <w:rPr>
          <w:rFonts w:hint="eastAsia" w:ascii="方正黑体简体" w:hAnsi="方正黑体简体" w:eastAsia="方正黑体简体" w:cs="方正黑体简体"/>
          <w:b w:val="0"/>
          <w:bCs w:val="0"/>
        </w:rPr>
        <w:t>第二十四章 办好人民满意教育</w:t>
      </w:r>
      <w:bookmarkEnd w:id="140"/>
      <w:bookmarkEnd w:id="141"/>
      <w:bookmarkEnd w:id="142"/>
      <w:bookmarkEnd w:id="143"/>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不断优化教育资源配置</w:t>
      </w:r>
    </w:p>
    <w:p>
      <w:pPr>
        <w:spacing w:line="520" w:lineRule="exact"/>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推动新时代办学体制和教育评价机制改革，优化校点布局和教育资源配置，建设教育质量共同体，打造川渝毗邻地区教育名城和职业教育高地。按照“幼儿园就近就便、小学向镇适度集中、初中向镇集中、高中向城区集中、资源向寄宿制学校集中”的思路优化学校布局，优化配置城乡教育资源，推动学前教育普及普惠发展、义务教育优质均衡发展、普通高中优质特色发展。新建公办幼儿园7所，创建省级示范幼儿园2所，推动实现城区公办中小学校达到9所，积极打造省级高品质义务教育学校2所，创建省级示范高中1所。</w:t>
      </w:r>
      <w:r>
        <w:rPr>
          <w:rFonts w:ascii="Times New Roman" w:hAnsi="Times New Roman" w:eastAsia="仿宋_GB2312" w:cs="Times New Roman"/>
          <w:bCs/>
          <w:sz w:val="28"/>
          <w:szCs w:val="28"/>
        </w:rPr>
        <w:t>有效解决“城镇挤</w:t>
      </w:r>
      <w:r>
        <w:rPr>
          <w:rFonts w:hint="eastAsia" w:ascii="Times New Roman" w:hAnsi="Times New Roman" w:eastAsia="仿宋_GB2312" w:cs="Times New Roman"/>
          <w:bCs/>
          <w:sz w:val="28"/>
          <w:szCs w:val="28"/>
        </w:rPr>
        <w:t>、乡镇弱、校点空”</w:t>
      </w:r>
      <w:r>
        <w:rPr>
          <w:rFonts w:ascii="Times New Roman" w:hAnsi="Times New Roman" w:eastAsia="仿宋_GB2312" w:cs="Times New Roman"/>
          <w:bCs/>
          <w:sz w:val="28"/>
          <w:szCs w:val="28"/>
        </w:rPr>
        <w:t>等问题</w:t>
      </w:r>
      <w:r>
        <w:rPr>
          <w:rFonts w:hint="eastAsia" w:ascii="Times New Roman" w:hAnsi="Times New Roman" w:eastAsia="仿宋_GB2312" w:cs="Times New Roman"/>
          <w:bCs/>
          <w:sz w:val="28"/>
          <w:szCs w:val="28"/>
        </w:rPr>
        <w:t>，擦亮高中教育品牌，创新实施拔尖人才培育计划。</w:t>
      </w:r>
      <w:r>
        <w:rPr>
          <w:rFonts w:ascii="Times New Roman" w:hAnsi="Times New Roman" w:eastAsia="仿宋_GB2312" w:cs="Times New Roman"/>
          <w:bCs/>
          <w:sz w:val="28"/>
          <w:szCs w:val="28"/>
        </w:rPr>
        <w:t>以建设成渝中部职教基地为目标，</w:t>
      </w:r>
      <w:r>
        <w:rPr>
          <w:rFonts w:hint="eastAsia" w:ascii="Times New Roman" w:hAnsi="Times New Roman" w:eastAsia="仿宋_GB2312" w:cs="Times New Roman"/>
          <w:bCs/>
          <w:sz w:val="28"/>
          <w:szCs w:val="28"/>
        </w:rPr>
        <w:t>推动职业教育特色发展，深化职普融通、产教融合、校企合作，设置锂电及新材料、汽车与装备制造等重点特色专业，建设生产性实训基地，推进高等职业教育院校落户安居。做优做实特殊教育，畅通学习、康复、就业一体化绿色通道。</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持续改善育人条件</w:t>
      </w:r>
    </w:p>
    <w:p>
      <w:pPr>
        <w:spacing w:line="520" w:lineRule="exact"/>
        <w:ind w:firstLine="560" w:firstLineChars="200"/>
        <w:rPr>
          <w:rFonts w:ascii="Times New Roman" w:hAnsi="Times New Roman" w:eastAsia="仿宋_GB2312" w:cs="Times New Roman"/>
          <w:bCs/>
          <w:sz w:val="28"/>
          <w:szCs w:val="28"/>
        </w:rPr>
      </w:pPr>
      <w:r>
        <w:rPr>
          <w:rFonts w:hint="eastAsia" w:ascii="Times New Roman" w:hAnsi="Times New Roman" w:eastAsia="仿宋_GB2312" w:cs="Times New Roman"/>
          <w:bCs/>
          <w:sz w:val="28"/>
          <w:szCs w:val="28"/>
        </w:rPr>
        <w:t>加强教育信息化建设，加大教育技术装备和健康教室改造投入力度。实施健康照明改造项目，按照国家规定标准，对全区各中小学校、幼儿园约</w:t>
      </w:r>
      <w:r>
        <w:rPr>
          <w:rFonts w:ascii="Times New Roman" w:hAnsi="Times New Roman" w:eastAsia="仿宋_GB2312" w:cs="Times New Roman"/>
          <w:bCs/>
          <w:sz w:val="28"/>
          <w:szCs w:val="28"/>
        </w:rPr>
        <w:t>1500</w:t>
      </w:r>
      <w:r>
        <w:rPr>
          <w:rFonts w:hint="eastAsia" w:ascii="Times New Roman" w:hAnsi="Times New Roman" w:eastAsia="仿宋_GB2312" w:cs="Times New Roman"/>
          <w:bCs/>
          <w:sz w:val="28"/>
          <w:szCs w:val="28"/>
        </w:rPr>
        <w:t>间教室和功能室的采光照明进行改造。启动智慧课堂和智慧学校建设，加快推进全区</w:t>
      </w:r>
      <w:r>
        <w:rPr>
          <w:rFonts w:ascii="Times New Roman" w:hAnsi="Times New Roman" w:eastAsia="仿宋_GB2312" w:cs="Times New Roman"/>
          <w:bCs/>
          <w:sz w:val="28"/>
          <w:szCs w:val="28"/>
        </w:rPr>
        <w:t>16</w:t>
      </w:r>
      <w:r>
        <w:rPr>
          <w:rFonts w:hint="eastAsia" w:ascii="Times New Roman" w:hAnsi="Times New Roman" w:eastAsia="仿宋_GB2312" w:cs="Times New Roman"/>
          <w:bCs/>
          <w:sz w:val="28"/>
          <w:szCs w:val="28"/>
        </w:rPr>
        <w:t>所试点学校创建</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遂宁市智慧教育学校</w:t>
      </w:r>
      <w:r>
        <w:rPr>
          <w:rFonts w:ascii="Times New Roman" w:hAnsi="Times New Roman" w:eastAsia="仿宋_GB2312" w:cs="Times New Roman"/>
          <w:bCs/>
          <w:sz w:val="28"/>
          <w:szCs w:val="28"/>
        </w:rPr>
        <w:t>”</w:t>
      </w:r>
      <w:r>
        <w:rPr>
          <w:rFonts w:hint="eastAsia" w:ascii="Times New Roman" w:hAnsi="Times New Roman" w:eastAsia="仿宋_GB2312" w:cs="Times New Roman"/>
          <w:bCs/>
          <w:sz w:val="28"/>
          <w:szCs w:val="28"/>
        </w:rPr>
        <w:t>。实施创客和学科教室建设项目，在全区范围内建设创客和学科教室，在小学推进机器人和编程教学，在初中推进编程和创客设计教学。加强思想政治和师德师风建设，实施“四名一好”</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34</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sz w:val="28"/>
          <w:szCs w:val="28"/>
        </w:rPr>
        <w:t>工程，建设高素质专业化创新型教师队伍。实施名师培养计划、青年骨干教师支持计划等系列师资建设工程，健全完善教师的遴选、教育和管理机制。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00" w:lineRule="exact"/>
              <w:jc w:val="center"/>
              <w:rPr>
                <w:rFonts w:ascii="Times New Roman" w:hAnsi="Times New Roman" w:eastAsia="仿宋_GB2312" w:cs="Times New Roman"/>
                <w:bCs/>
                <w:sz w:val="28"/>
                <w:szCs w:val="28"/>
              </w:rPr>
            </w:pPr>
            <w:r>
              <w:rPr>
                <w:rFonts w:ascii="Times New Roman" w:hAnsi="Times New Roman" w:eastAsia="仿宋_GB2312" w:cs="Times New Roman"/>
                <w:b/>
                <w:sz w:val="24"/>
              </w:rPr>
              <w:t>专栏7-1  教育领域重大项目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40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学前教育</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重点推进安居第五、第七、第八、第九幼儿园等4所城区幼儿园建设项目，加快推进遂宁市安居区西眉镇、保石镇中心幼儿园和拦江镇第二幼儿园等3所乡镇幼儿园建设项目。</w:t>
            </w:r>
          </w:p>
          <w:p>
            <w:pPr>
              <w:spacing w:line="40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义务教育</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重点推进西眉小学、白马小学、安居四小、安居五小、拦江中学等10所新建、改建、扩建项目。</w:t>
            </w:r>
          </w:p>
          <w:p>
            <w:pPr>
              <w:spacing w:line="400" w:lineRule="exact"/>
              <w:ind w:firstLine="482" w:firstLineChars="200"/>
              <w:rPr>
                <w:rFonts w:ascii="Times New Roman" w:hAnsi="Times New Roman" w:eastAsia="仿宋_GB2312" w:cs="Times New Roman"/>
                <w:b/>
                <w:sz w:val="24"/>
                <w:szCs w:val="28"/>
              </w:rPr>
            </w:pPr>
            <w:r>
              <w:rPr>
                <w:rFonts w:ascii="Times New Roman" w:hAnsi="Times New Roman" w:eastAsia="仿宋_GB2312" w:cs="Times New Roman"/>
                <w:b/>
                <w:sz w:val="24"/>
                <w:szCs w:val="28"/>
              </w:rPr>
              <w:t>高中阶段教育</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重点推进安居一中、安居二中建设项目和安居职中产教融合项目。</w:t>
            </w:r>
          </w:p>
          <w:p>
            <w:pPr>
              <w:spacing w:line="400" w:lineRule="exact"/>
              <w:ind w:firstLine="482" w:firstLineChars="200"/>
              <w:rPr>
                <w:rFonts w:ascii="Times New Roman" w:hAnsi="Times New Roman" w:eastAsia="仿宋_GB2312" w:cs="Times New Roman"/>
                <w:sz w:val="24"/>
                <w:szCs w:val="28"/>
              </w:rPr>
            </w:pPr>
            <w:r>
              <w:rPr>
                <w:rFonts w:ascii="Times New Roman" w:hAnsi="Times New Roman" w:eastAsia="仿宋_GB2312" w:cs="Times New Roman"/>
                <w:b/>
                <w:sz w:val="24"/>
                <w:szCs w:val="28"/>
              </w:rPr>
              <w:t>高等教育</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重点推进遂宁现代职业技术学院建设项目、安居区大学城建设项目建设。</w:t>
            </w:r>
          </w:p>
          <w:p>
            <w:pPr>
              <w:spacing w:line="400" w:lineRule="exact"/>
              <w:ind w:firstLine="482" w:firstLineChars="200"/>
              <w:rPr>
                <w:rFonts w:ascii="Times New Roman" w:hAnsi="Times New Roman" w:eastAsia="仿宋_GB2312" w:cs="Times New Roman"/>
                <w:bCs/>
                <w:sz w:val="28"/>
                <w:szCs w:val="28"/>
              </w:rPr>
            </w:pPr>
            <w:r>
              <w:rPr>
                <w:rFonts w:ascii="Times New Roman" w:hAnsi="Times New Roman" w:eastAsia="仿宋_GB2312" w:cs="Times New Roman"/>
                <w:b/>
                <w:sz w:val="24"/>
                <w:szCs w:val="28"/>
              </w:rPr>
              <w:t>教育信息化</w:t>
            </w:r>
            <w:r>
              <w:rPr>
                <w:rFonts w:ascii="Times New Roman" w:hAnsi="Times New Roman" w:eastAsia="仿宋_GB2312" w:cs="Times New Roman"/>
                <w:b/>
                <w:bCs/>
                <w:sz w:val="24"/>
                <w:szCs w:val="28"/>
              </w:rPr>
              <w:t>：</w:t>
            </w:r>
            <w:r>
              <w:rPr>
                <w:rFonts w:ascii="Times New Roman" w:hAnsi="Times New Roman" w:eastAsia="仿宋_GB2312" w:cs="Times New Roman"/>
                <w:sz w:val="24"/>
                <w:szCs w:val="28"/>
              </w:rPr>
              <w:t>重点推进安居区义务教育优质均衡及教育信息化项目遂宁市安居区高考考点标准化建设项目、遂宁市安居区智慧教育学校创建项目建设。</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44" w:name="_Toc30036"/>
      <w:bookmarkStart w:id="145" w:name="_Toc17603"/>
      <w:bookmarkStart w:id="146" w:name="_Toc15632"/>
      <w:bookmarkStart w:id="147" w:name="_Toc65153195"/>
      <w:r>
        <w:rPr>
          <w:rFonts w:hint="eastAsia" w:ascii="方正黑体简体" w:hAnsi="方正黑体简体" w:eastAsia="方正黑体简体" w:cs="方正黑体简体"/>
          <w:b w:val="0"/>
          <w:bCs w:val="0"/>
        </w:rPr>
        <w:t>第二十五章 加快建设健康安居</w:t>
      </w:r>
      <w:bookmarkEnd w:id="144"/>
      <w:bookmarkEnd w:id="145"/>
      <w:bookmarkEnd w:id="146"/>
      <w:bookmarkEnd w:id="147"/>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健全完善卫生健康服务体系</w:t>
      </w:r>
    </w:p>
    <w:p>
      <w:pPr>
        <w:widowControl/>
        <w:spacing w:line="520" w:lineRule="exact"/>
        <w:ind w:firstLine="560" w:firstLineChars="200"/>
        <w:jc w:val="left"/>
        <w:rPr>
          <w:rFonts w:ascii="Times New Roman" w:hAnsi="Times New Roman" w:eastAsia="仿宋_GB2312" w:cs="Times New Roman"/>
          <w:bCs/>
          <w:sz w:val="28"/>
          <w:szCs w:val="28"/>
        </w:rPr>
      </w:pPr>
      <w:r>
        <w:rPr>
          <w:rFonts w:ascii="Times New Roman" w:hAnsi="Times New Roman" w:eastAsia="仿宋_GB2312" w:cs="Times New Roman"/>
          <w:sz w:val="28"/>
          <w:szCs w:val="28"/>
        </w:rPr>
        <w:t>实施健康安居行动，建立稳定的公共卫生事业投入机制。加快建立以区级医院、乡镇卫生院、村卫生室为主体，覆盖城乡的卫生健康服务体系。</w:t>
      </w:r>
      <w:r>
        <w:rPr>
          <w:rFonts w:hint="eastAsia" w:ascii="Times New Roman" w:hAnsi="Times New Roman" w:eastAsia="仿宋_GB2312" w:cs="Times New Roman"/>
          <w:sz w:val="28"/>
          <w:szCs w:val="28"/>
        </w:rPr>
        <w:t>加快推进</w:t>
      </w:r>
      <w:r>
        <w:rPr>
          <w:rFonts w:ascii="Times New Roman" w:hAnsi="Times New Roman" w:eastAsia="仿宋_GB2312" w:cs="Times New Roman"/>
          <w:bCs/>
          <w:sz w:val="28"/>
          <w:szCs w:val="28"/>
        </w:rPr>
        <w:t>安居区第三人民医院（拦江镇中心卫生院）一期、二期项目和西眉镇卫生院迁建项目，推动东禅镇、白马镇等中心卫生院升级改造。大力开展爱国卫生运动，实施“健康细胞工程”，加快构建社会心理服务体系，保障人民身心健康。完善农村三级医疗卫生服务网络，到2025年，实现每个行政村建成一所标准化村卫生室。</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全面提升卫生健康服务能力</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以创建国家标准化等级医院为抓手，全面提升医疗机构综合服务能力，区疾控中心创建三级疾控机构，安居区人民医院争创三级甲等医院，推动创建全国卫生应急综合示范区。不断提高医院设备装备水平，做好自采设备的评估分析，提升设备使用水平和效益，提升诊断准确率和治愈率。促进中医药传承创新发展，坚持中医与西医并重、预防与康养结合，促进中医药传承创新发展，大力发展中医药事业、产业与文化，打造川渝毗邻地区医养结合示范基地。</w:t>
      </w:r>
      <w:r>
        <w:rPr>
          <w:rFonts w:hint="default" w:ascii="Times New Roman" w:hAnsi="Times New Roman" w:eastAsia="仿宋_GB2312" w:cs="Times New Roman"/>
          <w:i w:val="0"/>
          <w:iCs w:val="0"/>
          <w:caps w:val="0"/>
          <w:snapToGrid w:val="0"/>
          <w:color w:val="auto"/>
          <w:spacing w:val="0"/>
          <w:kern w:val="0"/>
          <w:sz w:val="28"/>
          <w:szCs w:val="28"/>
          <w:shd w:val="clear" w:fill="auto"/>
        </w:rPr>
        <w:t>提升健康教育、慢病管理和残疾康复服务质量，重视精神卫生和心理健康。</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持续深化医药卫生体制改革</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实施人才强医、科技强院，深化医疗、医保、医药联动改革，强化川渝毗邻地区医疗合作，加快构建“一心两翼四片区”</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35</w:t>
      </w:r>
      <w:r>
        <w:rPr>
          <w:rFonts w:hint="default" w:ascii="Times New Roman" w:hAnsi="Times New Roman" w:eastAsia="仿宋_GB2312" w:cs="Times New Roman"/>
          <w:bCs/>
          <w:color w:val="auto"/>
          <w:kern w:val="0"/>
          <w:sz w:val="28"/>
          <w:szCs w:val="28"/>
          <w:highlight w:val="none"/>
          <w:vertAlign w:val="superscript"/>
          <w:lang w:eastAsia="zh-CN"/>
        </w:rPr>
        <w:t>〕</w:t>
      </w:r>
      <w:r>
        <w:rPr>
          <w:rFonts w:ascii="Times New Roman" w:hAnsi="Times New Roman" w:eastAsia="仿宋_GB2312" w:cs="Times New Roman"/>
          <w:snapToGrid w:val="0"/>
          <w:kern w:val="0"/>
          <w:sz w:val="28"/>
          <w:szCs w:val="28"/>
        </w:rPr>
        <w:t>医疗服务体系，争创成渝中部地区区域性医学中心、医养中心。扎实推进医共体建设，推进全国紧密型县域医共体试点变示范，建立基层首诊、双向转诊、急慢分治、上下联动的分级诊疗模式。继续推进公立医院体制机制改革，建立现代医院管理制度，促进医院科学化、精细化管理。完善巩固合理分级诊疗模式，加快提升基层医疗卫生服务能力。扎实推进乡村一体化管理，实行行政管理、药械管理、业务管理、绩效考核、财务管理“五统一”。开展区乡村三级联动和乡村一体化改革试点工作,稳定乡村医生队伍。</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不断强化公共卫生应急管理</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完善三级医防协同的公共卫生体系和平战结合的重大疫情医疗救治体系，推动创建全国卫生应急综合示范区。持续实施重大传染病防控、国家免疫规划、农村妇女住院分娩补助等政策。稳步推进国家基本公共卫生服务，确保提质增量，利用好卫生信息化平台，充分发挥电子健康档案作用，城乡居民电子健康档案建档率逐年提升。切实做好食物中毒、重大疫情、紧急医疗救援等重特大突发公共卫生事件应急处置工作。持续抓好艾滋病、结核、严重精神障碍的管控等工作。继续巩固全国计划生育优质服务先进单位、省级卫生应急示范区等创建成果，深化功能社区健康管理，探索创建“健共体”，全面打造“卫生健康”新模式。</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第五节 加强卫生健康人才队伍建设</w:t>
      </w:r>
    </w:p>
    <w:p>
      <w:pPr>
        <w:pStyle w:val="12"/>
        <w:spacing w:line="520" w:lineRule="exact"/>
        <w:ind w:firstLine="560"/>
        <w:rPr>
          <w:rFonts w:ascii="Times New Roman" w:hAnsi="Times New Roman" w:cs="Times New Roman"/>
        </w:rPr>
      </w:pPr>
      <w:r>
        <w:rPr>
          <w:rFonts w:ascii="Times New Roman" w:hAnsi="Times New Roman" w:eastAsia="仿宋_GB2312" w:cs="Times New Roman"/>
          <w:bCs/>
          <w:sz w:val="28"/>
          <w:szCs w:val="28"/>
        </w:rPr>
        <w:t>加强对基层医务人员的在岗培训，平均每年要对全区医务人员培训3000人次以上。扎实抓好县级公立医院服务基层工作，促进队伍素质整体提升。按照“应培尽培、增量提质”的总体目标，加强全科医生培养。鼓励引导城市退休医生、医学院校大中专毕业生等专业人员到基层工作。“十四五”期间采取考试、考核聘用、备案编制聘用、临时聘用等方式逐年再配备专业技术人员500名，招聘特岗全科医生100名；落实乡村医生医疗保险、养老保险问题，建好村卫生室这张三级医疗卫生服务网络的“网底”，促进其服务更优、效率更高；持续探索推进基层医疗机构职工生活人才公寓建设，为基层医院人才“留得住”创造条件。</w:t>
      </w:r>
    </w:p>
    <w:tbl>
      <w:tblPr>
        <w:tblStyle w:val="2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96" w:type="dxa"/>
            <w:vAlign w:val="center"/>
          </w:tcPr>
          <w:p>
            <w:pPr>
              <w:keepNext/>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专栏7-2  卫生健康领域重大项目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8296" w:type="dxa"/>
            <w:vAlign w:val="center"/>
          </w:tcPr>
          <w:p>
            <w:pPr>
              <w:keepNext/>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重点推进安居区人民医院住院综合楼建设项目、安居区传染病医院建设项目、安居区第三人民医院（一期）、安居区中医院门诊综合大楼建设项目（城西）、安居区妇幼保健院（妇计中心）住院综合大楼、安居区西眉镇中心卫生院建设项目、安居区重大疾病防控机构建设项目（创二甲），安居区紧密型县域医疗卫生共同体网络信息化建设项目等重大项目。</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48" w:name="_Toc65153196"/>
      <w:bookmarkStart w:id="149" w:name="_Toc3724"/>
      <w:bookmarkStart w:id="150" w:name="_Toc3348"/>
      <w:bookmarkStart w:id="151" w:name="_Toc11849"/>
      <w:r>
        <w:rPr>
          <w:rFonts w:hint="eastAsia" w:ascii="方正黑体简体" w:hAnsi="方正黑体简体" w:eastAsia="方正黑体简体" w:cs="方正黑体简体"/>
          <w:b w:val="0"/>
          <w:bCs w:val="0"/>
        </w:rPr>
        <w:t>第二十六章 完善就业创业服务体系</w:t>
      </w:r>
      <w:bookmarkEnd w:id="148"/>
      <w:bookmarkEnd w:id="149"/>
      <w:bookmarkEnd w:id="150"/>
      <w:bookmarkEnd w:id="15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不断完善就业创业服务体系</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坚持把稳定和扩大就业摆在更加突出位置，健全就业公共服务体系。推进就业管理服务信息化，推进分类服务和管理，加快推行就业失业登记证实名制，全面实行“一站式”网上办理。健全劳动关系协调和就业援助机制，加强对高校毕业生、退役军人、残疾人等特殊群体创业就业服务，鼓励和支持农民工返乡创业就业。扩大公益性岗位安置，帮扶就业困难群体就业。鼓励发展慈善等社会公益事业。加强公共就业服务网络建设，整合职业介绍和人才交流服务的公共资源，推动就业信息联网，提升就业创业和人才服务能力。</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不断加大职业技能培训力度</w:t>
      </w:r>
    </w:p>
    <w:p>
      <w:pPr>
        <w:widowControl/>
        <w:spacing w:line="52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加大职业技能培训力度，建立公共实训基地，对就业重点群体以及贫困劳动力提供职业技能培训和创业培训。搭建“互联网+公共就业创业培训”平台，完善创新创业资源共享机制，培育壮大高技能人才队伍。紧密结合市场需求，不断加大各类职业技能培训力度，着力扩大高技能人才培训规模，进一步提高职业技能培训的针对性和实效性，积极缓解就业结构性矛盾。强化劳务输出协作，打造特色劳务品牌。加大培训市场监管和资源整合力度，引导协调各类职业学校、培训机构有序开展职业技能培训，加大政府投入力度，建设一批符合安居社会经济发展需要，重在高技能人才培养的公共实训基地。</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不断加强劳动关系权益保护</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全面推行劳动合同制度，着力提高小企业和农民工劳动合同签订率，扩大集体合同覆盖面。规范劳务派遣用工和企业裁员行为。拓宽居民劳动收入和财产性收入渠道，落实各类生产要素由市场决定报酬机制，探索通过土地、资本等要素使用权、收益权增加中低收入群体收入。健全协调劳动关系三方机制，发挥政府、工会和企业作用。加强劳动保障监察执法力度，全面推进网格化、网络化管理，完善劳动案件办理协查制度。加强劳动人事争议调解仲裁服务体系建设，规范办案程序。建立健全重大集体劳动争议应急调处机制。</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000" w:type="pct"/>
            <w:vAlign w:val="center"/>
          </w:tcPr>
          <w:p>
            <w:pPr>
              <w:spacing w:line="560" w:lineRule="exact"/>
              <w:jc w:val="center"/>
              <w:rPr>
                <w:rFonts w:ascii="Times New Roman" w:hAnsi="Times New Roman" w:eastAsia="仿宋_GB2312" w:cs="Times New Roman"/>
                <w:b/>
                <w:sz w:val="24"/>
              </w:rPr>
            </w:pPr>
            <w:r>
              <w:rPr>
                <w:rFonts w:ascii="Times New Roman" w:hAnsi="Times New Roman" w:eastAsia="仿宋_GB2312" w:cs="Times New Roman"/>
                <w:b/>
                <w:sz w:val="24"/>
              </w:rPr>
              <w:t>专栏7-3  就业创业服务体系重大项目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000" w:type="pct"/>
            <w:vAlign w:val="center"/>
          </w:tcPr>
          <w:p>
            <w:pPr>
              <w:spacing w:line="560" w:lineRule="exact"/>
              <w:ind w:firstLine="480" w:firstLineChars="200"/>
              <w:rPr>
                <w:rFonts w:ascii="Times New Roman" w:hAnsi="Times New Roman" w:eastAsia="仿宋_GB2312" w:cs="Times New Roman"/>
                <w:sz w:val="24"/>
              </w:rPr>
            </w:pPr>
            <w:r>
              <w:rPr>
                <w:rFonts w:ascii="Times New Roman" w:hAnsi="Times New Roman" w:eastAsia="仿宋_GB2312" w:cs="Times New Roman"/>
                <w:sz w:val="24"/>
                <w:szCs w:val="28"/>
              </w:rPr>
              <w:t>重点推进遂潼职业教育中心、产教融合示范园区项目，加快推进遂宁市安居区公共实训基地建设项目、遂宁市安居区家政服务培训中心建设项目等重大项目。</w:t>
            </w:r>
          </w:p>
        </w:tc>
      </w:tr>
    </w:tbl>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52" w:name="_Toc12502"/>
      <w:bookmarkStart w:id="153" w:name="_Toc5566"/>
      <w:bookmarkStart w:id="154" w:name="_Toc22636"/>
      <w:bookmarkStart w:id="155" w:name="_Toc65153197"/>
      <w:r>
        <w:rPr>
          <w:rFonts w:hint="eastAsia" w:ascii="方正黑体简体" w:hAnsi="方正黑体简体" w:eastAsia="方正黑体简体" w:cs="方正黑体简体"/>
          <w:b w:val="0"/>
          <w:bCs w:val="0"/>
        </w:rPr>
        <w:t>第二十七章 完善多层次社会保障体系</w:t>
      </w:r>
      <w:bookmarkEnd w:id="152"/>
      <w:bookmarkEnd w:id="153"/>
      <w:bookmarkEnd w:id="154"/>
      <w:bookmarkEnd w:id="155"/>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完善社会保险制度</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健全覆盖全民、统筹城乡、公平统一、可持续的社会保障体系。推进全民参保，扩大基本养老保险、工伤保险、生育保险、失业保险覆盖范围，基本养老保险参保率达100%，逐步提高社会保险待遇保障水平。以农民工、非公有制经济组织从业人员和灵活就业人员为重点，扩大职工基本养老保险覆盖面，稳步推动机关事业单位养老保险制度改革。落实被征地农民社会保障政策，维护被征地农民合法权益，保障被征地农民生活和长远生计。完善基本医疗保险制度，逐步提高社会保险待遇保障水平。接轨成渝地区基本公共服务标准体系建设，协同提升养老、医疗等保险在成渝城市间转移接续的便利化水平。</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完善社会救助体系</w:t>
      </w:r>
    </w:p>
    <w:p>
      <w:pPr>
        <w:spacing w:line="520" w:lineRule="exact"/>
        <w:ind w:firstLine="560" w:firstLineChars="200"/>
        <w:rPr>
          <w:rFonts w:ascii="Times New Roman" w:hAnsi="Times New Roman" w:eastAsia="仿宋_GB2312" w:cs="Times New Roman"/>
          <w:snapToGrid w:val="0"/>
          <w:kern w:val="0"/>
          <w:sz w:val="28"/>
          <w:szCs w:val="28"/>
        </w:rPr>
      </w:pPr>
      <w:r>
        <w:rPr>
          <w:rFonts w:ascii="Times New Roman" w:hAnsi="Times New Roman" w:eastAsia="仿宋_GB2312" w:cs="Times New Roman"/>
          <w:snapToGrid w:val="0"/>
          <w:kern w:val="0"/>
          <w:sz w:val="28"/>
          <w:szCs w:val="28"/>
        </w:rPr>
        <w:t>完善分层分类的社会救助体制体系，健全医疗救助、临时救助、残疾人救助等专项救助制度，关爱困境儿童、留守儿童、留守妇女、留守老人和残疾人等特殊群体。继续完善城乡最低生活保障制度，全面建立临时救助制度，实现医疗救助城乡统筹。根据城乡居民平均收入水平和物价水平，动态调整城市和农村低保补助金，全力推进特困人员供养服务改革。加强流浪乞讨人员救助管理，完善源头治和回归稳固机制，做好长期滞留人员落户安置工作，为符合条件人员落实社会保障政策。完善儿童关爱体系，提高儿童保障标准，确保困境儿童基本生活稳定。</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积极应对人口老龄化</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积极应对人口老龄化，推动养老事业和养老产业协同发展，补齐农村养老服务短板，健全失能照护服务机制，建立普惠型养老服务体系。完善养老服务基础设施，新建或改扩建区域性养老中心、社区养老服务综合体、农村互助养老幸福院等，</w:t>
      </w:r>
      <w:r>
        <w:rPr>
          <w:rFonts w:hint="eastAsia" w:ascii="Times New Roman" w:hAnsi="Times New Roman" w:eastAsia="仿宋_GB2312" w:cs="Times New Roman"/>
          <w:sz w:val="28"/>
          <w:szCs w:val="28"/>
        </w:rPr>
        <w:t>改造</w:t>
      </w:r>
      <w:r>
        <w:rPr>
          <w:rFonts w:ascii="Times New Roman" w:hAnsi="Times New Roman" w:eastAsia="仿宋_GB2312" w:cs="Times New Roman"/>
          <w:sz w:val="28"/>
          <w:szCs w:val="28"/>
        </w:rPr>
        <w:t>8-10</w:t>
      </w:r>
      <w:r>
        <w:rPr>
          <w:rFonts w:hint="eastAsia" w:ascii="Times New Roman" w:hAnsi="Times New Roman" w:eastAsia="仿宋_GB2312" w:cs="Times New Roman"/>
          <w:sz w:val="28"/>
          <w:szCs w:val="28"/>
        </w:rPr>
        <w:t>所敬老院，完成玉丰敬老院、安居敬老院建设，启动</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rPr>
        <w:t>所新型区域性养老中心项目建设，</w:t>
      </w:r>
      <w:r>
        <w:rPr>
          <w:rFonts w:ascii="Times New Roman" w:hAnsi="Times New Roman" w:eastAsia="仿宋_GB2312" w:cs="Times New Roman"/>
          <w:bCs/>
          <w:sz w:val="28"/>
          <w:szCs w:val="28"/>
        </w:rPr>
        <w:t>实现每1000名老人拥有33张养老床位。持续推进公办养老机构公建民营改革，充分调动社会资本，整合资源，解决公办养老机构缺专护人才、服务质量不高、床位利用率低的难题，大力提升养老服务质量，实现政府运营的养老床位数占比不超过40%。坚持政策引导，社会参与、市场化运作，推进老年人以助餐、助洁、助急、助浴、助行、助医为主要内容的“六助”服务健康、有序、持久发展。</w:t>
      </w:r>
    </w:p>
    <w:p>
      <w:pPr>
        <w:keepNext w:val="0"/>
        <w:widowControl/>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完善社会福利保障</w:t>
      </w:r>
    </w:p>
    <w:p>
      <w:pPr>
        <w:widowControl/>
        <w:spacing w:line="520" w:lineRule="exact"/>
        <w:ind w:firstLine="560" w:firstLineChars="200"/>
        <w:rPr>
          <w:rFonts w:ascii="Times New Roman" w:hAnsi="Times New Roman" w:cs="Times New Roman"/>
        </w:rPr>
      </w:pPr>
      <w:r>
        <w:rPr>
          <w:rFonts w:ascii="Times New Roman" w:hAnsi="Times New Roman" w:eastAsia="仿宋_GB2312" w:cs="Times New Roman"/>
          <w:bCs/>
          <w:sz w:val="28"/>
          <w:szCs w:val="28"/>
        </w:rPr>
        <w:t>发展面向儿童、老年人、残疾人等特殊困难群众的社会福利，加快发展养老、康复辅具、社区等服务业，提升残疾人补贴标准，积极推进重度残疾人、三四级精神智力残疾人护理补贴和困难残疾人生活补贴发放工作，逐步提高保障标准。不断完善政府推动、社会组织运作、社会各界参与的慈善事业发展机制，努力发挥慈善事业在社会保障体系中的重要补充作用。完善志愿服务体系，促进志愿服务常态化、社会化、长效化发展。研究促进福利企业发展的扶持政策，鼓励社会力量兴办福利企业，积极为残疾人创造更多就业岗位。坚持“扶老、助残、救孤、济困”的发行宗旨，严格规范管理福利彩票发售，为社会福利事业发展筹集更多资金。</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专栏7-4  社会保障领域重大项目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5000" w:type="pct"/>
            <w:vAlign w:val="center"/>
          </w:tcPr>
          <w:p>
            <w:pPr>
              <w:spacing w:line="40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重点推进遂宁市安居区敬老院医养融合项目、遂宁市安居区农村为老服务中心等养老服务重大项目，重点推进遂宁市安居区失能老人养护中心、安潼流浪乞讨人员联合救助中心、遂宁市安潼未成年关爱中心、遂宁市安居区精神病医院建设项目、遂宁市安居区光荣院建设项目等服务特殊群体重大项目。</w:t>
            </w:r>
          </w:p>
        </w:tc>
      </w:tr>
    </w:tbl>
    <w:p>
      <w:pPr>
        <w:rPr>
          <w:rFonts w:ascii="Times New Roman" w:hAnsi="Times New Roman" w:cs="Times New Roman"/>
        </w:rPr>
      </w:pPr>
    </w:p>
    <w:p>
      <w:pPr>
        <w:keepNext w:val="0"/>
        <w:widowControl/>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第五节 完善退役军人服务保障体系</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健全退役军人服务保障体系，完善优抚安置制度和双拥军地互动机制，在思想政治、退役安置、就业创业、优待抚恤、军休服务、荣誉激励等重点领域发力，构建形成全领域、多层次的“大就业”“大优抚”“大规划”“大优待”格局。深化退役军人服务保障体系建设，加强退役军人服务中心信息化、智能化、一体化建设，延伸服务保障手段、方式和内涵，创建国家级示范性退役军人服务中心。加强退役军人就业创业工作，完善促进退役军人就业创业扶持政策，强化社会力量参与退役军人教育培训、社会保障、日常服务、活动组织等，建设有一定影响力的退役军人创业创新产业示范园。</w:t>
      </w:r>
    </w:p>
    <w:p>
      <w:pPr>
        <w:pStyle w:val="3"/>
        <w:spacing w:before="313" w:beforeLines="100" w:after="313" w:afterLines="100" w:line="520" w:lineRule="exact"/>
        <w:jc w:val="center"/>
        <w:rPr>
          <w:rFonts w:hint="eastAsia" w:ascii="Calibri" w:hAnsi="Calibri" w:eastAsia="方正小标宋简体"/>
          <w:sz w:val="32"/>
        </w:rPr>
      </w:pPr>
      <w:bookmarkStart w:id="156" w:name="_Toc3363"/>
      <w:bookmarkStart w:id="157" w:name="_Toc20740"/>
      <w:bookmarkStart w:id="158" w:name="_Toc24845"/>
      <w:bookmarkStart w:id="159" w:name="_Toc65153198"/>
      <w:r>
        <w:rPr>
          <w:rFonts w:hint="default" w:ascii="Calibri" w:hAnsi="Calibri" w:eastAsia="方正小标宋简体"/>
          <w:sz w:val="32"/>
        </w:rPr>
        <w:t>第八篇 统筹发展和安全，建设法治安居平安安居</w:t>
      </w:r>
      <w:bookmarkEnd w:id="156"/>
      <w:bookmarkEnd w:id="157"/>
      <w:bookmarkEnd w:id="158"/>
      <w:bookmarkEnd w:id="159"/>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贯彻总体国家安全观，坚持把安全发展理念贯穿经济社会发展各领域全过程，加快推进社会治理体系和治理能力现代化，为经济社会发展提供更加安全的政治环境、更加稳定的社会环境、更加公正的法治环境。</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60" w:name="_Toc10348"/>
      <w:bookmarkStart w:id="161" w:name="_Toc65153199"/>
      <w:bookmarkStart w:id="162" w:name="_Toc28931"/>
      <w:bookmarkStart w:id="163" w:name="_Toc4107"/>
      <w:r>
        <w:rPr>
          <w:rFonts w:hint="eastAsia" w:ascii="方正黑体简体" w:hAnsi="方正黑体简体" w:eastAsia="方正黑体简体" w:cs="方正黑体简体"/>
          <w:b w:val="0"/>
          <w:bCs w:val="0"/>
        </w:rPr>
        <w:t>第二十八章 加快推进社会治理现代化</w:t>
      </w:r>
      <w:bookmarkEnd w:id="160"/>
      <w:bookmarkEnd w:id="161"/>
      <w:bookmarkEnd w:id="162"/>
      <w:bookmarkEnd w:id="163"/>
    </w:p>
    <w:p>
      <w:pPr>
        <w:spacing w:line="520" w:lineRule="exact"/>
        <w:ind w:firstLine="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推进社会治理能力现代化</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积极推进平安安居建设暨市域社会治理现代化试点工作，打好维护政治安全主动战、矛盾风险化解攻坚战、社会治安防控体系建设阵地战、公共服务水平提升持久战。深入实施社会治理“345”发展战略</w:t>
      </w:r>
      <w:r>
        <w:rPr>
          <w:rFonts w:hint="default" w:ascii="Times New Roman" w:hAnsi="Times New Roman" w:eastAsia="仿宋_GB2312" w:cs="Times New Roman"/>
          <w:bCs/>
          <w:color w:val="auto"/>
          <w:kern w:val="0"/>
          <w:sz w:val="28"/>
          <w:szCs w:val="28"/>
          <w:highlight w:val="none"/>
          <w:vertAlign w:val="superscript"/>
          <w:lang w:eastAsia="zh-CN"/>
        </w:rPr>
        <w:t>〔</w:t>
      </w:r>
      <w:r>
        <w:rPr>
          <w:rFonts w:hint="eastAsia" w:ascii="Times New Roman" w:hAnsi="Times New Roman" w:eastAsia="仿宋_GB2312" w:cs="Times New Roman"/>
          <w:bCs/>
          <w:color w:val="auto"/>
          <w:kern w:val="0"/>
          <w:sz w:val="28"/>
          <w:szCs w:val="28"/>
          <w:highlight w:val="none"/>
          <w:vertAlign w:val="superscript"/>
          <w:lang w:val="en-US" w:eastAsia="zh-CN"/>
        </w:rPr>
        <w:t>36</w:t>
      </w:r>
      <w:r>
        <w:rPr>
          <w:rFonts w:hint="default" w:ascii="Times New Roman" w:hAnsi="Times New Roman" w:eastAsia="仿宋_GB2312" w:cs="Times New Roman"/>
          <w:bCs/>
          <w:color w:val="auto"/>
          <w:kern w:val="0"/>
          <w:sz w:val="28"/>
          <w:szCs w:val="28"/>
          <w:highlight w:val="none"/>
          <w:vertAlign w:val="superscript"/>
          <w:lang w:eastAsia="zh-CN"/>
        </w:rPr>
        <w:t>〕</w:t>
      </w:r>
      <w:r>
        <w:rPr>
          <w:rFonts w:ascii="Times New Roman" w:hAnsi="Times New Roman" w:eastAsia="仿宋_GB2312" w:cs="Times New Roman"/>
          <w:bCs/>
          <w:sz w:val="28"/>
          <w:szCs w:val="28"/>
        </w:rPr>
        <w:t>，推动社会治理集成创新。深化综合行政执法改革，全面推行行政执法“三项制度”。稳妥推进行政复议体制改革，提升依法行政能力和水平。深化诉讼制度改革和司法责任制综合配套改革，健全执法司法制约监督体系。健全现代公共法律服务体系，提升公共法律服务能力和水平。深入开展“八五”普法，统筹开展法治示范创建。持续推进公共法律服务实体、网络、热线三大平台建设和融合发展，形成高效便捷、覆盖城乡的公共法律服务体系。畅通法律援助渠道，全面推进女子律师团工作，进一步提高公共法律服务质量，切实维护群众合法权益，满足农民工、妇女儿童</w:t>
      </w:r>
      <w:r>
        <w:rPr>
          <w:rFonts w:hint="eastAsia" w:ascii="Times New Roman" w:hAnsi="Times New Roman" w:eastAsia="仿宋_GB2312" w:cs="Times New Roman"/>
          <w:bCs/>
          <w:sz w:val="28"/>
          <w:szCs w:val="28"/>
          <w:lang w:eastAsia="zh-CN"/>
        </w:rPr>
        <w:t>、残疾人</w:t>
      </w:r>
      <w:r>
        <w:rPr>
          <w:rFonts w:ascii="Times New Roman" w:hAnsi="Times New Roman" w:eastAsia="仿宋_GB2312" w:cs="Times New Roman"/>
          <w:bCs/>
          <w:sz w:val="28"/>
          <w:szCs w:val="28"/>
        </w:rPr>
        <w:t>等弱势群体维权的专业化和个性化需求，有效预防和化解社会矛盾。推进公共法律服务联享，探索建立社区矫正对象异地协管、生效法律文书异地协助执行机制。</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完善社会治安防控体系</w:t>
      </w:r>
    </w:p>
    <w:p>
      <w:pPr>
        <w:widowControl/>
        <w:spacing w:line="520" w:lineRule="exact"/>
        <w:ind w:firstLine="560" w:firstLineChars="200"/>
        <w:rPr>
          <w:rFonts w:ascii="Times New Roman" w:hAnsi="Times New Roman" w:eastAsia="仿宋_GB2312" w:cs="Times New Roman"/>
          <w:b/>
          <w:sz w:val="28"/>
          <w:szCs w:val="28"/>
        </w:rPr>
      </w:pPr>
      <w:r>
        <w:rPr>
          <w:rFonts w:ascii="Times New Roman" w:hAnsi="Times New Roman" w:eastAsia="仿宋_GB2312" w:cs="Times New Roman"/>
          <w:bCs/>
          <w:sz w:val="28"/>
          <w:szCs w:val="28"/>
        </w:rPr>
        <w:t>坚持和发展新时代“枫桥经验”，完善矛盾纠纷多元预防调处化解机制，推动诉源治理创新发展。发挥安居区人民调解协会职能，推动“三调联动、四调对接”，创建一批“枫桥式”司法所、派出所，把人民调解工作向纵深推进。以“六无平安社区（村）”创建为载体，全面推广月月创平安活动。改进见义勇为评选表彰工作，进一步弘扬社会正气。坚持专群结合、群防群治，加快建设立体化智能化社会治安防控体系。优化治安防控力量布局，织密社会治安防控网络，提升社会治安风险预测预警预防能力。健全扫黑除恶长效常治机制，强化扫黑除恶专项斗争和防艾工作，深入推进“雪亮工程”“天网工程”补点提质扩面。开展净网行动，严防严打网络犯罪。创建社会治安防控体系建设标准化城市，建立健全全社会治安乱点整治部门联动机制。推进社会治安联防，建立情报信息资源共享、风险隐患协同排查、区域治安联控、突发事件联动处置等机制，探索建设毗邻地区联合巡逻、联合执法、联合应急处突等队伍。推进“慧眼工程”“智慧平安小区”建设，提升社会治安防控智能化水平。</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推进毒品问题综合治理</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坚持铁腕禁毒，坚决打好禁毒人民战争，持续推进毒品问题综合治理，坚决防止毒品问题出现反弹。完善毒品治理体系</w:t>
      </w:r>
      <w:r>
        <w:rPr>
          <w:rFonts w:ascii="Times New Roman" w:hAnsi="Times New Roman" w:eastAsia="仿宋_GB2312" w:cs="Times New Roman"/>
          <w:b/>
          <w:bCs/>
          <w:sz w:val="28"/>
          <w:szCs w:val="28"/>
        </w:rPr>
        <w:t>，</w:t>
      </w:r>
      <w:r>
        <w:rPr>
          <w:rFonts w:ascii="Times New Roman" w:hAnsi="Times New Roman" w:eastAsia="仿宋_GB2312" w:cs="Times New Roman"/>
          <w:bCs/>
          <w:sz w:val="28"/>
          <w:szCs w:val="28"/>
        </w:rPr>
        <w:t>建立健全全覆盖毒品预防体系、全环节管控吸毒人员体系、全链条打击毒品犯罪体系、全要素监管制毒物品体系和全方位毒情监测预警体系，协同配合全球化禁毒合作。建设智能化毒品预防教育基地、社区戒毒康复中心及戒毒康复站和禁毒情报分析研判平台，健全缉毒执法体系，提升全链条打击能力。加强特殊人群服务管理，守住社会稳定风险底线。</w:t>
      </w:r>
    </w:p>
    <w:p>
      <w:pPr>
        <w:pStyle w:val="4"/>
        <w:spacing w:before="312" w:beforeLines="100" w:after="156" w:afterLines="50" w:line="520" w:lineRule="exact"/>
        <w:jc w:val="center"/>
        <w:rPr>
          <w:rFonts w:hint="eastAsia" w:ascii="方正黑体简体" w:hAnsi="方正黑体简体" w:eastAsia="方正黑体简体" w:cs="方正黑体简体"/>
          <w:b w:val="0"/>
          <w:bCs w:val="0"/>
        </w:rPr>
      </w:pPr>
      <w:bookmarkStart w:id="164" w:name="_Toc3682"/>
      <w:bookmarkStart w:id="165" w:name="_Toc65153200"/>
      <w:bookmarkStart w:id="166" w:name="_Toc28974"/>
      <w:bookmarkStart w:id="167" w:name="_Toc20100"/>
      <w:r>
        <w:rPr>
          <w:rFonts w:hint="eastAsia" w:ascii="方正黑体简体" w:hAnsi="方正黑体简体" w:eastAsia="方正黑体简体" w:cs="方正黑体简体"/>
          <w:b w:val="0"/>
          <w:bCs w:val="0"/>
        </w:rPr>
        <w:t>第二十九章 加强和改进城乡基层治理</w:t>
      </w:r>
      <w:bookmarkEnd w:id="164"/>
      <w:bookmarkEnd w:id="165"/>
      <w:bookmarkEnd w:id="166"/>
      <w:bookmarkEnd w:id="167"/>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提升城乡基层治理能力</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健全党组织领导的自治、法治、德治相结合的城乡基层治理体系，完善基层民主协商制度，实现政府治理同社会调节、居民自治良性互动。夯实乡镇行政区划调整和村建制改革基础，优化村（社区）党组织设置，健全基层组织体系。深化街道和社区管理体制改革，健全社区专职工作者“选育用管”长效机制，打造“一个中心、多点支撑、全域互通”党建引领基层治理全域网。深化基层公共服务平台建设，统筹整合党建、城管、综治等各类网格力量，构建“全科网格”“全要素网格”。全面推动区、镇（街道）综治中心规范化建设，继续深化“一标三实”与“六进六边”工作，与网格化服务管理中心、纠纷多元化解中心一体化、实体化运行，形成“网格发现、社区呼叫、分级响应、协同处置”的工作格局。建强基层社会治理队伍，建立基层治理智库，实施村（社区）后备干部储备工程。</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推动城乡基层治理创新</w:t>
      </w:r>
    </w:p>
    <w:p>
      <w:pPr>
        <w:pStyle w:val="12"/>
        <w:spacing w:line="520" w:lineRule="exact"/>
        <w:ind w:firstLine="560"/>
        <w:rPr>
          <w:rFonts w:ascii="Times New Roman" w:hAnsi="Times New Roman" w:cs="Times New Roman"/>
        </w:rPr>
      </w:pPr>
      <w:r>
        <w:rPr>
          <w:rFonts w:ascii="Times New Roman" w:hAnsi="Times New Roman" w:eastAsia="仿宋_GB2312" w:cs="Times New Roman"/>
          <w:bCs/>
          <w:sz w:val="28"/>
          <w:szCs w:val="28"/>
        </w:rPr>
        <w:t>加强与毗邻地区治理联动，在培养基层社会治理人才、建立基层社会治理智库、推动基层社会治理创新等方面深化合作，壮大合作联盟，推动形成遂潼川渝毗邻地区一体化治理格局。积极探索基层治理现代化新模式，完善城乡社区治理体制，构建权责明晰、高效联动、上下贯通、运转灵活的社会治理指挥体系。畅通和规范市场主体、社会工作者和志愿者等参与社会治理的途径，鼓励和引导社会组织、企事业单位、人民群众积极参与社会治理。</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68" w:name="_Toc11811"/>
      <w:bookmarkStart w:id="169" w:name="_Toc65153201"/>
      <w:bookmarkStart w:id="170" w:name="_Toc1410"/>
      <w:bookmarkStart w:id="171" w:name="_Toc30255"/>
      <w:r>
        <w:rPr>
          <w:rFonts w:hint="eastAsia" w:ascii="方正黑体简体" w:hAnsi="方正黑体简体" w:eastAsia="方正黑体简体" w:cs="方正黑体简体"/>
          <w:b w:val="0"/>
          <w:bCs w:val="0"/>
        </w:rPr>
        <w:t>第三十章 强化风险防控和应急能力建设</w:t>
      </w:r>
      <w:bookmarkEnd w:id="168"/>
      <w:bookmarkEnd w:id="169"/>
      <w:bookmarkEnd w:id="170"/>
      <w:bookmarkEnd w:id="171"/>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有效防范化解重点领域风险</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加强网络安全保障体系和能力建设，加强意识形态阵地建设，坚决维护国家政权安全、制度安全、意识形态安全。严密防范和严厉打击敌对势力渗透、颠覆、分裂活动，扎实开展反邪教、反恐怖斗争。用好建制县化债试点政策，有序化解隐性债务，加强政府债务管理，确保风险总体可控。依法防范和化解非法集资、金融机构（组织）违规经营等金融风险。守住不发生系统性区域性风险底线。加强食品药品等重点领域风险管控，推进重点监管信息化建设，实现全方位、全环节、全流程智慧监管。建立公共安全隐患排查和预防控制机制，坚决防范遏制重大公共卫生和生物安全风险。广泛开展国家安全宣传教育，巩固国家安全人民防线。</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强化应急管理体系和能力建设</w:t>
      </w:r>
    </w:p>
    <w:p>
      <w:pPr>
        <w:widowControl/>
        <w:spacing w:line="520" w:lineRule="exact"/>
        <w:ind w:firstLine="560" w:firstLineChars="200"/>
        <w:rPr>
          <w:rFonts w:ascii="Times New Roman" w:hAnsi="Times New Roman" w:eastAsia="仿宋_GB2312" w:cs="Times New Roman"/>
          <w:color w:val="000000"/>
          <w:sz w:val="28"/>
          <w:szCs w:val="28"/>
        </w:rPr>
      </w:pPr>
      <w:r>
        <w:rPr>
          <w:rFonts w:ascii="Times New Roman" w:hAnsi="Times New Roman" w:eastAsia="仿宋_GB2312" w:cs="Times New Roman"/>
          <w:bCs/>
          <w:sz w:val="28"/>
          <w:szCs w:val="28"/>
        </w:rPr>
        <w:t>建立健全事前预防预演、事发监测预警、事中处置救援、事后总结评估的全周期管理体制机制，推动遂潼应急管理一体化发展。开展灾害普查，加强应急装备和应急物资保障，建立健全应急科技和信息化支撑体系，完善应急指挥中心功能，提升生产事故、洪涝干旱、森林火灾、地震监测预警水平。加强应急救援队伍建设，建好区镇（街道）两级应急救援队伍，</w:t>
      </w:r>
      <w:r>
        <w:rPr>
          <w:rFonts w:hint="eastAsia" w:ascii="Times New Roman" w:hAnsi="Times New Roman" w:eastAsia="仿宋_GB2312" w:cs="Times New Roman"/>
          <w:bCs/>
          <w:sz w:val="28"/>
          <w:szCs w:val="28"/>
        </w:rPr>
        <w:t>建成中心镇专职消防队（拦江、三家、西眉、横山），</w:t>
      </w:r>
      <w:r>
        <w:rPr>
          <w:rFonts w:ascii="Times New Roman" w:hAnsi="Times New Roman" w:eastAsia="仿宋_GB2312" w:cs="Times New Roman"/>
          <w:bCs/>
          <w:sz w:val="28"/>
          <w:szCs w:val="28"/>
        </w:rPr>
        <w:t>充实基层应急救援力量，增强突发事件初期处置能力。严格落实安全生产责任制，加大安全投入，</w:t>
      </w:r>
      <w:r>
        <w:rPr>
          <w:rFonts w:hint="eastAsia" w:ascii="Times New Roman" w:hAnsi="Times New Roman" w:eastAsia="仿宋_GB2312" w:cs="Times New Roman"/>
          <w:bCs/>
          <w:sz w:val="28"/>
          <w:szCs w:val="28"/>
        </w:rPr>
        <w:t>开展安全隐患排查，</w:t>
      </w:r>
      <w:r>
        <w:rPr>
          <w:rFonts w:ascii="Times New Roman" w:hAnsi="Times New Roman" w:eastAsia="仿宋_GB2312" w:cs="Times New Roman"/>
          <w:bCs/>
          <w:sz w:val="28"/>
          <w:szCs w:val="28"/>
        </w:rPr>
        <w:t>根除威胁群众生命财产安全的历史遗留问题，有效遏制重特大安全事故。加强对自然灾害、事故灾害、社会安全、公共卫生安全</w:t>
      </w:r>
      <w:r>
        <w:rPr>
          <w:rFonts w:hint="eastAsia" w:ascii="Times New Roman" w:hAnsi="Times New Roman" w:eastAsia="仿宋_GB2312" w:cs="Times New Roman"/>
          <w:bCs/>
          <w:sz w:val="28"/>
          <w:szCs w:val="28"/>
        </w:rPr>
        <w:t>、消防安全</w:t>
      </w:r>
      <w:r>
        <w:rPr>
          <w:rFonts w:ascii="Times New Roman" w:hAnsi="Times New Roman" w:eastAsia="仿宋_GB2312" w:cs="Times New Roman"/>
          <w:bCs/>
          <w:sz w:val="28"/>
          <w:szCs w:val="28"/>
        </w:rPr>
        <w:t>的宣传，</w:t>
      </w:r>
      <w:r>
        <w:rPr>
          <w:rFonts w:hint="eastAsia" w:ascii="Times New Roman" w:hAnsi="Times New Roman" w:eastAsia="仿宋_GB2312" w:cs="Times New Roman"/>
          <w:bCs/>
          <w:sz w:val="28"/>
          <w:szCs w:val="28"/>
        </w:rPr>
        <w:t>开展针对性演练，</w:t>
      </w:r>
      <w:r>
        <w:rPr>
          <w:rFonts w:ascii="Times New Roman" w:hAnsi="Times New Roman" w:eastAsia="仿宋_GB2312" w:cs="Times New Roman"/>
          <w:bCs/>
          <w:sz w:val="28"/>
          <w:szCs w:val="28"/>
        </w:rPr>
        <w:t>提高全民防灾、减灾、抗灾、救灾意识和能力。</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vAlign w:val="center"/>
          </w:tcPr>
          <w:p>
            <w:pPr>
              <w:spacing w:line="400" w:lineRule="exact"/>
              <w:jc w:val="center"/>
              <w:rPr>
                <w:rFonts w:ascii="Times New Roman" w:hAnsi="Times New Roman" w:eastAsia="仿宋_GB2312" w:cs="Times New Roman"/>
                <w:sz w:val="24"/>
                <w:szCs w:val="24"/>
              </w:rPr>
            </w:pPr>
            <w:r>
              <w:rPr>
                <w:rFonts w:ascii="Times New Roman" w:hAnsi="Times New Roman" w:eastAsia="仿宋_GB2312" w:cs="Times New Roman"/>
                <w:b/>
                <w:bCs/>
                <w:sz w:val="24"/>
                <w:szCs w:val="24"/>
              </w:rPr>
              <w:t>专栏</w:t>
            </w:r>
            <w:r>
              <w:rPr>
                <w:rFonts w:hint="eastAsia" w:ascii="Times New Roman" w:hAnsi="Times New Roman" w:eastAsia="仿宋_GB2312" w:cs="Times New Roman"/>
                <w:b/>
                <w:bCs/>
                <w:sz w:val="24"/>
                <w:szCs w:val="24"/>
              </w:rPr>
              <w:t xml:space="preserve">8-1 </w:t>
            </w:r>
            <w:r>
              <w:rPr>
                <w:rFonts w:ascii="Times New Roman" w:hAnsi="Times New Roman" w:eastAsia="仿宋_GB2312" w:cs="Times New Roman"/>
                <w:b/>
                <w:bCs/>
                <w:sz w:val="24"/>
                <w:szCs w:val="24"/>
              </w:rPr>
              <w:t xml:space="preserve"> </w:t>
            </w:r>
            <w:r>
              <w:rPr>
                <w:rFonts w:hint="eastAsia" w:ascii="Times New Roman" w:hAnsi="Times New Roman" w:eastAsia="仿宋_GB2312" w:cs="Times New Roman"/>
                <w:b/>
                <w:bCs/>
                <w:sz w:val="24"/>
                <w:szCs w:val="24"/>
              </w:rPr>
              <w:t>应急</w:t>
            </w:r>
            <w:r>
              <w:rPr>
                <w:rFonts w:ascii="Times New Roman" w:hAnsi="Times New Roman" w:eastAsia="仿宋_GB2312" w:cs="Times New Roman"/>
                <w:b/>
                <w:bCs/>
                <w:sz w:val="24"/>
                <w:szCs w:val="24"/>
              </w:rPr>
              <w:t>基础设施重点工程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5000" w:type="pct"/>
            <w:vAlign w:val="center"/>
          </w:tcPr>
          <w:p>
            <w:pPr>
              <w:spacing w:line="400" w:lineRule="exact"/>
              <w:ind w:firstLine="480" w:firstLineChars="200"/>
              <w:rPr>
                <w:rFonts w:ascii="Times New Roman" w:hAnsi="Times New Roman" w:eastAsia="仿宋_GB2312" w:cs="Times New Roman"/>
              </w:rPr>
            </w:pPr>
            <w:r>
              <w:rPr>
                <w:rFonts w:ascii="Times New Roman" w:hAnsi="Times New Roman" w:eastAsia="仿宋_GB2312" w:cs="Times New Roman"/>
                <w:color w:val="000000"/>
                <w:sz w:val="24"/>
                <w:szCs w:val="28"/>
              </w:rPr>
              <w:t>重点推进安居区白马镇、凤凰街道办等滑坡崩塌治理工程、安居区分水镇、石洞镇等镇应急排危、应急科普宣传基地建设、</w:t>
            </w:r>
            <w:r>
              <w:rPr>
                <w:rFonts w:hint="eastAsia" w:ascii="Times New Roman" w:hAnsi="Times New Roman" w:eastAsia="仿宋_GB2312" w:cs="Times New Roman"/>
                <w:color w:val="000000"/>
                <w:sz w:val="24"/>
                <w:szCs w:val="28"/>
              </w:rPr>
              <w:t>经开区消防救援站、</w:t>
            </w:r>
            <w:r>
              <w:rPr>
                <w:rFonts w:ascii="Times New Roman" w:hAnsi="Times New Roman" w:eastAsia="仿宋_GB2312" w:cs="Times New Roman"/>
                <w:color w:val="000000"/>
                <w:sz w:val="24"/>
                <w:szCs w:val="28"/>
              </w:rPr>
              <w:t>安居区应急指挥大厅及应急救援附属建设等项目。</w:t>
            </w:r>
          </w:p>
        </w:tc>
      </w:tr>
      <w:bookmarkEnd w:id="119"/>
    </w:tbl>
    <w:p>
      <w:pPr>
        <w:pStyle w:val="3"/>
        <w:spacing w:before="313" w:beforeLines="100" w:after="313" w:afterLines="100" w:line="520" w:lineRule="exact"/>
        <w:jc w:val="center"/>
        <w:rPr>
          <w:rFonts w:hint="eastAsia" w:ascii="Calibri" w:hAnsi="Calibri" w:eastAsia="方正小标宋简体"/>
          <w:sz w:val="32"/>
        </w:rPr>
      </w:pPr>
      <w:bookmarkStart w:id="172" w:name="_Toc364"/>
      <w:bookmarkStart w:id="173" w:name="_Toc65153202"/>
      <w:bookmarkStart w:id="174" w:name="_Toc17813"/>
      <w:bookmarkStart w:id="175" w:name="_Toc22388"/>
      <w:r>
        <w:rPr>
          <w:rFonts w:hint="default" w:ascii="Calibri" w:hAnsi="Calibri" w:eastAsia="方正小标宋简体"/>
          <w:sz w:val="32"/>
        </w:rPr>
        <w:t>第九篇 强化措施建设，全力保障规划顺利实施</w:t>
      </w:r>
      <w:bookmarkEnd w:id="172"/>
      <w:bookmarkEnd w:id="173"/>
      <w:bookmarkEnd w:id="174"/>
      <w:bookmarkEnd w:id="175"/>
    </w:p>
    <w:p>
      <w:pPr>
        <w:widowControl/>
        <w:spacing w:line="520" w:lineRule="exact"/>
        <w:ind w:firstLine="560" w:firstLineChars="200"/>
        <w:rPr>
          <w:rFonts w:ascii="Times New Roman" w:hAnsi="Times New Roman" w:eastAsia="仿宋_GB2312" w:cs="Times New Roman"/>
          <w:bCs/>
          <w:sz w:val="28"/>
          <w:szCs w:val="28"/>
        </w:rPr>
      </w:pPr>
      <w:bookmarkStart w:id="176" w:name="_Toc65153203"/>
      <w:r>
        <w:rPr>
          <w:rFonts w:hint="default" w:ascii="Times New Roman" w:hAnsi="Times New Roman" w:eastAsia="仿宋_GB2312" w:cs="Times New Roman"/>
          <w:b w:val="0"/>
          <w:bCs/>
          <w:kern w:val="2"/>
          <w:sz w:val="28"/>
          <w:szCs w:val="28"/>
          <w:lang w:val="en-US" w:eastAsia="zh-CN"/>
        </w:rPr>
        <w:t>实施“</w:t>
      </w:r>
      <w:r>
        <w:rPr>
          <w:rFonts w:hint="default" w:ascii="Times New Roman" w:hAnsi="Times New Roman" w:eastAsia="仿宋_GB2312" w:cs="Times New Roman"/>
          <w:b w:val="0"/>
          <w:bCs/>
          <w:sz w:val="28"/>
          <w:szCs w:val="28"/>
          <w:lang w:val="en-US" w:eastAsia="zh-CN"/>
        </w:rPr>
        <w:t>党建强基大引领</w:t>
      </w:r>
      <w:r>
        <w:rPr>
          <w:rFonts w:hint="default" w:ascii="Times New Roman" w:hAnsi="Times New Roman" w:eastAsia="仿宋_GB2312" w:cs="Times New Roman"/>
          <w:b w:val="0"/>
          <w:bCs/>
          <w:kern w:val="2"/>
          <w:sz w:val="28"/>
          <w:szCs w:val="28"/>
          <w:lang w:val="en-US" w:eastAsia="zh-CN"/>
        </w:rPr>
        <w:t>”工程，</w:t>
      </w:r>
      <w:r>
        <w:rPr>
          <w:rFonts w:hint="default" w:ascii="Times New Roman" w:hAnsi="Times New Roman" w:eastAsia="仿宋_GB2312" w:cs="Times New Roman"/>
          <w:bCs/>
          <w:sz w:val="28"/>
          <w:szCs w:val="28"/>
        </w:rPr>
        <w:t>事业成败，关键在党，关键在人。今后五年，我们必须始终坚持党的全面领导，保持“在路上”的心态、“管到底”的常态、“严到位”的状态，推动全面从严治党向纵深发展。</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77" w:name="_Toc29981"/>
      <w:bookmarkStart w:id="178" w:name="_Toc12595"/>
      <w:bookmarkStart w:id="179" w:name="_Toc5361"/>
      <w:r>
        <w:rPr>
          <w:rFonts w:hint="eastAsia" w:ascii="方正黑体简体" w:hAnsi="方正黑体简体" w:eastAsia="方正黑体简体" w:cs="方正黑体简体"/>
          <w:b w:val="0"/>
          <w:bCs w:val="0"/>
        </w:rPr>
        <w:t>第三十一章 坚持党的全面领导</w:t>
      </w:r>
      <w:bookmarkEnd w:id="176"/>
      <w:bookmarkEnd w:id="177"/>
      <w:bookmarkEnd w:id="178"/>
      <w:bookmarkEnd w:id="179"/>
    </w:p>
    <w:p>
      <w:pPr>
        <w:spacing w:line="520" w:lineRule="exact"/>
        <w:ind w:firstLine="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坚持完善党的领导</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深入学习贯彻习近平新时代中国特色社会主义思想，增强“四个意识”、坚定“四个自信”、做到“两个维护”。认真践行党把方向、谋大局、定政策、促改革的要求，完善上下贯通、执行有力的组织体系，强化对经济社会发展的统筹协调，在谋划全局、制定政策、深化改革、营造环境上下功夫，确保党中央和省委、市委决策部署在安居落地落实。强化党委决策和监督作用，牢牢把握正确发展方向，加强调查研究，强化创新理念，加强对经济社会发展的综合分析和精准研判，完善决策机制，提高决策科学化、民主化、法治化水平，提高政治判断力、政治领悟力、政治执行力。全面落实党中央关于坚持和完善党和国家监督体系的安排部署，严格履行全面从严治党主体责任、监督责任，强化对公权力运行的制约和监督，保障政令畅通。加强基层党组织建设，打造一批示范引领党建品牌，推动基层党组织全面进步全面过硬。</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第二节 持续巩固风清气正良好政治生态</w:t>
      </w:r>
    </w:p>
    <w:p>
      <w:pPr>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严格落实全面从严治党政治责任，提高党的建设质量。坚持不懈加强党的政治建设，强化政治巡察和政治监督，深入推进巡审结合，严明政治纪律和政治规矩，确保政令畅通、令行禁止。深入贯彻落实中央八项规定精神和省市区十项规定及其实施细则，持续整治形式主义、官僚主义，持续开展“重实干、强执行、抓落实”作风建设，树立求真务实、勤俭节约良好风气。坚持零容忍、无禁区惩治腐败，深入开展系列反腐专项行动，系统治理腐败问题，持续巩固反腐败压倒性胜利。拓展科技防腐平台，创立廉政教育品牌，构建独具安居特色的预防腐败体系，建设干部清正、办事清爽、民心清朗、社风清朴的清廉安居。</w:t>
      </w:r>
    </w:p>
    <w:p>
      <w:pPr>
        <w:spacing w:line="520" w:lineRule="exact"/>
        <w:ind w:firstLine="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建设高素质干部人才队伍</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落实新时代好干部标准，建立健全素质培养、知事识人、选拔任用、从严管理、正向激励的干部工作体系。加强年轻干部培养储备，完善干部容错纠错和担当作为激励机制，营造心齐气顺干事氛围，打造最具活力、最有战斗力的干部队伍。完善领导班子和干部绩效考评体系。推进人才发展体制机制改革，深入实施“琼江英才”</w:t>
      </w:r>
      <w:r>
        <w:rPr>
          <w:rFonts w:hint="eastAsia" w:ascii="Times New Roman" w:hAnsi="Times New Roman" w:eastAsia="仿宋_GB2312" w:cs="Times New Roman"/>
          <w:bCs/>
          <w:sz w:val="28"/>
          <w:szCs w:val="28"/>
        </w:rPr>
        <w:t>招揽行动</w:t>
      </w:r>
      <w:r>
        <w:rPr>
          <w:rFonts w:ascii="Times New Roman" w:hAnsi="Times New Roman" w:eastAsia="仿宋_GB2312" w:cs="Times New Roman"/>
          <w:bCs/>
          <w:sz w:val="28"/>
          <w:szCs w:val="28"/>
        </w:rPr>
        <w:t>和“企业人才活水工程”“安居百名精英选育计划”“双引双培”乡村人才支持计划，加强高层次和急需紧缺人才引进，推进党政人才专业化、企业领军人才高端化、专业技术人才多元化、乡村实用人才职业化。</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第四节 推进社会主义民主政治建设</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坚持和完善人民代表大会制度，支持人大及其常委会依法行使职权，积极开展法律监督和工作监督。支持政协依章程履行职能，发挥人民政协专门协商机构作用，积极开展政治协商、民主监督、参政议政。巩固和发展最广泛的爱国统一战线，支持民主党派、工商联和无党派人士更好履行职能，加强民营经济和新的社会阶层人士统战工作，发挥工会、共青团、妇联、侨联等人民团体作用，持续做好侨务、港澳、对台工作，提升党外干部梯次培育使用在全市的贡献率。深入做好民族宗教工作，积极引导宗教与社会主义社会相适应，深入持久开展民族团结进步创建，铸牢中华民族共同体意识。坚决落实党管武装政治责任，全面提升国防动员和后备力量建设水平。</w:t>
      </w:r>
    </w:p>
    <w:p>
      <w:pPr>
        <w:pStyle w:val="4"/>
        <w:spacing w:before="312" w:beforeLines="100" w:after="156" w:afterLines="50" w:line="520" w:lineRule="exact"/>
        <w:ind w:left="210"/>
        <w:jc w:val="center"/>
        <w:rPr>
          <w:rFonts w:hint="eastAsia" w:ascii="方正黑体简体" w:hAnsi="方正黑体简体" w:eastAsia="方正黑体简体" w:cs="方正黑体简体"/>
          <w:b w:val="0"/>
          <w:bCs w:val="0"/>
        </w:rPr>
      </w:pPr>
      <w:bookmarkStart w:id="180" w:name="_Toc28356"/>
      <w:bookmarkStart w:id="181" w:name="_Toc31371"/>
      <w:bookmarkStart w:id="182" w:name="_Toc65153204"/>
      <w:bookmarkStart w:id="183" w:name="_Toc5267"/>
      <w:r>
        <w:rPr>
          <w:rFonts w:hint="eastAsia" w:ascii="方正黑体简体" w:hAnsi="方正黑体简体" w:eastAsia="方正黑体简体" w:cs="方正黑体简体"/>
          <w:b w:val="0"/>
          <w:bCs w:val="0"/>
        </w:rPr>
        <w:t>第三十二章 完善规划实施保障措施</w:t>
      </w:r>
      <w:bookmarkEnd w:id="180"/>
      <w:bookmarkEnd w:id="181"/>
      <w:bookmarkEnd w:id="182"/>
      <w:bookmarkEnd w:id="183"/>
    </w:p>
    <w:p>
      <w:pPr>
        <w:spacing w:line="520" w:lineRule="exact"/>
        <w:ind w:firstLine="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第一节 强化规划组织落实</w:t>
      </w:r>
    </w:p>
    <w:p>
      <w:pPr>
        <w:spacing w:line="520" w:lineRule="exact"/>
        <w:ind w:firstLine="560" w:firstLineChars="200"/>
        <w:rPr>
          <w:rFonts w:ascii="Times New Roman" w:hAnsi="Times New Roman" w:eastAsia="仿宋_GB2312"/>
          <w:bCs/>
          <w:sz w:val="28"/>
          <w:szCs w:val="28"/>
        </w:rPr>
      </w:pPr>
      <w:r>
        <w:rPr>
          <w:rFonts w:hint="eastAsia" w:ascii="Times New Roman" w:hAnsi="Times New Roman" w:eastAsia="仿宋_GB2312" w:cs="Times New Roman"/>
          <w:bCs/>
          <w:sz w:val="28"/>
          <w:szCs w:val="28"/>
        </w:rPr>
        <w:t>本规划经区人民代表大会审查和批准，由区人民政府组织实施。区人民政府依据本规划制定实施国民经济和社会发展年度计划，安排年度目标任务、明确责任主体、落实进度要求，并向区人民代表大会报告，自觉接受人大监督、审计监督和社会监督。加强规划实施的财政保障和金融支持。强化项目支撑，加强项目储备，做好跟踪服务，健全项目实施、监管、督查、激励机制，完善重大项目的决策机制和协调服务体系，有效保障规划选址、土地供应、资金安排，确保规划落地。</w:t>
      </w:r>
    </w:p>
    <w:p>
      <w:pPr>
        <w:spacing w:line="520" w:lineRule="exact"/>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 xml:space="preserve">第二节 </w:t>
      </w:r>
      <w:r>
        <w:rPr>
          <w:rFonts w:hint="eastAsia" w:ascii="楷体_GB2312" w:hAnsi="楷体_GB2312" w:eastAsia="楷体_GB2312" w:cs="楷体_GB2312"/>
          <w:b/>
          <w:bCs w:val="0"/>
          <w:sz w:val="28"/>
          <w:szCs w:val="28"/>
        </w:rPr>
        <w:t>促进规划衔接协调</w:t>
      </w:r>
    </w:p>
    <w:p>
      <w:pPr>
        <w:widowControl/>
        <w:spacing w:line="520" w:lineRule="exact"/>
        <w:ind w:firstLine="560" w:firstLineChars="200"/>
        <w:rPr>
          <w:rFonts w:ascii="Times New Roman" w:hAnsi="Times New Roman" w:eastAsia="仿宋_GB2312" w:cs="Times New Roman"/>
          <w:bCs/>
          <w:sz w:val="28"/>
          <w:szCs w:val="28"/>
        </w:rPr>
      </w:pPr>
      <w:r>
        <w:rPr>
          <w:rFonts w:ascii="Times New Roman" w:hAnsi="Times New Roman" w:eastAsia="仿宋_GB2312" w:cs="Times New Roman"/>
          <w:bCs/>
          <w:sz w:val="28"/>
          <w:szCs w:val="28"/>
        </w:rPr>
        <w:t>加强规划间纵向与横向衔接，在规划目标特别是约束性指标、发展方向、总体布局、重大政策、重大工程等方面与各级各类规划协调一致。强化发展规划的战略导向作用，明确发展规划统筹重大战略和重大举措时空安排功能。建立部门之间协同推进、沟通协商机制，健全发展规划实施反馈机制，促进提高发展规划与空间规划、专项规划、区域规划之间的实施协同性，确保各级各类规划协调一致，形成规划合力。建设规划综合管理信息平台，将各类规划纳入统一管理，强化规划衔接协调，推动规划基础信息互联互通和归集共享。</w:t>
      </w:r>
    </w:p>
    <w:p>
      <w:pPr>
        <w:widowControl/>
        <w:ind w:firstLine="0"/>
        <w:jc w:val="left"/>
        <w:rPr>
          <w:rFonts w:hint="eastAsia" w:ascii="Times New Roman" w:hAnsi="Times New Roman" w:eastAsia="仿宋_GB2312" w:cs="Times New Roman"/>
          <w:b/>
          <w:sz w:val="28"/>
          <w:szCs w:val="28"/>
        </w:rPr>
      </w:pPr>
      <w:r>
        <w:rPr>
          <w:rFonts w:hint="eastAsia" w:ascii="Times New Roman" w:hAnsi="Times New Roman" w:eastAsia="仿宋_GB2312" w:cs="Times New Roman"/>
          <w:b/>
          <w:sz w:val="28"/>
          <w:szCs w:val="28"/>
        </w:rPr>
        <w:br w:type="page"/>
      </w:r>
    </w:p>
    <w:p>
      <w:pPr>
        <w:widowControl/>
        <w:ind w:firstLine="420"/>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表9-1 “十四五”时期重点专项规划</w:t>
      </w:r>
    </w:p>
    <w:tbl>
      <w:tblPr>
        <w:tblStyle w:val="26"/>
        <w:tblW w:w="52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6067"/>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tcPr>
          <w:p>
            <w:pPr>
              <w:pStyle w:val="31"/>
              <w:spacing w:before="0" w:after="0" w:line="440" w:lineRule="exact"/>
              <w:ind w:right="-119"/>
              <w:rPr>
                <w:rFonts w:ascii="仿宋_GB2312" w:eastAsia="仿宋_GB2312"/>
                <w:b/>
                <w:color w:val="auto"/>
                <w:sz w:val="24"/>
                <w:szCs w:val="24"/>
              </w:rPr>
            </w:pPr>
            <w:r>
              <w:rPr>
                <w:rFonts w:hint="eastAsia" w:ascii="仿宋_GB2312" w:eastAsia="仿宋_GB2312"/>
                <w:b/>
                <w:color w:val="auto"/>
                <w:sz w:val="24"/>
                <w:szCs w:val="24"/>
              </w:rPr>
              <w:t>序号</w:t>
            </w:r>
          </w:p>
        </w:tc>
        <w:tc>
          <w:tcPr>
            <w:tcW w:w="3203" w:type="pct"/>
          </w:tcPr>
          <w:p>
            <w:pPr>
              <w:pStyle w:val="31"/>
              <w:spacing w:before="0" w:after="0" w:line="440" w:lineRule="exact"/>
              <w:ind w:right="-119"/>
              <w:rPr>
                <w:rFonts w:ascii="仿宋_GB2312" w:eastAsia="仿宋_GB2312"/>
                <w:b/>
                <w:color w:val="auto"/>
                <w:sz w:val="24"/>
                <w:szCs w:val="24"/>
              </w:rPr>
            </w:pPr>
            <w:r>
              <w:rPr>
                <w:rFonts w:hint="eastAsia" w:ascii="仿宋_GB2312" w:eastAsia="仿宋_GB2312"/>
                <w:b/>
                <w:color w:val="auto"/>
                <w:sz w:val="24"/>
                <w:szCs w:val="24"/>
              </w:rPr>
              <w:t>专项规划名称</w:t>
            </w:r>
          </w:p>
        </w:tc>
        <w:tc>
          <w:tcPr>
            <w:tcW w:w="1370" w:type="pct"/>
          </w:tcPr>
          <w:p>
            <w:pPr>
              <w:pStyle w:val="31"/>
              <w:spacing w:before="0" w:after="0" w:line="440" w:lineRule="exact"/>
              <w:ind w:right="-119"/>
              <w:rPr>
                <w:rFonts w:ascii="仿宋_GB2312" w:eastAsia="仿宋_GB2312"/>
                <w:b/>
                <w:color w:val="auto"/>
                <w:sz w:val="24"/>
                <w:szCs w:val="24"/>
              </w:rPr>
            </w:pPr>
            <w:r>
              <w:rPr>
                <w:rFonts w:hint="eastAsia" w:ascii="仿宋_GB2312" w:eastAsia="仿宋_GB2312"/>
                <w:b/>
                <w:color w:val="auto"/>
                <w:sz w:val="24"/>
                <w:szCs w:val="24"/>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1</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遂宁市安居区“十四五”工业产业发展规划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经信科技</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2</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遂宁市安居区“十四五”科技创新发展规划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经信科技</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3</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遂宁市安居区“十四五”公园城市建设发展规划</w:t>
            </w:r>
          </w:p>
        </w:tc>
        <w:tc>
          <w:tcPr>
            <w:tcW w:w="1370" w:type="pct"/>
            <w:vAlign w:val="center"/>
          </w:tcPr>
          <w:p>
            <w:pPr>
              <w:pStyle w:val="31"/>
              <w:spacing w:before="0" w:after="0" w:line="440" w:lineRule="exact"/>
              <w:ind w:right="-119"/>
              <w:jc w:val="left"/>
              <w:rPr>
                <w:rFonts w:hint="default" w:ascii="仿宋_GB2312" w:eastAsia="仿宋_GB2312"/>
                <w:color w:val="auto"/>
                <w:sz w:val="24"/>
                <w:szCs w:val="24"/>
                <w:lang w:val="en-US" w:eastAsia="zh-CN"/>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4</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遂宁市安居区“十四五”综合交通运输发展规划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交通运输</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5</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遂宁市安居区“十四五”现代服务业发展规划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6</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遂宁市安居区“十四五”农业和农村发展规划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7</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遂宁市安居区“十四五”文化旅游发展规划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文化广电旅游</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8</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遂宁市安居区“十四五”水利发展规划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9</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遂宁市安居区“十四五”自然资源发展规划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区自然资源规划局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10</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pacing w:val="-6"/>
                <w:sz w:val="24"/>
                <w:szCs w:val="24"/>
              </w:rPr>
              <w:t>遂宁市安居区“十四五”生态建设与环境保护发展规划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安居生态环境局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11</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遂宁市安居区“十四五”教育体育发展规划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教育体育</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12</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lang w:val="en-US" w:eastAsia="zh-CN"/>
              </w:rPr>
              <w:t>遂</w:t>
            </w:r>
            <w:r>
              <w:rPr>
                <w:rFonts w:hint="eastAsia" w:ascii="仿宋_GB2312" w:eastAsia="仿宋_GB2312"/>
                <w:color w:val="000000"/>
                <w:sz w:val="24"/>
                <w:szCs w:val="24"/>
              </w:rPr>
              <w:t>宁市安居区“十四五”医药卫生健康养老发展规划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卫生健康</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ascii="仿宋_GB2312" w:eastAsia="仿宋_GB2312"/>
                <w:color w:val="auto"/>
                <w:sz w:val="24"/>
                <w:szCs w:val="24"/>
              </w:rPr>
            </w:pPr>
            <w:r>
              <w:rPr>
                <w:rFonts w:ascii="仿宋_GB2312" w:eastAsia="仿宋_GB2312"/>
                <w:color w:val="000000"/>
                <w:sz w:val="24"/>
                <w:szCs w:val="24"/>
              </w:rPr>
              <w:t>13</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遂宁市安居区“十四五”应急管理规划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25" w:type="pct"/>
            <w:vAlign w:val="center"/>
          </w:tcPr>
          <w:p>
            <w:pPr>
              <w:pStyle w:val="31"/>
              <w:spacing w:before="0" w:after="0" w:line="440" w:lineRule="exact"/>
              <w:ind w:right="-119"/>
              <w:rPr>
                <w:rFonts w:hint="eastAsia" w:ascii="仿宋_GB2312" w:eastAsia="仿宋_GB2312"/>
                <w:color w:val="auto"/>
                <w:sz w:val="24"/>
                <w:szCs w:val="24"/>
                <w:lang w:eastAsia="zh-CN"/>
              </w:rPr>
            </w:pPr>
            <w:r>
              <w:rPr>
                <w:rFonts w:ascii="仿宋_GB2312" w:eastAsia="仿宋_GB2312"/>
                <w:color w:val="000000"/>
                <w:sz w:val="24"/>
                <w:szCs w:val="24"/>
              </w:rPr>
              <w:t>1</w:t>
            </w:r>
            <w:r>
              <w:rPr>
                <w:rFonts w:hint="eastAsia" w:ascii="仿宋_GB2312" w:eastAsia="仿宋_GB2312"/>
                <w:color w:val="000000"/>
                <w:sz w:val="24"/>
                <w:szCs w:val="24"/>
                <w:lang w:val="en-US" w:eastAsia="zh-CN"/>
              </w:rPr>
              <w:t>4</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遂宁市安居区“十四五”就业和社会保障规划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w:t>
            </w:r>
            <w:r>
              <w:rPr>
                <w:rFonts w:hint="eastAsia" w:ascii="仿宋_GB2312" w:eastAsia="仿宋_GB2312"/>
                <w:color w:val="000000"/>
                <w:sz w:val="24"/>
                <w:szCs w:val="24"/>
                <w:lang w:val="en-US" w:eastAsia="zh-CN"/>
              </w:rPr>
              <w:t>人力资源社会保障</w:t>
            </w:r>
            <w:r>
              <w:rPr>
                <w:rFonts w:hint="eastAsia" w:ascii="仿宋_GB2312" w:eastAsia="仿宋_GB2312"/>
                <w:color w:val="000000"/>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25" w:type="pct"/>
            <w:vAlign w:val="center"/>
          </w:tcPr>
          <w:p>
            <w:pPr>
              <w:pStyle w:val="31"/>
              <w:spacing w:before="0" w:after="0" w:line="440" w:lineRule="exact"/>
              <w:ind w:right="-119"/>
              <w:rPr>
                <w:rFonts w:hint="eastAsia" w:ascii="仿宋_GB2312" w:eastAsia="仿宋_GB2312"/>
                <w:color w:val="auto"/>
                <w:sz w:val="24"/>
                <w:szCs w:val="24"/>
                <w:lang w:eastAsia="zh-CN"/>
              </w:rPr>
            </w:pPr>
            <w:r>
              <w:rPr>
                <w:rFonts w:ascii="仿宋_GB2312" w:eastAsia="仿宋_GB2312"/>
                <w:color w:val="000000"/>
                <w:sz w:val="24"/>
                <w:szCs w:val="24"/>
              </w:rPr>
              <w:t>1</w:t>
            </w:r>
            <w:r>
              <w:rPr>
                <w:rFonts w:hint="eastAsia" w:ascii="仿宋_GB2312" w:eastAsia="仿宋_GB2312"/>
                <w:color w:val="000000"/>
                <w:sz w:val="24"/>
                <w:szCs w:val="24"/>
                <w:lang w:val="en-US" w:eastAsia="zh-CN"/>
              </w:rPr>
              <w:t>5</w:t>
            </w:r>
          </w:p>
        </w:tc>
        <w:tc>
          <w:tcPr>
            <w:tcW w:w="3203"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遂宁市安居区“十四五”社会管理规划</w:t>
            </w:r>
          </w:p>
        </w:tc>
        <w:tc>
          <w:tcPr>
            <w:tcW w:w="1370" w:type="pct"/>
            <w:vAlign w:val="center"/>
          </w:tcPr>
          <w:p>
            <w:pPr>
              <w:pStyle w:val="31"/>
              <w:spacing w:before="0" w:after="0" w:line="440" w:lineRule="exact"/>
              <w:ind w:right="-119"/>
              <w:jc w:val="left"/>
              <w:rPr>
                <w:rFonts w:ascii="仿宋_GB2312" w:eastAsia="仿宋_GB2312"/>
                <w:color w:val="auto"/>
                <w:sz w:val="24"/>
                <w:szCs w:val="24"/>
              </w:rPr>
            </w:pPr>
            <w:r>
              <w:rPr>
                <w:rFonts w:hint="eastAsia" w:ascii="仿宋_GB2312" w:eastAsia="仿宋_GB2312"/>
                <w:color w:val="000000"/>
                <w:sz w:val="24"/>
                <w:szCs w:val="24"/>
              </w:rPr>
              <w:t>区委政法委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25" w:type="pct"/>
            <w:vAlign w:val="center"/>
          </w:tcPr>
          <w:p>
            <w:pPr>
              <w:pStyle w:val="31"/>
              <w:spacing w:before="0" w:after="0" w:line="440" w:lineRule="exact"/>
              <w:ind w:right="-119"/>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16</w:t>
            </w:r>
          </w:p>
        </w:tc>
        <w:tc>
          <w:tcPr>
            <w:tcW w:w="3203" w:type="pct"/>
            <w:vAlign w:val="center"/>
          </w:tcPr>
          <w:p>
            <w:pPr>
              <w:pStyle w:val="31"/>
              <w:spacing w:before="0" w:after="0" w:line="440" w:lineRule="exact"/>
              <w:ind w:right="-119"/>
              <w:jc w:val="left"/>
              <w:rPr>
                <w:rFonts w:hint="eastAsia" w:ascii="仿宋_GB2312" w:eastAsia="仿宋_GB2312"/>
                <w:color w:val="000000"/>
                <w:sz w:val="24"/>
                <w:szCs w:val="24"/>
              </w:rPr>
            </w:pPr>
            <w:r>
              <w:rPr>
                <w:rFonts w:hint="eastAsia" w:ascii="仿宋_GB2312" w:eastAsia="仿宋_GB2312"/>
                <w:color w:val="000000"/>
                <w:sz w:val="24"/>
                <w:szCs w:val="24"/>
              </w:rPr>
              <w:t>遂宁市安居区“十四五”脱贫攻坚巩固拓展专项规划</w:t>
            </w:r>
          </w:p>
        </w:tc>
        <w:tc>
          <w:tcPr>
            <w:tcW w:w="1370" w:type="pct"/>
            <w:vAlign w:val="center"/>
          </w:tcPr>
          <w:p>
            <w:pPr>
              <w:pStyle w:val="31"/>
              <w:spacing w:before="0" w:after="0" w:line="440" w:lineRule="exact"/>
              <w:ind w:right="-119"/>
              <w:jc w:val="left"/>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区乡村振兴局</w:t>
            </w:r>
          </w:p>
        </w:tc>
      </w:tr>
    </w:tbl>
    <w:p>
      <w:pPr>
        <w:ind w:firstLine="0"/>
        <w:jc w:val="left"/>
        <w:outlineLvl w:val="9"/>
        <w:rPr>
          <w:rFonts w:hint="eastAsia" w:ascii="Times New Roman" w:hAnsi="Times New Roman" w:eastAsia="仿宋_GB2312" w:cs="Times New Roman"/>
          <w:b/>
          <w:sz w:val="28"/>
          <w:szCs w:val="28"/>
        </w:rPr>
      </w:pPr>
      <w:r>
        <w:rPr>
          <w:rFonts w:hint="eastAsia" w:ascii="Times New Roman" w:hAnsi="Times New Roman" w:eastAsia="仿宋_GB2312" w:cs="Times New Roman"/>
          <w:b/>
          <w:sz w:val="28"/>
          <w:szCs w:val="28"/>
        </w:rPr>
        <w:br w:type="page"/>
      </w:r>
    </w:p>
    <w:p>
      <w:pPr>
        <w:spacing w:line="520" w:lineRule="exact"/>
        <w:ind w:firstLine="0"/>
        <w:jc w:val="center"/>
        <w:outlineLvl w:val="2"/>
        <w:rPr>
          <w:rFonts w:hint="eastAsia" w:ascii="楷体_GB2312" w:hAnsi="楷体_GB2312" w:eastAsia="楷体_GB2312" w:cs="楷体_GB2312"/>
          <w:b/>
          <w:sz w:val="28"/>
          <w:szCs w:val="28"/>
        </w:rPr>
      </w:pPr>
      <w:r>
        <w:rPr>
          <w:rFonts w:hint="eastAsia" w:ascii="楷体_GB2312" w:hAnsi="楷体_GB2312" w:eastAsia="楷体_GB2312" w:cs="楷体_GB2312"/>
          <w:b/>
          <w:sz w:val="28"/>
          <w:szCs w:val="28"/>
        </w:rPr>
        <w:t>第三节 加强规划评估考核</w:t>
      </w:r>
    </w:p>
    <w:p>
      <w:pPr>
        <w:spacing w:line="520" w:lineRule="exact"/>
        <w:ind w:firstLine="560" w:firstLineChars="200"/>
        <w:rPr>
          <w:rFonts w:ascii="Times New Roman" w:hAnsi="Times New Roman" w:eastAsia="仿宋_GB2312"/>
          <w:bCs/>
          <w:sz w:val="28"/>
          <w:szCs w:val="28"/>
        </w:rPr>
      </w:pPr>
      <w:r>
        <w:rPr>
          <w:rFonts w:hint="eastAsia" w:ascii="Times New Roman" w:hAnsi="Times New Roman" w:eastAsia="仿宋_GB2312" w:cs="Times New Roman"/>
          <w:bCs/>
          <w:sz w:val="28"/>
          <w:szCs w:val="28"/>
        </w:rPr>
        <w:t>健全政策协调、工作协同、责任落实机制，加强规划评估监测、跟踪问效、督促检查，确保“十四五”各项目标任务落地落实。组织开展规划实施年度监测分析、中期评估和总结评估，鼓励开展第三方评估，强化监测评估结果应用。发展规划实施过程中，根据新政策新形势新情况，重点评估实施进展情况及存在问题，提出推进规划实施建议，依照程序对规划进行动态科学合理调整，保障规划方向和方法的稳定性、持续性和继承性。完善规划实施监督考核机制，探索实行规划实施考核结果与被考核责任主体绩效相挂钩。</w:t>
      </w:r>
    </w:p>
    <w:p>
      <w:pPr>
        <w:pStyle w:val="31"/>
        <w:ind w:firstLine="560" w:firstLineChars="200"/>
        <w:rPr>
          <w:rFonts w:ascii="Times New Roman" w:hAnsi="Times New Roman" w:eastAsia="仿宋_GB2312"/>
          <w:bCs/>
          <w:sz w:val="28"/>
          <w:szCs w:val="28"/>
        </w:rPr>
      </w:pPr>
    </w:p>
    <w:p>
      <w:pPr>
        <w:pStyle w:val="31"/>
        <w:ind w:firstLine="560" w:firstLineChars="200"/>
        <w:rPr>
          <w:rFonts w:ascii="Times New Roman" w:hAnsi="Times New Roman" w:eastAsia="仿宋_GB2312"/>
          <w:bCs/>
          <w:sz w:val="28"/>
          <w:szCs w:val="28"/>
        </w:rPr>
      </w:pPr>
    </w:p>
    <w:p>
      <w:pPr>
        <w:pStyle w:val="31"/>
        <w:ind w:firstLine="560" w:firstLineChars="200"/>
        <w:rPr>
          <w:rFonts w:ascii="Times New Roman" w:hAnsi="Times New Roman" w:eastAsia="仿宋_GB2312"/>
          <w:bCs/>
          <w:sz w:val="28"/>
          <w:szCs w:val="28"/>
        </w:rPr>
      </w:pPr>
    </w:p>
    <w:p>
      <w:pPr>
        <w:widowControl/>
        <w:spacing w:line="360" w:lineRule="auto"/>
        <w:ind w:firstLine="560" w:firstLineChars="200"/>
        <w:rPr>
          <w:rFonts w:ascii="Times New Roman" w:hAnsi="Times New Roman" w:eastAsia="仿宋_GB2312" w:cs="Times New Roman"/>
          <w:bCs/>
          <w:sz w:val="28"/>
          <w:szCs w:val="28"/>
        </w:rPr>
      </w:pPr>
    </w:p>
    <w:p>
      <w:pPr>
        <w:pStyle w:val="31"/>
        <w:jc w:val="left"/>
      </w:pPr>
      <w:r>
        <w:br w:type="page"/>
      </w:r>
    </w:p>
    <w:p>
      <w:pPr>
        <w:pStyle w:val="3"/>
        <w:spacing w:before="0" w:beforeLines="-2147483648" w:after="0" w:afterLines="-2147483648" w:line="240" w:lineRule="auto"/>
        <w:jc w:val="center"/>
        <w:rPr>
          <w:rFonts w:hint="eastAsia"/>
          <w:sz w:val="32"/>
          <w:szCs w:val="32"/>
        </w:rPr>
      </w:pPr>
      <w:bookmarkStart w:id="184" w:name="_Toc9894"/>
      <w:bookmarkStart w:id="185" w:name="_Toc26008"/>
      <w:bookmarkStart w:id="186" w:name="_Toc904"/>
      <w:bookmarkStart w:id="187" w:name="_Toc65153205"/>
      <w:r>
        <w:rPr>
          <w:rFonts w:hint="eastAsia"/>
          <w:sz w:val="32"/>
          <w:szCs w:val="32"/>
        </w:rPr>
        <w:t>名词解释</w:t>
      </w:r>
      <w:bookmarkEnd w:id="184"/>
      <w:bookmarkEnd w:id="185"/>
      <w:bookmarkEnd w:id="186"/>
      <w:bookmarkEnd w:id="187"/>
    </w:p>
    <w:p>
      <w:pPr>
        <w:pStyle w:val="3"/>
        <w:spacing w:before="0" w:beforeLines="0" w:after="0" w:afterLines="0" w:afterAutospacing="0" w:line="400" w:lineRule="exact"/>
        <w:jc w:val="center"/>
        <w:rPr>
          <w:rFonts w:hint="eastAsia"/>
          <w:sz w:val="32"/>
          <w:szCs w:val="32"/>
        </w:rPr>
      </w:pP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富民强区“七大行动”：即产业倍增行动、城乡统筹行动、全域开放行动、“三大攻坚”行动、民生提质行动、依法治区行动、党建强基行动。</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3+2</w:t>
      </w:r>
      <w:r>
        <w:rPr>
          <w:rFonts w:hint="eastAsia" w:ascii="Times New Roman" w:hAnsi="Times New Roman" w:eastAsia="仿宋_GB2312" w:cs="Times New Roman"/>
          <w:bCs/>
          <w:sz w:val="24"/>
          <w:szCs w:val="24"/>
        </w:rPr>
        <w:t>”现代工业产业体系：“</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rPr>
        <w:t>”即锂电及新材料、汽车与装备制造、天然气清洁能源产业，“</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rPr>
        <w:t>”即食品与特色消费品产业、通用航空产业。</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5+10</w:t>
      </w:r>
      <w:r>
        <w:rPr>
          <w:rFonts w:hint="eastAsia" w:ascii="Times New Roman" w:hAnsi="Times New Roman" w:eastAsia="仿宋_GB2312" w:cs="Times New Roman"/>
          <w:bCs/>
          <w:sz w:val="24"/>
          <w:szCs w:val="24"/>
        </w:rPr>
        <w:t>”现代农业产业体系：“</w:t>
      </w: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rPr>
        <w:t>”即优质粮油、绿色蔬菜、特色水果、绿色畜禽、生态水产五大特色农业；“</w:t>
      </w:r>
      <w:r>
        <w:rPr>
          <w:rFonts w:ascii="Times New Roman" w:hAnsi="Times New Roman" w:eastAsia="仿宋_GB2312" w:cs="Times New Roman"/>
          <w:bCs/>
          <w:sz w:val="24"/>
          <w:szCs w:val="24"/>
        </w:rPr>
        <w:t>10</w:t>
      </w:r>
      <w:r>
        <w:rPr>
          <w:rFonts w:hint="eastAsia" w:ascii="Times New Roman" w:hAnsi="Times New Roman" w:eastAsia="仿宋_GB2312" w:cs="Times New Roman"/>
          <w:bCs/>
          <w:sz w:val="24"/>
          <w:szCs w:val="24"/>
        </w:rPr>
        <w:t>”即三家大米、安居红苕、柠檬、莲藕、柑橘、藤椒、沙田柚、笋用竹、优质油菜、莲湖脆桃十大现代农业园区。</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4+2</w:t>
      </w:r>
      <w:r>
        <w:rPr>
          <w:rFonts w:hint="eastAsia" w:ascii="Times New Roman" w:hAnsi="Times New Roman" w:eastAsia="仿宋_GB2312" w:cs="Times New Roman"/>
          <w:bCs/>
          <w:sz w:val="24"/>
          <w:szCs w:val="24"/>
        </w:rPr>
        <w:t>”现代服务业产业体系：“</w:t>
      </w: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rPr>
        <w:t>”即商贸服务、文化旅游、教育体育、健康养老四大支柱型服务业；“</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rPr>
        <w:t>”即电子商务、现代物流两大成长型服务业。</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1+1+4+8</w:t>
      </w:r>
      <w:r>
        <w:rPr>
          <w:rFonts w:hint="eastAsia" w:ascii="Times New Roman" w:hAnsi="Times New Roman" w:eastAsia="仿宋_GB2312" w:cs="Times New Roman"/>
          <w:bCs/>
          <w:sz w:val="24"/>
          <w:szCs w:val="24"/>
        </w:rPr>
        <w:t>”现代城镇体系：“</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”即主城区</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凤凰街道、柔刚街道、安居镇</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”即拦江县域副中心；“</w:t>
      </w: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rPr>
        <w:t>”即三家镇、西眉镇、横山镇、东禅镇</w:t>
      </w: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rPr>
        <w:t>个市级中心镇；“</w:t>
      </w:r>
      <w:r>
        <w:rPr>
          <w:rFonts w:ascii="Times New Roman" w:hAnsi="Times New Roman" w:eastAsia="仿宋_GB2312" w:cs="Times New Roman"/>
          <w:bCs/>
          <w:sz w:val="24"/>
          <w:szCs w:val="24"/>
        </w:rPr>
        <w:t>8</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8</w:t>
      </w:r>
      <w:r>
        <w:rPr>
          <w:rFonts w:hint="eastAsia" w:ascii="Times New Roman" w:hAnsi="Times New Roman" w:eastAsia="仿宋_GB2312" w:cs="Times New Roman"/>
          <w:bCs/>
          <w:sz w:val="24"/>
          <w:szCs w:val="24"/>
        </w:rPr>
        <w:t>个中心镇。</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6</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三园三路三改一街：“三园”即凤凰栖公园、风舞琼花公园、头陀寺公园；“三路”即打通凤凰大道中段、凤鸣路，提升滨江南北路，“三改”即旧城改造、</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rPr>
        <w:t>线城区段改造、老旧小区改造，“一街”即建设安居老街。</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7</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一环三横四纵六射：“一环”即</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rPr>
        <w:t>连接</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遂安大道</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玉机路形成的城市环线；“三横”即安居大道、琼江中路、兴贸路三条城市横道；“四纵”即凤凰大道、聚安南路、兴安路、安东大道四条竖向城市道路；“六射”即</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rPr>
        <w:t>出城东禅方向射至乐至、</w:t>
      </w:r>
      <w:r>
        <w:rPr>
          <w:rFonts w:ascii="Times New Roman" w:hAnsi="Times New Roman" w:eastAsia="仿宋_GB2312" w:cs="Times New Roman"/>
          <w:bCs/>
          <w:sz w:val="24"/>
          <w:szCs w:val="24"/>
        </w:rPr>
        <w:t>G247</w:t>
      </w:r>
      <w:r>
        <w:rPr>
          <w:rFonts w:hint="eastAsia" w:ascii="Times New Roman" w:hAnsi="Times New Roman" w:eastAsia="仿宋_GB2312" w:cs="Times New Roman"/>
          <w:bCs/>
          <w:sz w:val="24"/>
          <w:szCs w:val="24"/>
        </w:rPr>
        <w:t>出城射向安岳、遂安大道出城射向高新区、</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rPr>
        <w:t>出城往玉丰方向射向船山、安东大道连接遂宜毕高速射向潼南、安白路连接白马高速出口射向成都。</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8</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五个必谈：即领导班子成员必谈，企事业单位负责人必谈，社会成功人士必谈，退休退职干部必谈，基层一线群众必谈。</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9</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五个不减：即便民服务不减，治安警力不减，公共服务不减，集镇管理不减，基础投资不减。</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10</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1+1+N</w:t>
      </w:r>
      <w:r>
        <w:rPr>
          <w:rFonts w:hint="eastAsia" w:ascii="Times New Roman" w:hAnsi="Times New Roman" w:eastAsia="仿宋_GB2312" w:cs="Times New Roman"/>
          <w:bCs/>
          <w:sz w:val="24"/>
          <w:szCs w:val="24"/>
        </w:rPr>
        <w:t>”招商模式：“</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个经合局科级干部，“</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个挂职副科级招商干部，“</w:t>
      </w:r>
      <w:r>
        <w:rPr>
          <w:rFonts w:ascii="Times New Roman" w:hAnsi="Times New Roman" w:eastAsia="仿宋_GB2312" w:cs="Times New Roman"/>
          <w:bCs/>
          <w:sz w:val="24"/>
          <w:szCs w:val="24"/>
        </w:rPr>
        <w:t>N</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N</w:t>
      </w:r>
      <w:r>
        <w:rPr>
          <w:rFonts w:hint="eastAsia" w:ascii="Times New Roman" w:hAnsi="Times New Roman" w:eastAsia="仿宋_GB2312" w:cs="Times New Roman"/>
          <w:bCs/>
          <w:sz w:val="24"/>
          <w:szCs w:val="24"/>
        </w:rPr>
        <w:t>个招商小分队成员。</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11</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两线合一：即实行低保标准与扶贫标准统一设定。</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12</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四个三：即注重“三个环节”，调查评议、张榜公示、审核审批；区分“三大类别”，未纳入农村低保保障范围的建档立卡贫困户、已享受农村低保的建档立卡贫困户、因病、因灾致贫的建档立卡贫困户；通过“三种途径”，努力向上争、区级财政拼、动员社会捐；做到“三个到位”，组织领导到位、政策宣传到位、督促检查到位。</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13</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铁腕禁毒“六个四”：即构建禁毒工作领导、涉毒重点人员包保、禁毒重点区域挂联帮扶、日常排查管控网格管理“四大责任体系”，建好吸毒人员、劳务输出、重点人员、高危场所“四本台账”，健全重点对象日常巡查、毒情形势定期研判、重点人员信息推送、吸毒人员帮扶关爱“四套办法”，向群众发放禁毒倡议书、与干部</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党员</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带头签订干部禁毒承诺书、与涉毒家庭签订拒毒告诫书、与外出务工人员签订防毒告知书“四张文书”，实施“严管”“严戒”“严打”“严控”“四严工程”，落实禁毒工作力量、禁毒阵地建设、禁毒工作经费、禁毒考核问责“四项”保障。</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14</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卡三员四不准：“一卡”即所有村社、小区仅保留一个出入卡口，“三员”即服务群众代办员、疫情知识宣传员、政策落实监督员，“四不准”即非本小区车辆和群众不准进入、未戴口罩人员不准外出、重点管控人员不准出小区、小区内居民不准聚集。</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15</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122N</w:t>
      </w:r>
      <w:r>
        <w:rPr>
          <w:rFonts w:hint="eastAsia" w:ascii="Times New Roman" w:hAnsi="Times New Roman" w:eastAsia="仿宋_GB2312" w:cs="Times New Roman"/>
          <w:bCs/>
          <w:sz w:val="24"/>
          <w:szCs w:val="24"/>
        </w:rPr>
        <w:t>：即每条区级河道设</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名区级河长、</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rPr>
        <w:t>名及以上区级河段长、</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rPr>
        <w:t>名及以上河道警长、</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个及以上区级联系单位、</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个及以上企业河长，</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名法官、</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名检察官、</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名法律服务河长，水污染防治技术员和涉河工程技术员各</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名、两代表一委员监督员各</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名。</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16</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四大亮剑行动：即工程项目突出问题亮剑行动、国资国企“靠山吃山”亮剑行动、民生领域突出问题亮剑行动、“中梗阻”突出问题亮剑行动。</w:t>
      </w:r>
    </w:p>
    <w:p>
      <w:pPr>
        <w:widowControl w:val="0"/>
        <w:spacing w:line="440" w:lineRule="exact"/>
        <w:ind w:firstLine="480" w:firstLineChars="200"/>
        <w:rPr>
          <w:rFonts w:hint="eastAsia"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lang w:val="en-US" w:eastAsia="zh-CN"/>
        </w:rPr>
        <w:t>7</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 w:val="0"/>
          <w:bCs/>
          <w:kern w:val="2"/>
          <w:sz w:val="24"/>
          <w:szCs w:val="24"/>
          <w:lang w:val="en-US" w:eastAsia="zh-CN" w:bidi="ar-SA"/>
        </w:rPr>
        <w:t>“一带一路”：即“丝绸之路经济带”和“21世纪海上丝绸之路”的简称。</w:t>
      </w:r>
    </w:p>
    <w:p>
      <w:pPr>
        <w:widowControl w:val="0"/>
        <w:spacing w:line="440" w:lineRule="exact"/>
        <w:ind w:firstLine="480" w:firstLineChars="200"/>
        <w:rPr>
          <w:rFonts w:hint="eastAsia"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lang w:val="en-US" w:eastAsia="zh-CN"/>
        </w:rPr>
        <w:t>8</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核三片、四区协同”发展战略：一核是指中心城区经济发展极核；三片是指射洪、蓬溪、大英三大经济片区；四区协同是指中心城区经济发展极核与射洪、蓬溪、大英经济片区创新协同，促进“四区”优势互补、错位发展、同频共振。</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lang w:val="en-US" w:eastAsia="zh-CN"/>
        </w:rPr>
        <w:t>9</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一城三区、一带两廊：“一城”即遂宁市主城区；“三区”即船山区、安居区、大英区；“一带”即遂宁市滨江生活服务带；“两廊”即遂宁市西部产城走廊、南部产城走廊。</w:t>
      </w:r>
    </w:p>
    <w:p>
      <w:pPr>
        <w:keepNext w:val="0"/>
        <w:keepLines w:val="0"/>
        <w:pageBreakBefore w:val="0"/>
        <w:widowControl w:val="0"/>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仿宋_GB2312" w:cs="Times New Roman"/>
          <w:b w:val="0"/>
          <w:bCs/>
          <w:kern w:val="2"/>
          <w:sz w:val="24"/>
          <w:szCs w:val="24"/>
          <w:lang w:val="en-US" w:eastAsia="zh-CN" w:bidi="ar-SA"/>
        </w:rPr>
      </w:pPr>
      <w:r>
        <w:rPr>
          <w:rFonts w:hint="eastAsia" w:ascii="Times New Roman" w:hAnsi="Times New Roman" w:eastAsia="仿宋_GB2312" w:cs="Times New Roman"/>
          <w:b w:val="0"/>
          <w:bCs/>
          <w:kern w:val="2"/>
          <w:sz w:val="24"/>
          <w:szCs w:val="24"/>
          <w:lang w:val="en-US" w:eastAsia="zh-CN" w:bidi="ar-SA"/>
        </w:rPr>
        <w:t>〔20〕“五位一体”总体布局：即</w:t>
      </w:r>
      <w:r>
        <w:rPr>
          <w:rFonts w:hint="eastAsia" w:ascii="Times New Roman" w:hAnsi="Times New Roman" w:eastAsia="仿宋_GB2312" w:cs="Times New Roman"/>
          <w:b w:val="0"/>
          <w:bCs/>
          <w:kern w:val="2"/>
          <w:sz w:val="24"/>
          <w:szCs w:val="24"/>
          <w:lang w:val="en-US" w:eastAsia="zh-CN" w:bidi="ar-SA"/>
        </w:rPr>
        <w:fldChar w:fldCharType="begin"/>
      </w:r>
      <w:r>
        <w:rPr>
          <w:rFonts w:hint="eastAsia" w:ascii="Times New Roman" w:hAnsi="Times New Roman" w:eastAsia="仿宋_GB2312" w:cs="Times New Roman"/>
          <w:b w:val="0"/>
          <w:bCs/>
          <w:kern w:val="2"/>
          <w:sz w:val="24"/>
          <w:szCs w:val="24"/>
          <w:lang w:val="en-US" w:eastAsia="zh-CN" w:bidi="ar-SA"/>
        </w:rPr>
        <w:instrText xml:space="preserve"> HYPERLINK "https://baike.baidu.com/item/%E7%BB%8F%E6%B5%8E%E5%BB%BA%E8%AE%BE/9258820" \t "/home/user/Documents\\x/_blank" </w:instrText>
      </w:r>
      <w:r>
        <w:rPr>
          <w:rFonts w:hint="eastAsia" w:ascii="Times New Roman" w:hAnsi="Times New Roman" w:eastAsia="仿宋_GB2312" w:cs="Times New Roman"/>
          <w:b w:val="0"/>
          <w:bCs/>
          <w:kern w:val="2"/>
          <w:sz w:val="24"/>
          <w:szCs w:val="24"/>
          <w:lang w:val="en-US" w:eastAsia="zh-CN" w:bidi="ar-SA"/>
        </w:rPr>
        <w:fldChar w:fldCharType="separate"/>
      </w:r>
      <w:r>
        <w:rPr>
          <w:rFonts w:hint="eastAsia" w:ascii="Times New Roman" w:hAnsi="Times New Roman" w:eastAsia="仿宋_GB2312" w:cs="Times New Roman"/>
          <w:b w:val="0"/>
          <w:bCs/>
          <w:kern w:val="2"/>
          <w:sz w:val="24"/>
          <w:szCs w:val="24"/>
          <w:lang w:val="en-US" w:eastAsia="zh-CN" w:bidi="ar-SA"/>
        </w:rPr>
        <w:t>经济建设</w:t>
      </w:r>
      <w:r>
        <w:rPr>
          <w:rFonts w:hint="eastAsia" w:ascii="Times New Roman" w:hAnsi="Times New Roman" w:eastAsia="仿宋_GB2312" w:cs="Times New Roman"/>
          <w:b w:val="0"/>
          <w:bCs/>
          <w:kern w:val="2"/>
          <w:sz w:val="24"/>
          <w:szCs w:val="24"/>
          <w:lang w:val="en-US" w:eastAsia="zh-CN" w:bidi="ar-SA"/>
        </w:rPr>
        <w:fldChar w:fldCharType="end"/>
      </w:r>
      <w:r>
        <w:rPr>
          <w:rFonts w:hint="eastAsia" w:ascii="Times New Roman" w:hAnsi="Times New Roman" w:eastAsia="仿宋_GB2312" w:cs="Times New Roman"/>
          <w:b w:val="0"/>
          <w:bCs/>
          <w:kern w:val="2"/>
          <w:sz w:val="24"/>
          <w:szCs w:val="24"/>
          <w:lang w:val="en-US" w:eastAsia="zh-CN" w:bidi="ar-SA"/>
        </w:rPr>
        <w:t>、</w:t>
      </w:r>
      <w:r>
        <w:rPr>
          <w:rFonts w:hint="eastAsia" w:ascii="Times New Roman" w:hAnsi="Times New Roman" w:eastAsia="仿宋_GB2312" w:cs="Times New Roman"/>
          <w:b w:val="0"/>
          <w:bCs/>
          <w:kern w:val="2"/>
          <w:sz w:val="24"/>
          <w:szCs w:val="24"/>
          <w:lang w:val="en-US" w:eastAsia="zh-CN" w:bidi="ar-SA"/>
        </w:rPr>
        <w:fldChar w:fldCharType="begin"/>
      </w:r>
      <w:r>
        <w:rPr>
          <w:rFonts w:hint="eastAsia" w:ascii="Times New Roman" w:hAnsi="Times New Roman" w:eastAsia="仿宋_GB2312" w:cs="Times New Roman"/>
          <w:b w:val="0"/>
          <w:bCs/>
          <w:kern w:val="2"/>
          <w:sz w:val="24"/>
          <w:szCs w:val="24"/>
          <w:lang w:val="en-US" w:eastAsia="zh-CN" w:bidi="ar-SA"/>
        </w:rPr>
        <w:instrText xml:space="preserve"> HYPERLINK "https://baike.baidu.com/item/%E6%94%BF%E6%B2%BB%E5%BB%BA%E8%AE%BE/10611299" \t "/home/user/Documents\\x/_blank" </w:instrText>
      </w:r>
      <w:r>
        <w:rPr>
          <w:rFonts w:hint="eastAsia" w:ascii="Times New Roman" w:hAnsi="Times New Roman" w:eastAsia="仿宋_GB2312" w:cs="Times New Roman"/>
          <w:b w:val="0"/>
          <w:bCs/>
          <w:kern w:val="2"/>
          <w:sz w:val="24"/>
          <w:szCs w:val="24"/>
          <w:lang w:val="en-US" w:eastAsia="zh-CN" w:bidi="ar-SA"/>
        </w:rPr>
        <w:fldChar w:fldCharType="separate"/>
      </w:r>
      <w:r>
        <w:rPr>
          <w:rFonts w:hint="eastAsia" w:ascii="Times New Roman" w:hAnsi="Times New Roman" w:eastAsia="仿宋_GB2312" w:cs="Times New Roman"/>
          <w:b w:val="0"/>
          <w:bCs/>
          <w:kern w:val="2"/>
          <w:sz w:val="24"/>
          <w:szCs w:val="24"/>
          <w:lang w:val="en-US" w:eastAsia="zh-CN" w:bidi="ar-SA"/>
        </w:rPr>
        <w:t>政治建设</w:t>
      </w:r>
      <w:r>
        <w:rPr>
          <w:rFonts w:hint="eastAsia" w:ascii="Times New Roman" w:hAnsi="Times New Roman" w:eastAsia="仿宋_GB2312" w:cs="Times New Roman"/>
          <w:b w:val="0"/>
          <w:bCs/>
          <w:kern w:val="2"/>
          <w:sz w:val="24"/>
          <w:szCs w:val="24"/>
          <w:lang w:val="en-US" w:eastAsia="zh-CN" w:bidi="ar-SA"/>
        </w:rPr>
        <w:fldChar w:fldCharType="end"/>
      </w:r>
      <w:r>
        <w:rPr>
          <w:rFonts w:hint="eastAsia" w:ascii="Times New Roman" w:hAnsi="Times New Roman" w:eastAsia="仿宋_GB2312" w:cs="Times New Roman"/>
          <w:b w:val="0"/>
          <w:bCs/>
          <w:kern w:val="2"/>
          <w:sz w:val="24"/>
          <w:szCs w:val="24"/>
          <w:lang w:val="en-US" w:eastAsia="zh-CN" w:bidi="ar-SA"/>
        </w:rPr>
        <w:t>、</w:t>
      </w:r>
      <w:r>
        <w:rPr>
          <w:rFonts w:hint="eastAsia" w:ascii="Times New Roman" w:hAnsi="Times New Roman" w:eastAsia="仿宋_GB2312" w:cs="Times New Roman"/>
          <w:b w:val="0"/>
          <w:bCs/>
          <w:kern w:val="2"/>
          <w:sz w:val="24"/>
          <w:szCs w:val="24"/>
          <w:lang w:val="en-US" w:eastAsia="zh-CN" w:bidi="ar-SA"/>
        </w:rPr>
        <w:fldChar w:fldCharType="begin"/>
      </w:r>
      <w:r>
        <w:rPr>
          <w:rFonts w:hint="eastAsia" w:ascii="Times New Roman" w:hAnsi="Times New Roman" w:eastAsia="仿宋_GB2312" w:cs="Times New Roman"/>
          <w:b w:val="0"/>
          <w:bCs/>
          <w:kern w:val="2"/>
          <w:sz w:val="24"/>
          <w:szCs w:val="24"/>
          <w:lang w:val="en-US" w:eastAsia="zh-CN" w:bidi="ar-SA"/>
        </w:rPr>
        <w:instrText xml:space="preserve"> HYPERLINK "https://baike.baidu.com/item/%E6%96%87%E5%8C%96%E5%BB%BA%E8%AE%BE/10705490" \t "/home/user/Documents\\x/_blank" </w:instrText>
      </w:r>
      <w:r>
        <w:rPr>
          <w:rFonts w:hint="eastAsia" w:ascii="Times New Roman" w:hAnsi="Times New Roman" w:eastAsia="仿宋_GB2312" w:cs="Times New Roman"/>
          <w:b w:val="0"/>
          <w:bCs/>
          <w:kern w:val="2"/>
          <w:sz w:val="24"/>
          <w:szCs w:val="24"/>
          <w:lang w:val="en-US" w:eastAsia="zh-CN" w:bidi="ar-SA"/>
        </w:rPr>
        <w:fldChar w:fldCharType="separate"/>
      </w:r>
      <w:r>
        <w:rPr>
          <w:rFonts w:hint="eastAsia" w:ascii="Times New Roman" w:hAnsi="Times New Roman" w:eastAsia="仿宋_GB2312" w:cs="Times New Roman"/>
          <w:b w:val="0"/>
          <w:bCs/>
          <w:kern w:val="2"/>
          <w:sz w:val="24"/>
          <w:szCs w:val="24"/>
          <w:lang w:val="en-US" w:eastAsia="zh-CN" w:bidi="ar-SA"/>
        </w:rPr>
        <w:t>文化建设</w:t>
      </w:r>
      <w:r>
        <w:rPr>
          <w:rFonts w:hint="eastAsia" w:ascii="Times New Roman" w:hAnsi="Times New Roman" w:eastAsia="仿宋_GB2312" w:cs="Times New Roman"/>
          <w:b w:val="0"/>
          <w:bCs/>
          <w:kern w:val="2"/>
          <w:sz w:val="24"/>
          <w:szCs w:val="24"/>
          <w:lang w:val="en-US" w:eastAsia="zh-CN" w:bidi="ar-SA"/>
        </w:rPr>
        <w:fldChar w:fldCharType="end"/>
      </w:r>
      <w:r>
        <w:rPr>
          <w:rFonts w:hint="eastAsia" w:ascii="Times New Roman" w:hAnsi="Times New Roman" w:eastAsia="仿宋_GB2312" w:cs="Times New Roman"/>
          <w:b w:val="0"/>
          <w:bCs/>
          <w:kern w:val="2"/>
          <w:sz w:val="24"/>
          <w:szCs w:val="24"/>
          <w:lang w:val="en-US" w:eastAsia="zh-CN" w:bidi="ar-SA"/>
        </w:rPr>
        <w:t>、</w:t>
      </w:r>
      <w:r>
        <w:rPr>
          <w:rFonts w:hint="eastAsia" w:ascii="Times New Roman" w:hAnsi="Times New Roman" w:eastAsia="仿宋_GB2312" w:cs="Times New Roman"/>
          <w:b w:val="0"/>
          <w:bCs/>
          <w:kern w:val="2"/>
          <w:sz w:val="24"/>
          <w:szCs w:val="24"/>
          <w:lang w:val="en-US" w:eastAsia="zh-CN" w:bidi="ar-SA"/>
        </w:rPr>
        <w:fldChar w:fldCharType="begin"/>
      </w:r>
      <w:r>
        <w:rPr>
          <w:rFonts w:hint="eastAsia" w:ascii="Times New Roman" w:hAnsi="Times New Roman" w:eastAsia="仿宋_GB2312" w:cs="Times New Roman"/>
          <w:b w:val="0"/>
          <w:bCs/>
          <w:kern w:val="2"/>
          <w:sz w:val="24"/>
          <w:szCs w:val="24"/>
          <w:lang w:val="en-US" w:eastAsia="zh-CN" w:bidi="ar-SA"/>
        </w:rPr>
        <w:instrText xml:space="preserve"> HYPERLINK "https://baike.baidu.com/item/%E7%A4%BE%E4%BC%9A%E5%BB%BA%E8%AE%BE/2700759" \t "/home/user/Documents\\x/_blank" </w:instrText>
      </w:r>
      <w:r>
        <w:rPr>
          <w:rFonts w:hint="eastAsia" w:ascii="Times New Roman" w:hAnsi="Times New Roman" w:eastAsia="仿宋_GB2312" w:cs="Times New Roman"/>
          <w:b w:val="0"/>
          <w:bCs/>
          <w:kern w:val="2"/>
          <w:sz w:val="24"/>
          <w:szCs w:val="24"/>
          <w:lang w:val="en-US" w:eastAsia="zh-CN" w:bidi="ar-SA"/>
        </w:rPr>
        <w:fldChar w:fldCharType="separate"/>
      </w:r>
      <w:r>
        <w:rPr>
          <w:rFonts w:hint="eastAsia" w:ascii="Times New Roman" w:hAnsi="Times New Roman" w:eastAsia="仿宋_GB2312" w:cs="Times New Roman"/>
          <w:b w:val="0"/>
          <w:bCs/>
          <w:kern w:val="2"/>
          <w:sz w:val="24"/>
          <w:szCs w:val="24"/>
          <w:lang w:val="en-US" w:eastAsia="zh-CN" w:bidi="ar-SA"/>
        </w:rPr>
        <w:t>社会建设</w:t>
      </w:r>
      <w:r>
        <w:rPr>
          <w:rFonts w:hint="eastAsia" w:ascii="Times New Roman" w:hAnsi="Times New Roman" w:eastAsia="仿宋_GB2312" w:cs="Times New Roman"/>
          <w:b w:val="0"/>
          <w:bCs/>
          <w:kern w:val="2"/>
          <w:sz w:val="24"/>
          <w:szCs w:val="24"/>
          <w:lang w:val="en-US" w:eastAsia="zh-CN" w:bidi="ar-SA"/>
        </w:rPr>
        <w:fldChar w:fldCharType="end"/>
      </w:r>
      <w:r>
        <w:rPr>
          <w:rFonts w:hint="eastAsia" w:ascii="Times New Roman" w:hAnsi="Times New Roman" w:eastAsia="仿宋_GB2312" w:cs="Times New Roman"/>
          <w:b w:val="0"/>
          <w:bCs/>
          <w:kern w:val="2"/>
          <w:sz w:val="24"/>
          <w:szCs w:val="24"/>
          <w:lang w:val="en-US" w:eastAsia="zh-CN" w:bidi="ar-SA"/>
        </w:rPr>
        <w:t>和</w:t>
      </w:r>
      <w:r>
        <w:rPr>
          <w:rFonts w:hint="eastAsia" w:ascii="Times New Roman" w:hAnsi="Times New Roman" w:eastAsia="仿宋_GB2312" w:cs="Times New Roman"/>
          <w:b w:val="0"/>
          <w:bCs/>
          <w:kern w:val="2"/>
          <w:sz w:val="24"/>
          <w:szCs w:val="24"/>
          <w:lang w:val="en-US" w:eastAsia="zh-CN" w:bidi="ar-SA"/>
        </w:rPr>
        <w:fldChar w:fldCharType="begin"/>
      </w:r>
      <w:r>
        <w:rPr>
          <w:rFonts w:hint="eastAsia" w:ascii="Times New Roman" w:hAnsi="Times New Roman" w:eastAsia="仿宋_GB2312" w:cs="Times New Roman"/>
          <w:b w:val="0"/>
          <w:bCs/>
          <w:kern w:val="2"/>
          <w:sz w:val="24"/>
          <w:szCs w:val="24"/>
          <w:lang w:val="en-US" w:eastAsia="zh-CN" w:bidi="ar-SA"/>
        </w:rPr>
        <w:instrText xml:space="preserve"> HYPERLINK "https://baike.baidu.com/item/%E7%94%9F%E6%80%81%E6%96%87%E6%98%8E%E5%BB%BA%E8%AE%BE/7116586" \t "/home/user/Documents\\x/_blank" </w:instrText>
      </w:r>
      <w:r>
        <w:rPr>
          <w:rFonts w:hint="eastAsia" w:ascii="Times New Roman" w:hAnsi="Times New Roman" w:eastAsia="仿宋_GB2312" w:cs="Times New Roman"/>
          <w:b w:val="0"/>
          <w:bCs/>
          <w:kern w:val="2"/>
          <w:sz w:val="24"/>
          <w:szCs w:val="24"/>
          <w:lang w:val="en-US" w:eastAsia="zh-CN" w:bidi="ar-SA"/>
        </w:rPr>
        <w:fldChar w:fldCharType="separate"/>
      </w:r>
      <w:r>
        <w:rPr>
          <w:rFonts w:hint="eastAsia" w:ascii="Times New Roman" w:hAnsi="Times New Roman" w:eastAsia="仿宋_GB2312" w:cs="Times New Roman"/>
          <w:b w:val="0"/>
          <w:bCs/>
          <w:kern w:val="2"/>
          <w:sz w:val="24"/>
          <w:szCs w:val="24"/>
          <w:lang w:val="en-US" w:eastAsia="zh-CN" w:bidi="ar-SA"/>
        </w:rPr>
        <w:t>生态文明建设</w:t>
      </w:r>
      <w:r>
        <w:rPr>
          <w:rFonts w:hint="eastAsia" w:ascii="Times New Roman" w:hAnsi="Times New Roman" w:eastAsia="仿宋_GB2312" w:cs="Times New Roman"/>
          <w:b w:val="0"/>
          <w:bCs/>
          <w:kern w:val="2"/>
          <w:sz w:val="24"/>
          <w:szCs w:val="24"/>
          <w:lang w:val="en-US" w:eastAsia="zh-CN" w:bidi="ar-SA"/>
        </w:rPr>
        <w:fldChar w:fldCharType="end"/>
      </w:r>
      <w:r>
        <w:rPr>
          <w:rFonts w:hint="eastAsia" w:ascii="Times New Roman" w:hAnsi="Times New Roman" w:eastAsia="仿宋_GB2312" w:cs="Times New Roman"/>
          <w:b w:val="0"/>
          <w:bCs/>
          <w:kern w:val="2"/>
          <w:sz w:val="24"/>
          <w:szCs w:val="24"/>
          <w:lang w:val="en-US" w:eastAsia="zh-CN" w:bidi="ar-SA"/>
        </w:rPr>
        <w:t>五位一体，全面推进。</w:t>
      </w:r>
    </w:p>
    <w:p>
      <w:pPr>
        <w:widowControl w:val="0"/>
        <w:spacing w:line="440" w:lineRule="exact"/>
        <w:ind w:firstLine="480" w:firstLineChars="200"/>
        <w:rPr>
          <w:rFonts w:hint="eastAsia" w:ascii="Times New Roman" w:hAnsi="Times New Roman" w:eastAsia="仿宋_GB2312" w:cs="Times New Roman"/>
          <w:bCs/>
          <w:sz w:val="24"/>
          <w:szCs w:val="24"/>
        </w:rPr>
      </w:pPr>
      <w:r>
        <w:rPr>
          <w:rFonts w:hint="eastAsia" w:ascii="Times New Roman" w:hAnsi="Times New Roman" w:eastAsia="仿宋_GB2312" w:cs="Times New Roman"/>
          <w:b w:val="0"/>
          <w:bCs/>
          <w:kern w:val="2"/>
          <w:sz w:val="24"/>
          <w:szCs w:val="24"/>
          <w:lang w:val="en-US" w:eastAsia="zh-CN" w:bidi="ar-SA"/>
        </w:rPr>
        <w:t>〔21〕“四个全面”战略布局：即“全面建设社会主义现代化国家、全面深化改革、全面依法治国、全面从严治党”，是党中央治国理政的总方略。</w:t>
      </w:r>
    </w:p>
    <w:p>
      <w:pPr>
        <w:widowControl w:val="0"/>
        <w:spacing w:line="440" w:lineRule="exact"/>
        <w:ind w:firstLine="480" w:firstLineChars="200"/>
        <w:rPr>
          <w:rFonts w:hint="eastAsia" w:ascii="Times New Roman" w:hAnsi="Times New Roman" w:eastAsia="仿宋_GB2312" w:cs="Times New Roman"/>
          <w:bCs/>
          <w:sz w:val="24"/>
          <w:szCs w:val="24"/>
        </w:rPr>
      </w:pPr>
      <w:r>
        <w:rPr>
          <w:rFonts w:hint="eastAsia" w:ascii="Times New Roman" w:hAnsi="Times New Roman" w:eastAsia="仿宋_GB2312" w:cs="Times New Roman"/>
          <w:b w:val="0"/>
          <w:bCs/>
          <w:kern w:val="2"/>
          <w:sz w:val="24"/>
          <w:szCs w:val="24"/>
          <w:lang w:val="en-US" w:eastAsia="zh-CN" w:bidi="ar-SA"/>
        </w:rPr>
        <w:t>〔22〕“五个领跑、两个提升”：即地区生产总值、地方一般公共预算收入、规上工业增加值、全社会固定资产投资、社会消费品零售总额五项指标增速持续领跑全市，经济总量和综合竞争力全面提升。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仿宋_GB2312" w:cs="Times New Roman"/>
          <w:b w:val="0"/>
          <w:bCs/>
          <w:kern w:val="2"/>
          <w:sz w:val="24"/>
          <w:szCs w:val="24"/>
          <w:lang w:val="en-US" w:eastAsia="zh-CN" w:bidi="ar-SA"/>
        </w:rPr>
      </w:pPr>
      <w:r>
        <w:rPr>
          <w:rFonts w:hint="eastAsia" w:ascii="Times New Roman" w:hAnsi="Times New Roman" w:eastAsia="仿宋_GB2312" w:cs="Times New Roman"/>
          <w:b w:val="0"/>
          <w:bCs/>
          <w:kern w:val="2"/>
          <w:sz w:val="24"/>
          <w:szCs w:val="24"/>
          <w:lang w:val="en-US" w:eastAsia="zh-CN" w:bidi="ar-SA"/>
        </w:rPr>
        <w:t>〔23〕“一个千亿园区、三个百亿产业”：即园区总产值达到千亿，锂电及新材料、汽车与装备制造、天然气清洁能源产业产值分别达到百亿。</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4</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幸福美好生活十大工程：即安居经开区生活配套工程、滨江南北路改造工程、</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rPr>
        <w:t>线城区段改造工程、城市公共停车场建设工程、琼江河堤景观改造工程、老旧小区改造工程、旧城</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城中村</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改造工程、城市公共充电桩建设工程、农贸市场建设工程、</w:t>
      </w:r>
      <w:r>
        <w:rPr>
          <w:rFonts w:ascii="Times New Roman" w:hAnsi="Times New Roman" w:eastAsia="仿宋_GB2312" w:cs="Times New Roman"/>
          <w:bCs/>
          <w:sz w:val="24"/>
          <w:szCs w:val="24"/>
        </w:rPr>
        <w:t>5G</w:t>
      </w:r>
      <w:r>
        <w:rPr>
          <w:rFonts w:hint="eastAsia" w:ascii="Times New Roman" w:hAnsi="Times New Roman" w:eastAsia="仿宋_GB2312" w:cs="Times New Roman"/>
          <w:bCs/>
          <w:sz w:val="24"/>
          <w:szCs w:val="24"/>
        </w:rPr>
        <w:t>基站建设工程。</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5</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一城一港两站三机场：即遂宁城区、涪江老池港、遂宁高铁站、安岳高铁站、壁山机场、简阳机场、遂宁安居机场。</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6</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“一环八射”交通大动脉：“一环”即城市规划区道路环线，即玉机路、遂安快捷通道和</w:t>
      </w:r>
      <w:r>
        <w:rPr>
          <w:rFonts w:ascii="Times New Roman" w:hAnsi="Times New Roman" w:eastAsia="仿宋_GB2312" w:cs="Times New Roman"/>
          <w:bCs/>
          <w:sz w:val="24"/>
          <w:szCs w:val="24"/>
        </w:rPr>
        <w:t>G247</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S209</w:t>
      </w:r>
      <w:r>
        <w:rPr>
          <w:rFonts w:hint="eastAsia" w:ascii="Times New Roman" w:hAnsi="Times New Roman" w:eastAsia="仿宋_GB2312" w:cs="Times New Roman"/>
          <w:bCs/>
          <w:sz w:val="24"/>
          <w:szCs w:val="24"/>
        </w:rPr>
        <w:t>城区段；“八射”即遂安快捷通道、安居至潼南经济干线</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S209</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、安居至安岳快捷通道</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G247</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、安居至乐至经济干线</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、安居至大英经济干线</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S209</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、安居至物流港经济干线</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G318</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、空港大道、安居至老池港公路。</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7</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七横十二纵”农村骨干路网：“七横”即西眉至东区干线、安居至潼南花岩公路、遂乐路、船山至分水公路、莲花湖至星花湖公路、磨溪至双江枢纽公路、磨溪气田东西区干线公路；“十二纵”即常理至金元公路、西眉</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姚市公路、东禅至莲花湖景区公路、分水至步云公路、乐至石佛至步云公路、白马至常理公路、石洞至大英金元公路、常理</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西眉农环线安居段、安居至姚市公路、分水至莲花公路、白马至卓筒井公路、船山金桥</w:t>
      </w:r>
      <w:r>
        <w:rPr>
          <w:rFonts w:ascii="Times New Roman" w:hAnsi="Times New Roman" w:eastAsia="仿宋_GB2312" w:cs="Times New Roman"/>
          <w:bCs/>
          <w:sz w:val="24"/>
          <w:szCs w:val="24"/>
        </w:rPr>
        <w:t>-</w:t>
      </w:r>
      <w:r>
        <w:rPr>
          <w:rFonts w:hint="eastAsia" w:ascii="Times New Roman" w:hAnsi="Times New Roman" w:eastAsia="仿宋_GB2312" w:cs="Times New Roman"/>
          <w:bCs/>
          <w:sz w:val="24"/>
          <w:szCs w:val="24"/>
        </w:rPr>
        <w:t>安岳人和镇公路。</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8</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两带一街多点：“两带”即滨江路夜间经济带、七彩明珠乡村旅游带，“一街”即“安居时光里”文旅商业街，“多点”即拦江、西眉、三家等特色小镇夜晚经济示范点。</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2</w:t>
      </w:r>
      <w:r>
        <w:rPr>
          <w:rFonts w:hint="eastAsia" w:ascii="Times New Roman" w:hAnsi="Times New Roman" w:eastAsia="仿宋_GB2312" w:cs="Times New Roman"/>
          <w:bCs/>
          <w:sz w:val="24"/>
          <w:szCs w:val="24"/>
          <w:lang w:val="en-US" w:eastAsia="zh-CN"/>
        </w:rPr>
        <w:t>9</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一带一廊一县：“一带”即成渝现代高效特色带；“一廊”即琼江乡村振兴走廊；“一县”即四川省实施乡村振兴战略先进县。</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lang w:val="en-US" w:eastAsia="zh-CN"/>
        </w:rPr>
        <w:t>30</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1+5+16+N</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江，琼江；“</w:t>
      </w: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rPr>
        <w:t>湖，禅月湖、莲花湖、新生湖、三仙湖、凤凰湖；“</w:t>
      </w:r>
      <w:r>
        <w:rPr>
          <w:rFonts w:ascii="Times New Roman" w:hAnsi="Times New Roman" w:eastAsia="仿宋_GB2312" w:cs="Times New Roman"/>
          <w:bCs/>
          <w:sz w:val="24"/>
          <w:szCs w:val="24"/>
        </w:rPr>
        <w:t>16</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16</w:t>
      </w:r>
      <w:r>
        <w:rPr>
          <w:rFonts w:hint="eastAsia" w:ascii="Times New Roman" w:hAnsi="Times New Roman" w:eastAsia="仿宋_GB2312" w:cs="Times New Roman"/>
          <w:bCs/>
          <w:sz w:val="24"/>
          <w:szCs w:val="24"/>
        </w:rPr>
        <w:t>个镇</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街道</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w:t>
      </w:r>
      <w:r>
        <w:rPr>
          <w:rFonts w:ascii="Times New Roman" w:hAnsi="Times New Roman" w:eastAsia="仿宋_GB2312" w:cs="Times New Roman"/>
          <w:bCs/>
          <w:sz w:val="24"/>
          <w:szCs w:val="24"/>
        </w:rPr>
        <w:t>N</w:t>
      </w:r>
      <w:r>
        <w:rPr>
          <w:rFonts w:hint="eastAsia" w:ascii="Times New Roman" w:hAnsi="Times New Roman" w:eastAsia="仿宋_GB2312" w:cs="Times New Roman"/>
          <w:bCs/>
          <w:sz w:val="24"/>
          <w:szCs w:val="24"/>
        </w:rPr>
        <w:t>”即</w:t>
      </w:r>
      <w:r>
        <w:rPr>
          <w:rFonts w:ascii="Times New Roman" w:hAnsi="Times New Roman" w:eastAsia="仿宋_GB2312" w:cs="Times New Roman"/>
          <w:bCs/>
          <w:sz w:val="24"/>
          <w:szCs w:val="24"/>
        </w:rPr>
        <w:t>N</w:t>
      </w:r>
      <w:r>
        <w:rPr>
          <w:rFonts w:hint="eastAsia" w:ascii="Times New Roman" w:hAnsi="Times New Roman" w:eastAsia="仿宋_GB2312" w:cs="Times New Roman"/>
          <w:bCs/>
          <w:sz w:val="24"/>
          <w:szCs w:val="24"/>
        </w:rPr>
        <w:t>个重点村。</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lang w:val="en-US" w:eastAsia="zh-CN"/>
        </w:rPr>
        <w:t>31</w:t>
      </w: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廊</w:t>
      </w:r>
      <w:r>
        <w:rPr>
          <w:rFonts w:ascii="Times New Roman" w:hAnsi="Times New Roman" w:eastAsia="仿宋_GB2312" w:cs="Times New Roman"/>
          <w:bCs/>
          <w:sz w:val="24"/>
          <w:szCs w:val="24"/>
        </w:rPr>
        <w:t>6</w:t>
      </w:r>
      <w:r>
        <w:rPr>
          <w:rFonts w:hint="eastAsia" w:ascii="Times New Roman" w:hAnsi="Times New Roman" w:eastAsia="仿宋_GB2312" w:cs="Times New Roman"/>
          <w:bCs/>
          <w:sz w:val="24"/>
          <w:szCs w:val="24"/>
        </w:rPr>
        <w:t>镇</w:t>
      </w:r>
      <w:r>
        <w:rPr>
          <w:rFonts w:ascii="Times New Roman" w:hAnsi="Times New Roman" w:eastAsia="仿宋_GB2312" w:cs="Times New Roman"/>
          <w:bCs/>
          <w:sz w:val="24"/>
          <w:szCs w:val="24"/>
        </w:rPr>
        <w:t>20</w:t>
      </w:r>
      <w:r>
        <w:rPr>
          <w:rFonts w:hint="eastAsia" w:ascii="Times New Roman" w:hAnsi="Times New Roman" w:eastAsia="仿宋_GB2312" w:cs="Times New Roman"/>
          <w:bCs/>
          <w:sz w:val="24"/>
          <w:szCs w:val="24"/>
        </w:rPr>
        <w:t>村：“</w:t>
      </w:r>
      <w:r>
        <w:rPr>
          <w:rFonts w:ascii="Times New Roman" w:hAnsi="Times New Roman" w:eastAsia="仿宋_GB2312" w:cs="Times New Roman"/>
          <w:bCs/>
          <w:sz w:val="24"/>
          <w:szCs w:val="24"/>
        </w:rPr>
        <w:t>1</w:t>
      </w:r>
      <w:r>
        <w:rPr>
          <w:rFonts w:hint="eastAsia" w:ascii="Times New Roman" w:hAnsi="Times New Roman" w:eastAsia="仿宋_GB2312" w:cs="Times New Roman"/>
          <w:bCs/>
          <w:sz w:val="24"/>
          <w:szCs w:val="24"/>
        </w:rPr>
        <w:t>廊”即琼江乡村振兴走廊；“</w:t>
      </w:r>
      <w:r>
        <w:rPr>
          <w:rFonts w:ascii="Times New Roman" w:hAnsi="Times New Roman" w:eastAsia="仿宋_GB2312" w:cs="Times New Roman"/>
          <w:bCs/>
          <w:sz w:val="24"/>
          <w:szCs w:val="24"/>
        </w:rPr>
        <w:t>6</w:t>
      </w:r>
      <w:r>
        <w:rPr>
          <w:rFonts w:hint="eastAsia" w:ascii="Times New Roman" w:hAnsi="Times New Roman" w:eastAsia="仿宋_GB2312" w:cs="Times New Roman"/>
          <w:bCs/>
          <w:sz w:val="24"/>
          <w:szCs w:val="24"/>
        </w:rPr>
        <w:t>镇”即拦江、中兴、白马、石洞、安居、三家；“</w:t>
      </w:r>
      <w:r>
        <w:rPr>
          <w:rFonts w:ascii="Times New Roman" w:hAnsi="Times New Roman" w:eastAsia="仿宋_GB2312" w:cs="Times New Roman"/>
          <w:bCs/>
          <w:sz w:val="24"/>
          <w:szCs w:val="24"/>
        </w:rPr>
        <w:t>20</w:t>
      </w:r>
      <w:r>
        <w:rPr>
          <w:rFonts w:hint="eastAsia" w:ascii="Times New Roman" w:hAnsi="Times New Roman" w:eastAsia="仿宋_GB2312" w:cs="Times New Roman"/>
          <w:bCs/>
          <w:sz w:val="24"/>
          <w:szCs w:val="24"/>
        </w:rPr>
        <w:t>村”即三家镇明星、河嘴、龙垭、芦城、春木、莲花、场口、三元、高石，安居镇高滩坝、护村，石洞镇明觉寺、谭家坝、双祠堂，白马镇清凉寺、白果树、花天坝、毗卢寺，中兴镇响滩子，拦江镇五郎坝、转龙桥、广福村。</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val="en-US" w:eastAsia="zh-CN"/>
        </w:rPr>
        <w:t>2</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人居环境整治“五大行动”：即农村生活垃圾治理、生活污水治理、“厕所革命”、村庄清洁行动和畜禽粪污资源化利用。</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val="en-US" w:eastAsia="zh-CN"/>
        </w:rPr>
        <w:t>3</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四个不摘：即摘帽不摘责任、摘帽不摘政策、摘帽不摘帮扶、摘帽不摘监管</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val="en-US" w:eastAsia="zh-CN"/>
        </w:rPr>
        <w:t>4</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四名一好：即名教师、名班主任、名校长、名工作室、好学校。</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val="en-US" w:eastAsia="zh-CN"/>
        </w:rPr>
        <w:t>5</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一心两翼四片区：即以区级医疗机构为中心，西眉镇、拦江镇中心卫生院和横山镇、白马镇、三家镇、东禅镇片区。</w:t>
      </w:r>
    </w:p>
    <w:p>
      <w:pPr>
        <w:widowControl w:val="0"/>
        <w:spacing w:line="44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lang w:eastAsia="zh-CN"/>
        </w:rPr>
        <w:t>〔</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lang w:val="en-US" w:eastAsia="zh-CN"/>
        </w:rPr>
        <w:t>6</w:t>
      </w:r>
      <w:r>
        <w:rPr>
          <w:rFonts w:hint="eastAsia" w:ascii="Times New Roman" w:hAnsi="Times New Roman" w:eastAsia="仿宋_GB2312" w:cs="Times New Roman"/>
          <w:bCs/>
          <w:sz w:val="24"/>
          <w:szCs w:val="24"/>
          <w:lang w:eastAsia="zh-CN"/>
        </w:rPr>
        <w:t>〕</w:t>
      </w:r>
      <w:r>
        <w:rPr>
          <w:rFonts w:hint="eastAsia" w:ascii="Times New Roman" w:hAnsi="Times New Roman" w:eastAsia="仿宋_GB2312" w:cs="Times New Roman"/>
          <w:bCs/>
          <w:sz w:val="24"/>
          <w:szCs w:val="24"/>
        </w:rPr>
        <w:t>社会治理“</w:t>
      </w:r>
      <w:r>
        <w:rPr>
          <w:rFonts w:ascii="Times New Roman" w:hAnsi="Times New Roman" w:eastAsia="仿宋_GB2312" w:cs="Times New Roman"/>
          <w:bCs/>
          <w:sz w:val="24"/>
          <w:szCs w:val="24"/>
        </w:rPr>
        <w:t>345</w:t>
      </w:r>
      <w:r>
        <w:rPr>
          <w:rFonts w:hint="eastAsia" w:ascii="Times New Roman" w:hAnsi="Times New Roman" w:eastAsia="仿宋_GB2312" w:cs="Times New Roman"/>
          <w:bCs/>
          <w:sz w:val="24"/>
          <w:szCs w:val="24"/>
        </w:rPr>
        <w:t>”发展战略：“</w:t>
      </w:r>
      <w:r>
        <w:rPr>
          <w:rFonts w:ascii="Times New Roman" w:hAnsi="Times New Roman" w:eastAsia="仿宋_GB2312" w:cs="Times New Roman"/>
          <w:bCs/>
          <w:sz w:val="24"/>
          <w:szCs w:val="24"/>
        </w:rPr>
        <w:t>3</w:t>
      </w:r>
      <w:r>
        <w:rPr>
          <w:rFonts w:hint="eastAsia" w:ascii="Times New Roman" w:hAnsi="Times New Roman" w:eastAsia="仿宋_GB2312" w:cs="Times New Roman"/>
          <w:bCs/>
          <w:sz w:val="24"/>
          <w:szCs w:val="24"/>
        </w:rPr>
        <w:t>”即三大中心，纠纷多元化解中心、综治中心、心理服务中心；“</w:t>
      </w:r>
      <w:r>
        <w:rPr>
          <w:rFonts w:ascii="Times New Roman" w:hAnsi="Times New Roman" w:eastAsia="仿宋_GB2312" w:cs="Times New Roman"/>
          <w:bCs/>
          <w:sz w:val="24"/>
          <w:szCs w:val="24"/>
        </w:rPr>
        <w:t>4</w:t>
      </w:r>
      <w:r>
        <w:rPr>
          <w:rFonts w:hint="eastAsia" w:ascii="Times New Roman" w:hAnsi="Times New Roman" w:eastAsia="仿宋_GB2312" w:cs="Times New Roman"/>
          <w:bCs/>
          <w:sz w:val="24"/>
          <w:szCs w:val="24"/>
        </w:rPr>
        <w:t>”即四大体系，纠纷多元化解体系、社会治安防控体系、公共法律服务体系、心理健康服务体系；“</w:t>
      </w:r>
      <w:r>
        <w:rPr>
          <w:rFonts w:ascii="Times New Roman" w:hAnsi="Times New Roman" w:eastAsia="仿宋_GB2312" w:cs="Times New Roman"/>
          <w:bCs/>
          <w:sz w:val="24"/>
          <w:szCs w:val="24"/>
        </w:rPr>
        <w:t>5</w:t>
      </w:r>
      <w:r>
        <w:rPr>
          <w:rFonts w:hint="eastAsia" w:ascii="Times New Roman" w:hAnsi="Times New Roman" w:eastAsia="仿宋_GB2312" w:cs="Times New Roman"/>
          <w:bCs/>
          <w:sz w:val="24"/>
          <w:szCs w:val="24"/>
        </w:rPr>
        <w:t>”即五支队伍，政法专职队伍、网格员专职队伍、基层治保队伍、群防群治队伍、基层调解队伍。</w:t>
      </w:r>
    </w:p>
    <w:p>
      <w:pPr>
        <w:widowControl/>
        <w:spacing w:line="360" w:lineRule="auto"/>
        <w:ind w:firstLine="480" w:firstLineChars="200"/>
        <w:rPr>
          <w:rFonts w:ascii="Times New Roman" w:hAnsi="Times New Roman" w:eastAsia="仿宋_GB2312" w:cs="Times New Roman"/>
          <w:bCs/>
          <w:sz w:val="24"/>
          <w:szCs w:val="28"/>
        </w:rPr>
      </w:pPr>
    </w:p>
    <w:sectPr>
      <w:pgSz w:w="11906" w:h="16838"/>
      <w:pgMar w:top="2098" w:right="1474" w:bottom="1984" w:left="1587" w:header="851" w:footer="1247" w:gutter="0"/>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CDECC6-A6DB-44F2-88E6-8C47F6CCCA9A}"/>
  </w:font>
  <w:font w:name="Arial">
    <w:panose1 w:val="020B0604020202020204"/>
    <w:charset w:val="01"/>
    <w:family w:val="swiss"/>
    <w:pitch w:val="default"/>
    <w:sig w:usb0="E0002EFF" w:usb1="C000785B" w:usb2="00000009" w:usb3="00000000" w:csb0="400001FF" w:csb1="FFFF0000"/>
    <w:embedRegular r:id="rId2" w:fontKey="{A778C4A0-930B-4855-A81E-8C2418B2CEA5}"/>
  </w:font>
  <w:font w:name="黑体">
    <w:panose1 w:val="02010609060101010101"/>
    <w:charset w:val="86"/>
    <w:family w:val="auto"/>
    <w:pitch w:val="default"/>
    <w:sig w:usb0="800002BF" w:usb1="38CF7CFA" w:usb2="00000016" w:usb3="00000000" w:csb0="00040001" w:csb1="00000000"/>
    <w:embedRegular r:id="rId3" w:fontKey="{95B8CC71-AF8D-41D8-8B0B-700EA7AAB874}"/>
  </w:font>
  <w:font w:name="Courier New">
    <w:panose1 w:val="02070309020205020404"/>
    <w:charset w:val="01"/>
    <w:family w:val="modern"/>
    <w:pitch w:val="default"/>
    <w:sig w:usb0="E0002EFF" w:usb1="C0007843" w:usb2="00000009" w:usb3="00000000" w:csb0="400001FF" w:csb1="FFFF0000"/>
    <w:embedRegular r:id="rId4" w:fontKey="{B510656E-8ABD-4B62-8ACD-303270EC198F}"/>
  </w:font>
  <w:font w:name="Symbol">
    <w:panose1 w:val="05050102010706020507"/>
    <w:charset w:val="02"/>
    <w:family w:val="roman"/>
    <w:pitch w:val="default"/>
    <w:sig w:usb0="00000000" w:usb1="00000000" w:usb2="00000000" w:usb3="00000000" w:csb0="80000000" w:csb1="00000000"/>
    <w:embedRegular r:id="rId5" w:fontKey="{2DFC36CD-F7AB-40C5-B814-DAAB1ACF37DD}"/>
  </w:font>
  <w:font w:name="Calibri">
    <w:panose1 w:val="020F0502020204030204"/>
    <w:charset w:val="00"/>
    <w:family w:val="swiss"/>
    <w:pitch w:val="default"/>
    <w:sig w:usb0="E4002EFF" w:usb1="C000247B" w:usb2="00000009" w:usb3="00000000" w:csb0="200001FF" w:csb1="00000000"/>
    <w:embedRegular r:id="rId6" w:fontKey="{E347B646-5CE6-456E-8E2E-AE4BBF083778}"/>
  </w:font>
  <w:font w:name="方正小标宋简体">
    <w:panose1 w:val="03000509000000000000"/>
    <w:charset w:val="86"/>
    <w:family w:val="auto"/>
    <w:pitch w:val="default"/>
    <w:sig w:usb0="00000001" w:usb1="080E0000" w:usb2="00000000" w:usb3="00000000" w:csb0="00040000" w:csb1="00000000"/>
    <w:embedRegular r:id="rId7" w:fontKey="{2EB54D55-4678-42D0-8F84-F8F8996DF447}"/>
  </w:font>
  <w:font w:name="Cambria">
    <w:panose1 w:val="02040503050406030204"/>
    <w:charset w:val="00"/>
    <w:family w:val="roman"/>
    <w:pitch w:val="default"/>
    <w:sig w:usb0="E00006FF" w:usb1="420024FF" w:usb2="02000000" w:usb3="00000000" w:csb0="2000019F" w:csb1="00000000"/>
    <w:embedRegular r:id="rId8" w:fontKey="{8FF44AD0-7BF6-4DCF-9EA6-D0EC20CA71D5}"/>
  </w:font>
  <w:font w:name="方正黑体简体">
    <w:panose1 w:val="02010601030101010101"/>
    <w:charset w:val="86"/>
    <w:family w:val="auto"/>
    <w:pitch w:val="default"/>
    <w:sig w:usb0="00000000" w:usb1="00000000" w:usb2="00000000" w:usb3="00000000" w:csb0="00000000" w:csb1="00000000"/>
    <w:embedRegular r:id="rId9" w:fontKey="{B109289D-81D4-4C62-A296-DF89121B3DB8}"/>
  </w:font>
  <w:font w:name="方正仿宋简体">
    <w:panose1 w:val="02010601030101010101"/>
    <w:charset w:val="86"/>
    <w:family w:val="auto"/>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embedRegular r:id="rId10" w:fontKey="{291FFA2A-D0EB-46F5-8E9B-99DDC26FAA3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0" w:usb1="00000000" w:usb2="00000000" w:usb3="00000000" w:csb0="00000000" w:csb1="00000000"/>
    <w:embedRegular r:id="rId11" w:fontKey="{66358F5E-0E21-4543-AE32-D8918EF248C4}"/>
  </w:font>
  <w:font w:name="仿宋">
    <w:panose1 w:val="02010609060101010101"/>
    <w:charset w:val="86"/>
    <w:family w:val="modern"/>
    <w:pitch w:val="default"/>
    <w:sig w:usb0="800002BF" w:usb1="38CF7CFA" w:usb2="00000016" w:usb3="00000000" w:csb0="00040001" w:csb1="00000000"/>
    <w:embedRegular r:id="rId12" w:fontKey="{4C53722F-850D-4919-AC1E-17E6C26DC407}"/>
  </w:font>
  <w:font w:name="仿宋_GB2312">
    <w:panose1 w:val="02010609030101010101"/>
    <w:charset w:val="86"/>
    <w:family w:val="modern"/>
    <w:pitch w:val="default"/>
    <w:sig w:usb0="00000001" w:usb1="080E0000" w:usb2="00000000" w:usb3="00000000" w:csb0="00040000" w:csb1="00000000"/>
    <w:embedRegular r:id="rId13" w:fontKey="{E57FC72E-5A80-4956-BF68-8E71CE24FD12}"/>
  </w:font>
  <w:font w:name="华文中宋">
    <w:panose1 w:val="02010600040101010101"/>
    <w:charset w:val="86"/>
    <w:family w:val="auto"/>
    <w:pitch w:val="default"/>
    <w:sig w:usb0="00000000" w:usb1="00000000" w:usb2="00000000" w:usb3="00000000" w:csb0="00000000" w:csb1="00000000"/>
    <w:embedRegular r:id="rId14" w:fontKey="{4786E2F2-F34C-4CFD-8F83-7EA732121EDE}"/>
  </w:font>
  <w:font w:name="楷体">
    <w:panose1 w:val="02010609060101010101"/>
    <w:charset w:val="86"/>
    <w:family w:val="modern"/>
    <w:pitch w:val="default"/>
    <w:sig w:usb0="800002BF" w:usb1="38CF7CFA" w:usb2="00000016" w:usb3="00000000" w:csb0="00040001" w:csb1="00000000"/>
    <w:embedRegular r:id="rId15" w:fontKey="{E7BF0148-4991-4D0E-909B-6F7949A13A39}"/>
  </w:font>
  <w:font w:name="楷体_GB2312">
    <w:panose1 w:val="02010609030101010101"/>
    <w:charset w:val="86"/>
    <w:family w:val="auto"/>
    <w:pitch w:val="default"/>
    <w:sig w:usb0="00000001" w:usb1="080E0000" w:usb2="00000000" w:usb3="00000000" w:csb0="00040000" w:csb1="00000000"/>
    <w:embedRegular r:id="rId16" w:fontKey="{75C01AAB-CD05-48A4-851A-77158149B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cs="Times New Roman"/>
      </w:rPr>
    </w:pPr>
    <w:r>
      <w:rPr>
        <w:sz w:val="18"/>
      </w:rPr>
      <w:pict>
        <v:shape id="_x0000_s2050" o:spid="_x0000_s2050"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5"/>
                  <w:adjustRightInd w:val="0"/>
                  <w:ind w:left="420" w:leftChars="200" w:right="420" w:rightChars="200"/>
                  <w:rPr>
                    <w:rFonts w:hint="default"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fldChar w:fldCharType="begin"/>
                </w:r>
                <w:r>
                  <w:rPr>
                    <w:rFonts w:hint="eastAsia" w:asciiTheme="minorEastAsia" w:hAnsiTheme="minorEastAsia" w:cstheme="minorEastAsia"/>
                    <w:sz w:val="28"/>
                    <w:szCs w:val="28"/>
                    <w:lang w:eastAsia="zh-CN"/>
                  </w:rPr>
                  <w:instrText xml:space="preserve"> PAGE  \* MERGEFORMAT </w:instrText>
                </w:r>
                <w:r>
                  <w:rPr>
                    <w:rFonts w:hint="eastAsia" w:asciiTheme="minorEastAsia" w:hAnsiTheme="minorEastAsia" w:cstheme="minorEastAsia"/>
                    <w:sz w:val="28"/>
                    <w:szCs w:val="28"/>
                    <w:lang w:eastAsia="zh-CN"/>
                  </w:rPr>
                  <w:fldChar w:fldCharType="separate"/>
                </w:r>
                <w:r>
                  <w:rPr>
                    <w:rFonts w:hint="eastAsia" w:asciiTheme="minorEastAsia" w:hAnsiTheme="minorEastAsia" w:cstheme="minorEastAsia"/>
                    <w:sz w:val="28"/>
                    <w:szCs w:val="28"/>
                    <w:lang w:eastAsia="zh-CN"/>
                  </w:rPr>
                  <w:t>I</w:t>
                </w:r>
                <w:r>
                  <w:rPr>
                    <w:rFonts w:hint="eastAsia" w:asciiTheme="minorEastAsia" w:hAnsiTheme="minorEastAsia" w:cstheme="minorEastAsia"/>
                    <w:sz w:val="28"/>
                    <w:szCs w:val="28"/>
                    <w:lang w:eastAsia="zh-CN"/>
                  </w:rPr>
                  <w:fldChar w:fldCharType="end"/>
                </w:r>
                <w:r>
                  <w:rPr>
                    <w:rFonts w:hint="eastAsia" w:asciiTheme="minorEastAsia" w:hAnsiTheme="minorEastAsia" w:cstheme="minorEastAsia"/>
                    <w:sz w:val="28"/>
                    <w:szCs w:val="28"/>
                    <w:lang w:val="en-US" w:eastAsia="zh-CN"/>
                  </w:rPr>
                  <w:t xml:space="preserve"> </w:t>
                </w:r>
                <w:r>
                  <w:rPr>
                    <w:rFonts w:hint="eastAsia" w:asciiTheme="minorEastAsia" w:hAnsiTheme="minorEastAsia" w:cstheme="minorEastAsia"/>
                    <w:sz w:val="28"/>
                    <w:szCs w:val="28"/>
                    <w:lang w:eastAsia="zh-CN"/>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1E465"/>
    <w:multiLevelType w:val="singleLevel"/>
    <w:tmpl w:val="B071E465"/>
    <w:lvl w:ilvl="0" w:tentative="0">
      <w:start w:val="1"/>
      <w:numFmt w:val="decimal"/>
      <w:pStyle w:val="7"/>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mirrorMargins w:val="1"/>
  <w:bordersDoNotSurroundHeader w:val="1"/>
  <w:bordersDoNotSurroundFooter w:val="1"/>
  <w:documentProtection w:enforcement="0"/>
  <w:defaultTabStop w:val="420"/>
  <w:drawingGridHorizontalSpacing w:val="105"/>
  <w:drawingGridVerticalSpacing w:val="159"/>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E1550"/>
    <w:rsid w:val="00006E7F"/>
    <w:rsid w:val="00006FA8"/>
    <w:rsid w:val="00007A1F"/>
    <w:rsid w:val="00010B9E"/>
    <w:rsid w:val="000150CC"/>
    <w:rsid w:val="0002106D"/>
    <w:rsid w:val="000210A1"/>
    <w:rsid w:val="000210E7"/>
    <w:rsid w:val="00023565"/>
    <w:rsid w:val="00023905"/>
    <w:rsid w:val="00024B1A"/>
    <w:rsid w:val="00024D19"/>
    <w:rsid w:val="00026A4D"/>
    <w:rsid w:val="00031650"/>
    <w:rsid w:val="00031694"/>
    <w:rsid w:val="000324B2"/>
    <w:rsid w:val="00036B7F"/>
    <w:rsid w:val="00037778"/>
    <w:rsid w:val="00040572"/>
    <w:rsid w:val="000429AF"/>
    <w:rsid w:val="00042AC2"/>
    <w:rsid w:val="00043178"/>
    <w:rsid w:val="000524F3"/>
    <w:rsid w:val="00053BC9"/>
    <w:rsid w:val="00053FA6"/>
    <w:rsid w:val="000545C6"/>
    <w:rsid w:val="0005610A"/>
    <w:rsid w:val="00060380"/>
    <w:rsid w:val="00067899"/>
    <w:rsid w:val="000722B1"/>
    <w:rsid w:val="000854FB"/>
    <w:rsid w:val="000871C4"/>
    <w:rsid w:val="0008757D"/>
    <w:rsid w:val="00094105"/>
    <w:rsid w:val="000A05D8"/>
    <w:rsid w:val="000A0808"/>
    <w:rsid w:val="000A10C7"/>
    <w:rsid w:val="000A14D1"/>
    <w:rsid w:val="000A57AB"/>
    <w:rsid w:val="000B0B0C"/>
    <w:rsid w:val="000B3069"/>
    <w:rsid w:val="000B3822"/>
    <w:rsid w:val="000B3CA8"/>
    <w:rsid w:val="000C1190"/>
    <w:rsid w:val="000C1454"/>
    <w:rsid w:val="000C1555"/>
    <w:rsid w:val="000C506D"/>
    <w:rsid w:val="000D0641"/>
    <w:rsid w:val="000D08D8"/>
    <w:rsid w:val="000D2E87"/>
    <w:rsid w:val="000D4915"/>
    <w:rsid w:val="000D4A66"/>
    <w:rsid w:val="000D5BA3"/>
    <w:rsid w:val="000D761B"/>
    <w:rsid w:val="000E3C70"/>
    <w:rsid w:val="000E451E"/>
    <w:rsid w:val="000E4568"/>
    <w:rsid w:val="000F0B89"/>
    <w:rsid w:val="000F4500"/>
    <w:rsid w:val="000F59D4"/>
    <w:rsid w:val="00100FAE"/>
    <w:rsid w:val="001056A6"/>
    <w:rsid w:val="00106CD6"/>
    <w:rsid w:val="00111BAF"/>
    <w:rsid w:val="00112028"/>
    <w:rsid w:val="00113313"/>
    <w:rsid w:val="00113744"/>
    <w:rsid w:val="00120FC8"/>
    <w:rsid w:val="00123608"/>
    <w:rsid w:val="00126346"/>
    <w:rsid w:val="00133CDA"/>
    <w:rsid w:val="0013469B"/>
    <w:rsid w:val="00137092"/>
    <w:rsid w:val="00137CAF"/>
    <w:rsid w:val="00144570"/>
    <w:rsid w:val="0014633A"/>
    <w:rsid w:val="00147D65"/>
    <w:rsid w:val="0015067A"/>
    <w:rsid w:val="0015146A"/>
    <w:rsid w:val="001560B2"/>
    <w:rsid w:val="00161308"/>
    <w:rsid w:val="00163966"/>
    <w:rsid w:val="00165E97"/>
    <w:rsid w:val="00166BDA"/>
    <w:rsid w:val="0016724A"/>
    <w:rsid w:val="00167EA4"/>
    <w:rsid w:val="00170E92"/>
    <w:rsid w:val="00174EF0"/>
    <w:rsid w:val="0017767D"/>
    <w:rsid w:val="001816B1"/>
    <w:rsid w:val="00182A4E"/>
    <w:rsid w:val="0018746F"/>
    <w:rsid w:val="001934AD"/>
    <w:rsid w:val="001A3CF8"/>
    <w:rsid w:val="001A47EB"/>
    <w:rsid w:val="001A52BE"/>
    <w:rsid w:val="001A6624"/>
    <w:rsid w:val="001B0FD7"/>
    <w:rsid w:val="001B112B"/>
    <w:rsid w:val="001B3558"/>
    <w:rsid w:val="001B7283"/>
    <w:rsid w:val="001C080F"/>
    <w:rsid w:val="001C2242"/>
    <w:rsid w:val="001C445A"/>
    <w:rsid w:val="001C7EEF"/>
    <w:rsid w:val="001D4351"/>
    <w:rsid w:val="001D562B"/>
    <w:rsid w:val="001E0A08"/>
    <w:rsid w:val="001E1C05"/>
    <w:rsid w:val="001E7A66"/>
    <w:rsid w:val="001F1A1F"/>
    <w:rsid w:val="001F34DE"/>
    <w:rsid w:val="001F3591"/>
    <w:rsid w:val="001F4257"/>
    <w:rsid w:val="001F6180"/>
    <w:rsid w:val="001F6CC0"/>
    <w:rsid w:val="00201121"/>
    <w:rsid w:val="0020310A"/>
    <w:rsid w:val="00203D10"/>
    <w:rsid w:val="002064B9"/>
    <w:rsid w:val="00206E6F"/>
    <w:rsid w:val="00207974"/>
    <w:rsid w:val="0021337D"/>
    <w:rsid w:val="002135ED"/>
    <w:rsid w:val="00215199"/>
    <w:rsid w:val="00217AE3"/>
    <w:rsid w:val="00231009"/>
    <w:rsid w:val="002341B9"/>
    <w:rsid w:val="00234DEE"/>
    <w:rsid w:val="0023735F"/>
    <w:rsid w:val="00237444"/>
    <w:rsid w:val="002427E1"/>
    <w:rsid w:val="00243D26"/>
    <w:rsid w:val="002510C4"/>
    <w:rsid w:val="00254CAF"/>
    <w:rsid w:val="00260B79"/>
    <w:rsid w:val="00261CE0"/>
    <w:rsid w:val="002640F8"/>
    <w:rsid w:val="002643EE"/>
    <w:rsid w:val="00265069"/>
    <w:rsid w:val="002663B7"/>
    <w:rsid w:val="00266749"/>
    <w:rsid w:val="00270EFC"/>
    <w:rsid w:val="0027324B"/>
    <w:rsid w:val="00273E51"/>
    <w:rsid w:val="00276C81"/>
    <w:rsid w:val="0028044C"/>
    <w:rsid w:val="002815B7"/>
    <w:rsid w:val="00282327"/>
    <w:rsid w:val="002856FD"/>
    <w:rsid w:val="00286227"/>
    <w:rsid w:val="002862EE"/>
    <w:rsid w:val="002903AE"/>
    <w:rsid w:val="00293B0F"/>
    <w:rsid w:val="002961D2"/>
    <w:rsid w:val="00296346"/>
    <w:rsid w:val="0029704C"/>
    <w:rsid w:val="002A0EB8"/>
    <w:rsid w:val="002A1FF1"/>
    <w:rsid w:val="002A33E1"/>
    <w:rsid w:val="002A4877"/>
    <w:rsid w:val="002A4B99"/>
    <w:rsid w:val="002B2173"/>
    <w:rsid w:val="002B31ED"/>
    <w:rsid w:val="002C2E31"/>
    <w:rsid w:val="002C4D3B"/>
    <w:rsid w:val="002C581F"/>
    <w:rsid w:val="002C6E14"/>
    <w:rsid w:val="002D0F07"/>
    <w:rsid w:val="002D2643"/>
    <w:rsid w:val="002D331B"/>
    <w:rsid w:val="002D400D"/>
    <w:rsid w:val="002D56B2"/>
    <w:rsid w:val="002E1550"/>
    <w:rsid w:val="002E3826"/>
    <w:rsid w:val="002E6684"/>
    <w:rsid w:val="002E6CEF"/>
    <w:rsid w:val="002F64AD"/>
    <w:rsid w:val="003001C9"/>
    <w:rsid w:val="0030299D"/>
    <w:rsid w:val="00303104"/>
    <w:rsid w:val="0030318C"/>
    <w:rsid w:val="00306898"/>
    <w:rsid w:val="00306EF8"/>
    <w:rsid w:val="0031159A"/>
    <w:rsid w:val="003116D4"/>
    <w:rsid w:val="0031312A"/>
    <w:rsid w:val="00313776"/>
    <w:rsid w:val="00321F06"/>
    <w:rsid w:val="00327504"/>
    <w:rsid w:val="00331062"/>
    <w:rsid w:val="003321B2"/>
    <w:rsid w:val="00336D66"/>
    <w:rsid w:val="00341442"/>
    <w:rsid w:val="00341F73"/>
    <w:rsid w:val="00342E99"/>
    <w:rsid w:val="0034304D"/>
    <w:rsid w:val="00345757"/>
    <w:rsid w:val="0034735D"/>
    <w:rsid w:val="003473B5"/>
    <w:rsid w:val="003479BF"/>
    <w:rsid w:val="00350F08"/>
    <w:rsid w:val="00352224"/>
    <w:rsid w:val="0035419C"/>
    <w:rsid w:val="003545DF"/>
    <w:rsid w:val="00356E9C"/>
    <w:rsid w:val="00357005"/>
    <w:rsid w:val="003611D4"/>
    <w:rsid w:val="00362C1B"/>
    <w:rsid w:val="00364C91"/>
    <w:rsid w:val="003658D4"/>
    <w:rsid w:val="00366263"/>
    <w:rsid w:val="003667A0"/>
    <w:rsid w:val="003706B5"/>
    <w:rsid w:val="003772EE"/>
    <w:rsid w:val="00385C39"/>
    <w:rsid w:val="00392A20"/>
    <w:rsid w:val="00394710"/>
    <w:rsid w:val="00395679"/>
    <w:rsid w:val="003A3F95"/>
    <w:rsid w:val="003A72F5"/>
    <w:rsid w:val="003B69F1"/>
    <w:rsid w:val="003C47A7"/>
    <w:rsid w:val="003C5497"/>
    <w:rsid w:val="003D033F"/>
    <w:rsid w:val="003D11D6"/>
    <w:rsid w:val="003D132D"/>
    <w:rsid w:val="003D264F"/>
    <w:rsid w:val="003D284D"/>
    <w:rsid w:val="003D78BA"/>
    <w:rsid w:val="003D7B39"/>
    <w:rsid w:val="003E0452"/>
    <w:rsid w:val="003E2174"/>
    <w:rsid w:val="003E59D8"/>
    <w:rsid w:val="003F22E2"/>
    <w:rsid w:val="00404432"/>
    <w:rsid w:val="00412AE1"/>
    <w:rsid w:val="00413D10"/>
    <w:rsid w:val="0041771D"/>
    <w:rsid w:val="00422171"/>
    <w:rsid w:val="00422B02"/>
    <w:rsid w:val="0042351F"/>
    <w:rsid w:val="004255BE"/>
    <w:rsid w:val="00427158"/>
    <w:rsid w:val="004277E2"/>
    <w:rsid w:val="00427996"/>
    <w:rsid w:val="0044430B"/>
    <w:rsid w:val="00444F3A"/>
    <w:rsid w:val="00445D86"/>
    <w:rsid w:val="00447DED"/>
    <w:rsid w:val="004535BD"/>
    <w:rsid w:val="004542ED"/>
    <w:rsid w:val="00455720"/>
    <w:rsid w:val="00455BCA"/>
    <w:rsid w:val="00456636"/>
    <w:rsid w:val="004647C7"/>
    <w:rsid w:val="00467ECF"/>
    <w:rsid w:val="00470C69"/>
    <w:rsid w:val="00471FE6"/>
    <w:rsid w:val="0048158E"/>
    <w:rsid w:val="004825AA"/>
    <w:rsid w:val="0048312F"/>
    <w:rsid w:val="004831EB"/>
    <w:rsid w:val="004846F8"/>
    <w:rsid w:val="00485AEE"/>
    <w:rsid w:val="00495EDA"/>
    <w:rsid w:val="004A2AA1"/>
    <w:rsid w:val="004A37C9"/>
    <w:rsid w:val="004A47C1"/>
    <w:rsid w:val="004A7458"/>
    <w:rsid w:val="004B10CF"/>
    <w:rsid w:val="004B51C1"/>
    <w:rsid w:val="004B6274"/>
    <w:rsid w:val="004C37A1"/>
    <w:rsid w:val="004C48FF"/>
    <w:rsid w:val="004C5D17"/>
    <w:rsid w:val="004C6271"/>
    <w:rsid w:val="004C67E4"/>
    <w:rsid w:val="004C7D75"/>
    <w:rsid w:val="004D0EF3"/>
    <w:rsid w:val="004D6974"/>
    <w:rsid w:val="004E1818"/>
    <w:rsid w:val="004E3EA0"/>
    <w:rsid w:val="004E592B"/>
    <w:rsid w:val="004E72B4"/>
    <w:rsid w:val="004F1967"/>
    <w:rsid w:val="004F3E30"/>
    <w:rsid w:val="00500772"/>
    <w:rsid w:val="0050198D"/>
    <w:rsid w:val="0051179A"/>
    <w:rsid w:val="00511A22"/>
    <w:rsid w:val="00520B49"/>
    <w:rsid w:val="00521EAA"/>
    <w:rsid w:val="00522E2C"/>
    <w:rsid w:val="005233BD"/>
    <w:rsid w:val="00526FA0"/>
    <w:rsid w:val="005310B5"/>
    <w:rsid w:val="00552818"/>
    <w:rsid w:val="00552D13"/>
    <w:rsid w:val="005556C7"/>
    <w:rsid w:val="00560CAC"/>
    <w:rsid w:val="005619F4"/>
    <w:rsid w:val="00564986"/>
    <w:rsid w:val="00566217"/>
    <w:rsid w:val="00574C66"/>
    <w:rsid w:val="005761ED"/>
    <w:rsid w:val="00581FE6"/>
    <w:rsid w:val="00583E09"/>
    <w:rsid w:val="00584BAB"/>
    <w:rsid w:val="005851C4"/>
    <w:rsid w:val="00592449"/>
    <w:rsid w:val="005957DB"/>
    <w:rsid w:val="005A3EA5"/>
    <w:rsid w:val="005A4A73"/>
    <w:rsid w:val="005B0983"/>
    <w:rsid w:val="005B39DC"/>
    <w:rsid w:val="005C1879"/>
    <w:rsid w:val="005C28BB"/>
    <w:rsid w:val="005C2FD4"/>
    <w:rsid w:val="005D22A5"/>
    <w:rsid w:val="005D49F2"/>
    <w:rsid w:val="005D64A3"/>
    <w:rsid w:val="005D65EA"/>
    <w:rsid w:val="005D7AF8"/>
    <w:rsid w:val="005E3C74"/>
    <w:rsid w:val="005E59A0"/>
    <w:rsid w:val="00600721"/>
    <w:rsid w:val="006007F9"/>
    <w:rsid w:val="00604D07"/>
    <w:rsid w:val="00605331"/>
    <w:rsid w:val="00605531"/>
    <w:rsid w:val="0060588C"/>
    <w:rsid w:val="00610DD0"/>
    <w:rsid w:val="006133B0"/>
    <w:rsid w:val="006147AF"/>
    <w:rsid w:val="00623BE1"/>
    <w:rsid w:val="0062426A"/>
    <w:rsid w:val="00624DA1"/>
    <w:rsid w:val="0062640A"/>
    <w:rsid w:val="00627802"/>
    <w:rsid w:val="006357B5"/>
    <w:rsid w:val="00640539"/>
    <w:rsid w:val="0064317B"/>
    <w:rsid w:val="00644F1B"/>
    <w:rsid w:val="00650483"/>
    <w:rsid w:val="0065358C"/>
    <w:rsid w:val="00654616"/>
    <w:rsid w:val="006551E5"/>
    <w:rsid w:val="00662805"/>
    <w:rsid w:val="00663E09"/>
    <w:rsid w:val="006719DA"/>
    <w:rsid w:val="00673412"/>
    <w:rsid w:val="006734C0"/>
    <w:rsid w:val="00684D9A"/>
    <w:rsid w:val="00687B69"/>
    <w:rsid w:val="00695866"/>
    <w:rsid w:val="00695E45"/>
    <w:rsid w:val="0069603C"/>
    <w:rsid w:val="006973C9"/>
    <w:rsid w:val="006A1CB2"/>
    <w:rsid w:val="006A3EBE"/>
    <w:rsid w:val="006B564B"/>
    <w:rsid w:val="006C0329"/>
    <w:rsid w:val="006C311D"/>
    <w:rsid w:val="006C4992"/>
    <w:rsid w:val="006C4F27"/>
    <w:rsid w:val="006C5C9F"/>
    <w:rsid w:val="006D05C6"/>
    <w:rsid w:val="006D0816"/>
    <w:rsid w:val="006D1505"/>
    <w:rsid w:val="006D20B6"/>
    <w:rsid w:val="006D49EC"/>
    <w:rsid w:val="006D7C59"/>
    <w:rsid w:val="006E52AE"/>
    <w:rsid w:val="006E61CE"/>
    <w:rsid w:val="006E7364"/>
    <w:rsid w:val="006E7471"/>
    <w:rsid w:val="006F1F7E"/>
    <w:rsid w:val="006F2F54"/>
    <w:rsid w:val="006F544B"/>
    <w:rsid w:val="00706249"/>
    <w:rsid w:val="00720065"/>
    <w:rsid w:val="00721F17"/>
    <w:rsid w:val="00722258"/>
    <w:rsid w:val="007227E3"/>
    <w:rsid w:val="007236AF"/>
    <w:rsid w:val="00723756"/>
    <w:rsid w:val="0073238F"/>
    <w:rsid w:val="00735A40"/>
    <w:rsid w:val="00740C14"/>
    <w:rsid w:val="00742DFF"/>
    <w:rsid w:val="00743F6B"/>
    <w:rsid w:val="00744133"/>
    <w:rsid w:val="00744F1C"/>
    <w:rsid w:val="007465FD"/>
    <w:rsid w:val="00746B14"/>
    <w:rsid w:val="00746F82"/>
    <w:rsid w:val="00760755"/>
    <w:rsid w:val="0076167C"/>
    <w:rsid w:val="00762B22"/>
    <w:rsid w:val="007704F7"/>
    <w:rsid w:val="00771428"/>
    <w:rsid w:val="00780429"/>
    <w:rsid w:val="007807AD"/>
    <w:rsid w:val="00782DC1"/>
    <w:rsid w:val="00784917"/>
    <w:rsid w:val="00785F15"/>
    <w:rsid w:val="00787404"/>
    <w:rsid w:val="00790CAF"/>
    <w:rsid w:val="007914D4"/>
    <w:rsid w:val="0079185E"/>
    <w:rsid w:val="0079310B"/>
    <w:rsid w:val="007A16F8"/>
    <w:rsid w:val="007A29E2"/>
    <w:rsid w:val="007B191C"/>
    <w:rsid w:val="007B1E76"/>
    <w:rsid w:val="007B4825"/>
    <w:rsid w:val="007C03D4"/>
    <w:rsid w:val="007C06F2"/>
    <w:rsid w:val="007C2A13"/>
    <w:rsid w:val="007C34DE"/>
    <w:rsid w:val="007C7EC0"/>
    <w:rsid w:val="007D3763"/>
    <w:rsid w:val="007D49C5"/>
    <w:rsid w:val="007D64EA"/>
    <w:rsid w:val="007D7185"/>
    <w:rsid w:val="007E01A8"/>
    <w:rsid w:val="007E2F00"/>
    <w:rsid w:val="007E35DF"/>
    <w:rsid w:val="007E5CEA"/>
    <w:rsid w:val="007E5D06"/>
    <w:rsid w:val="007F508E"/>
    <w:rsid w:val="007F513A"/>
    <w:rsid w:val="007F5455"/>
    <w:rsid w:val="00803132"/>
    <w:rsid w:val="0080316E"/>
    <w:rsid w:val="008042A6"/>
    <w:rsid w:val="00804566"/>
    <w:rsid w:val="00806A05"/>
    <w:rsid w:val="0081311D"/>
    <w:rsid w:val="00813A46"/>
    <w:rsid w:val="00815550"/>
    <w:rsid w:val="00820F97"/>
    <w:rsid w:val="008214D6"/>
    <w:rsid w:val="00821974"/>
    <w:rsid w:val="00822459"/>
    <w:rsid w:val="00827116"/>
    <w:rsid w:val="008279F4"/>
    <w:rsid w:val="00834C95"/>
    <w:rsid w:val="00837055"/>
    <w:rsid w:val="00842C2F"/>
    <w:rsid w:val="00843879"/>
    <w:rsid w:val="00843C29"/>
    <w:rsid w:val="0084493E"/>
    <w:rsid w:val="008534AD"/>
    <w:rsid w:val="0085407E"/>
    <w:rsid w:val="0085523F"/>
    <w:rsid w:val="008623C6"/>
    <w:rsid w:val="00863620"/>
    <w:rsid w:val="00863AFA"/>
    <w:rsid w:val="008661B9"/>
    <w:rsid w:val="00870F3A"/>
    <w:rsid w:val="00872FCA"/>
    <w:rsid w:val="008745E2"/>
    <w:rsid w:val="008821C5"/>
    <w:rsid w:val="00884D9F"/>
    <w:rsid w:val="008850AC"/>
    <w:rsid w:val="0089070F"/>
    <w:rsid w:val="008A03B8"/>
    <w:rsid w:val="008A368B"/>
    <w:rsid w:val="008A4070"/>
    <w:rsid w:val="008A492F"/>
    <w:rsid w:val="008B6C12"/>
    <w:rsid w:val="008C2C01"/>
    <w:rsid w:val="008C6A6A"/>
    <w:rsid w:val="008C73AA"/>
    <w:rsid w:val="008D12A6"/>
    <w:rsid w:val="008D38AA"/>
    <w:rsid w:val="008D40A3"/>
    <w:rsid w:val="008D5D26"/>
    <w:rsid w:val="008E26ED"/>
    <w:rsid w:val="008E7EDA"/>
    <w:rsid w:val="00905A92"/>
    <w:rsid w:val="0091481D"/>
    <w:rsid w:val="00916177"/>
    <w:rsid w:val="0091687F"/>
    <w:rsid w:val="00920D81"/>
    <w:rsid w:val="00920F07"/>
    <w:rsid w:val="009218BC"/>
    <w:rsid w:val="00922F0C"/>
    <w:rsid w:val="009242ED"/>
    <w:rsid w:val="00931C1E"/>
    <w:rsid w:val="0093493F"/>
    <w:rsid w:val="00935F19"/>
    <w:rsid w:val="0093703A"/>
    <w:rsid w:val="0094279E"/>
    <w:rsid w:val="00943BE5"/>
    <w:rsid w:val="00944E96"/>
    <w:rsid w:val="009509B8"/>
    <w:rsid w:val="0095366D"/>
    <w:rsid w:val="00954ACD"/>
    <w:rsid w:val="00954E70"/>
    <w:rsid w:val="00956F3D"/>
    <w:rsid w:val="00963F4A"/>
    <w:rsid w:val="009676F1"/>
    <w:rsid w:val="00972A80"/>
    <w:rsid w:val="00972FA1"/>
    <w:rsid w:val="00973EC4"/>
    <w:rsid w:val="009746C9"/>
    <w:rsid w:val="00974B79"/>
    <w:rsid w:val="00977E30"/>
    <w:rsid w:val="00985AFC"/>
    <w:rsid w:val="00986A59"/>
    <w:rsid w:val="009902AD"/>
    <w:rsid w:val="00990F9F"/>
    <w:rsid w:val="00991EF4"/>
    <w:rsid w:val="00992A1D"/>
    <w:rsid w:val="0099620E"/>
    <w:rsid w:val="009A7687"/>
    <w:rsid w:val="009B0CAF"/>
    <w:rsid w:val="009B47A9"/>
    <w:rsid w:val="009B5C5C"/>
    <w:rsid w:val="009C1DAC"/>
    <w:rsid w:val="009C6609"/>
    <w:rsid w:val="009C7D85"/>
    <w:rsid w:val="009D1BEA"/>
    <w:rsid w:val="009D3277"/>
    <w:rsid w:val="009D41A8"/>
    <w:rsid w:val="009D768C"/>
    <w:rsid w:val="009E3B82"/>
    <w:rsid w:val="009E481D"/>
    <w:rsid w:val="009E7C8B"/>
    <w:rsid w:val="009E7F37"/>
    <w:rsid w:val="009F395B"/>
    <w:rsid w:val="009F46D9"/>
    <w:rsid w:val="009F680F"/>
    <w:rsid w:val="009F6FE4"/>
    <w:rsid w:val="00A068B0"/>
    <w:rsid w:val="00A06D90"/>
    <w:rsid w:val="00A076D7"/>
    <w:rsid w:val="00A07BF6"/>
    <w:rsid w:val="00A07EFD"/>
    <w:rsid w:val="00A10F10"/>
    <w:rsid w:val="00A126E5"/>
    <w:rsid w:val="00A136D7"/>
    <w:rsid w:val="00A2058D"/>
    <w:rsid w:val="00A308DE"/>
    <w:rsid w:val="00A35111"/>
    <w:rsid w:val="00A35DAD"/>
    <w:rsid w:val="00A416A7"/>
    <w:rsid w:val="00A4317D"/>
    <w:rsid w:val="00A43D03"/>
    <w:rsid w:val="00A44641"/>
    <w:rsid w:val="00A450F5"/>
    <w:rsid w:val="00A50842"/>
    <w:rsid w:val="00A54405"/>
    <w:rsid w:val="00A6028A"/>
    <w:rsid w:val="00A60E55"/>
    <w:rsid w:val="00A76D39"/>
    <w:rsid w:val="00A77426"/>
    <w:rsid w:val="00A80829"/>
    <w:rsid w:val="00A83A80"/>
    <w:rsid w:val="00A84038"/>
    <w:rsid w:val="00A90163"/>
    <w:rsid w:val="00A918E3"/>
    <w:rsid w:val="00A93DD3"/>
    <w:rsid w:val="00A94110"/>
    <w:rsid w:val="00A951F9"/>
    <w:rsid w:val="00A95BBE"/>
    <w:rsid w:val="00A975DF"/>
    <w:rsid w:val="00A976BE"/>
    <w:rsid w:val="00AA0B9E"/>
    <w:rsid w:val="00AA6AE6"/>
    <w:rsid w:val="00AB3E15"/>
    <w:rsid w:val="00AB4219"/>
    <w:rsid w:val="00AB4F0B"/>
    <w:rsid w:val="00AB5960"/>
    <w:rsid w:val="00AB7E5E"/>
    <w:rsid w:val="00AC2288"/>
    <w:rsid w:val="00AC3621"/>
    <w:rsid w:val="00AC4210"/>
    <w:rsid w:val="00AC4FDF"/>
    <w:rsid w:val="00AC52B1"/>
    <w:rsid w:val="00AD0FBA"/>
    <w:rsid w:val="00AD1AF6"/>
    <w:rsid w:val="00AD40CD"/>
    <w:rsid w:val="00AD76C1"/>
    <w:rsid w:val="00AE0AFF"/>
    <w:rsid w:val="00AE60B6"/>
    <w:rsid w:val="00AE7D5B"/>
    <w:rsid w:val="00AF02E9"/>
    <w:rsid w:val="00AF2255"/>
    <w:rsid w:val="00AF4761"/>
    <w:rsid w:val="00AF5A4F"/>
    <w:rsid w:val="00AF7042"/>
    <w:rsid w:val="00AF7D49"/>
    <w:rsid w:val="00B051E5"/>
    <w:rsid w:val="00B062E8"/>
    <w:rsid w:val="00B07413"/>
    <w:rsid w:val="00B10607"/>
    <w:rsid w:val="00B111C0"/>
    <w:rsid w:val="00B1273C"/>
    <w:rsid w:val="00B16633"/>
    <w:rsid w:val="00B22227"/>
    <w:rsid w:val="00B23A11"/>
    <w:rsid w:val="00B24A67"/>
    <w:rsid w:val="00B3001C"/>
    <w:rsid w:val="00B314A7"/>
    <w:rsid w:val="00B315D0"/>
    <w:rsid w:val="00B31EEB"/>
    <w:rsid w:val="00B349D9"/>
    <w:rsid w:val="00B409C4"/>
    <w:rsid w:val="00B421A8"/>
    <w:rsid w:val="00B4349A"/>
    <w:rsid w:val="00B44DE2"/>
    <w:rsid w:val="00B45929"/>
    <w:rsid w:val="00B46F77"/>
    <w:rsid w:val="00B5463C"/>
    <w:rsid w:val="00B54752"/>
    <w:rsid w:val="00B54988"/>
    <w:rsid w:val="00B60FB4"/>
    <w:rsid w:val="00B612C8"/>
    <w:rsid w:val="00B6435D"/>
    <w:rsid w:val="00B662AA"/>
    <w:rsid w:val="00B70289"/>
    <w:rsid w:val="00B708E4"/>
    <w:rsid w:val="00B7718B"/>
    <w:rsid w:val="00B864D8"/>
    <w:rsid w:val="00B865A4"/>
    <w:rsid w:val="00B95942"/>
    <w:rsid w:val="00B95D38"/>
    <w:rsid w:val="00BA19EB"/>
    <w:rsid w:val="00BA30CD"/>
    <w:rsid w:val="00BA35F9"/>
    <w:rsid w:val="00BA43F7"/>
    <w:rsid w:val="00BB110E"/>
    <w:rsid w:val="00BB1BB0"/>
    <w:rsid w:val="00BB59CA"/>
    <w:rsid w:val="00BC48DB"/>
    <w:rsid w:val="00BC5467"/>
    <w:rsid w:val="00BD1BE4"/>
    <w:rsid w:val="00BD2374"/>
    <w:rsid w:val="00BD4FB2"/>
    <w:rsid w:val="00BE1F64"/>
    <w:rsid w:val="00BE6B3A"/>
    <w:rsid w:val="00BE7453"/>
    <w:rsid w:val="00BF036C"/>
    <w:rsid w:val="00BF5274"/>
    <w:rsid w:val="00BF5D10"/>
    <w:rsid w:val="00BF5D64"/>
    <w:rsid w:val="00BF68AD"/>
    <w:rsid w:val="00BF7BA7"/>
    <w:rsid w:val="00C020B1"/>
    <w:rsid w:val="00C05F96"/>
    <w:rsid w:val="00C06909"/>
    <w:rsid w:val="00C11E20"/>
    <w:rsid w:val="00C16D02"/>
    <w:rsid w:val="00C21887"/>
    <w:rsid w:val="00C240BA"/>
    <w:rsid w:val="00C327F3"/>
    <w:rsid w:val="00C32A82"/>
    <w:rsid w:val="00C35512"/>
    <w:rsid w:val="00C36705"/>
    <w:rsid w:val="00C426A9"/>
    <w:rsid w:val="00C454CC"/>
    <w:rsid w:val="00C4776E"/>
    <w:rsid w:val="00C50C11"/>
    <w:rsid w:val="00C53C3D"/>
    <w:rsid w:val="00C56ECE"/>
    <w:rsid w:val="00C61FFF"/>
    <w:rsid w:val="00C630A2"/>
    <w:rsid w:val="00C63571"/>
    <w:rsid w:val="00C6423C"/>
    <w:rsid w:val="00C65DFB"/>
    <w:rsid w:val="00C669F3"/>
    <w:rsid w:val="00C66F97"/>
    <w:rsid w:val="00C67005"/>
    <w:rsid w:val="00C67D05"/>
    <w:rsid w:val="00C7070E"/>
    <w:rsid w:val="00C74216"/>
    <w:rsid w:val="00C74537"/>
    <w:rsid w:val="00C82007"/>
    <w:rsid w:val="00C8262B"/>
    <w:rsid w:val="00C8282A"/>
    <w:rsid w:val="00C86D8B"/>
    <w:rsid w:val="00C86DDE"/>
    <w:rsid w:val="00C933D0"/>
    <w:rsid w:val="00C94656"/>
    <w:rsid w:val="00CA1E46"/>
    <w:rsid w:val="00CA7639"/>
    <w:rsid w:val="00CA7699"/>
    <w:rsid w:val="00CB2DA9"/>
    <w:rsid w:val="00CC64F5"/>
    <w:rsid w:val="00CD013E"/>
    <w:rsid w:val="00CD2333"/>
    <w:rsid w:val="00CD4F25"/>
    <w:rsid w:val="00CD63B4"/>
    <w:rsid w:val="00CE0357"/>
    <w:rsid w:val="00CE17B1"/>
    <w:rsid w:val="00CE37EF"/>
    <w:rsid w:val="00CE41E2"/>
    <w:rsid w:val="00CE5FA3"/>
    <w:rsid w:val="00CE6DE6"/>
    <w:rsid w:val="00CF1B44"/>
    <w:rsid w:val="00CF33DE"/>
    <w:rsid w:val="00D03E68"/>
    <w:rsid w:val="00D06E0D"/>
    <w:rsid w:val="00D0776A"/>
    <w:rsid w:val="00D12408"/>
    <w:rsid w:val="00D12544"/>
    <w:rsid w:val="00D12587"/>
    <w:rsid w:val="00D21DAD"/>
    <w:rsid w:val="00D250DA"/>
    <w:rsid w:val="00D30990"/>
    <w:rsid w:val="00D45F1E"/>
    <w:rsid w:val="00D53908"/>
    <w:rsid w:val="00D604FB"/>
    <w:rsid w:val="00D60DD0"/>
    <w:rsid w:val="00D6184C"/>
    <w:rsid w:val="00D747B6"/>
    <w:rsid w:val="00D756D7"/>
    <w:rsid w:val="00D7798F"/>
    <w:rsid w:val="00D806EF"/>
    <w:rsid w:val="00D822C6"/>
    <w:rsid w:val="00D8480B"/>
    <w:rsid w:val="00D85FB7"/>
    <w:rsid w:val="00D8684F"/>
    <w:rsid w:val="00D922F4"/>
    <w:rsid w:val="00D924A2"/>
    <w:rsid w:val="00D92802"/>
    <w:rsid w:val="00D93D88"/>
    <w:rsid w:val="00D95FFF"/>
    <w:rsid w:val="00DA16F8"/>
    <w:rsid w:val="00DA2FDF"/>
    <w:rsid w:val="00DA51CC"/>
    <w:rsid w:val="00DA567A"/>
    <w:rsid w:val="00DA599E"/>
    <w:rsid w:val="00DB0CAB"/>
    <w:rsid w:val="00DB2EA1"/>
    <w:rsid w:val="00DB3A26"/>
    <w:rsid w:val="00DB76FC"/>
    <w:rsid w:val="00DC360D"/>
    <w:rsid w:val="00DC3F9E"/>
    <w:rsid w:val="00DC5991"/>
    <w:rsid w:val="00DC7EB4"/>
    <w:rsid w:val="00DD3728"/>
    <w:rsid w:val="00DD6C0E"/>
    <w:rsid w:val="00DE39DC"/>
    <w:rsid w:val="00DE64AC"/>
    <w:rsid w:val="00DE6A75"/>
    <w:rsid w:val="00DF0014"/>
    <w:rsid w:val="00DF12A4"/>
    <w:rsid w:val="00DF5372"/>
    <w:rsid w:val="00E01E0F"/>
    <w:rsid w:val="00E06518"/>
    <w:rsid w:val="00E07104"/>
    <w:rsid w:val="00E1145F"/>
    <w:rsid w:val="00E11F37"/>
    <w:rsid w:val="00E156CE"/>
    <w:rsid w:val="00E15E4C"/>
    <w:rsid w:val="00E251AE"/>
    <w:rsid w:val="00E264B9"/>
    <w:rsid w:val="00E27E60"/>
    <w:rsid w:val="00E30364"/>
    <w:rsid w:val="00E376BD"/>
    <w:rsid w:val="00E429EC"/>
    <w:rsid w:val="00E54BE7"/>
    <w:rsid w:val="00E56FD3"/>
    <w:rsid w:val="00E62E8C"/>
    <w:rsid w:val="00E63CE6"/>
    <w:rsid w:val="00E66E1A"/>
    <w:rsid w:val="00E6773D"/>
    <w:rsid w:val="00E70717"/>
    <w:rsid w:val="00E70A21"/>
    <w:rsid w:val="00E727E3"/>
    <w:rsid w:val="00E7469B"/>
    <w:rsid w:val="00E748BD"/>
    <w:rsid w:val="00E80C79"/>
    <w:rsid w:val="00E84D79"/>
    <w:rsid w:val="00E860C4"/>
    <w:rsid w:val="00E86316"/>
    <w:rsid w:val="00E9221A"/>
    <w:rsid w:val="00E926D3"/>
    <w:rsid w:val="00E95AC4"/>
    <w:rsid w:val="00E95D8E"/>
    <w:rsid w:val="00E96DAE"/>
    <w:rsid w:val="00E96DBC"/>
    <w:rsid w:val="00EA016E"/>
    <w:rsid w:val="00EA16A6"/>
    <w:rsid w:val="00EA2623"/>
    <w:rsid w:val="00EA3796"/>
    <w:rsid w:val="00EB0333"/>
    <w:rsid w:val="00EB0409"/>
    <w:rsid w:val="00EB7DAB"/>
    <w:rsid w:val="00EC1019"/>
    <w:rsid w:val="00EC4992"/>
    <w:rsid w:val="00EC5633"/>
    <w:rsid w:val="00EC568E"/>
    <w:rsid w:val="00EC5855"/>
    <w:rsid w:val="00EC65C2"/>
    <w:rsid w:val="00EC7D41"/>
    <w:rsid w:val="00EE281E"/>
    <w:rsid w:val="00EF6418"/>
    <w:rsid w:val="00F06CE1"/>
    <w:rsid w:val="00F20542"/>
    <w:rsid w:val="00F209A2"/>
    <w:rsid w:val="00F21503"/>
    <w:rsid w:val="00F250FB"/>
    <w:rsid w:val="00F308B5"/>
    <w:rsid w:val="00F31A03"/>
    <w:rsid w:val="00F33B6D"/>
    <w:rsid w:val="00F353FC"/>
    <w:rsid w:val="00F35C2A"/>
    <w:rsid w:val="00F41A58"/>
    <w:rsid w:val="00F460F7"/>
    <w:rsid w:val="00F4632E"/>
    <w:rsid w:val="00F4778D"/>
    <w:rsid w:val="00F4780A"/>
    <w:rsid w:val="00F50103"/>
    <w:rsid w:val="00F501BE"/>
    <w:rsid w:val="00F50741"/>
    <w:rsid w:val="00F50C11"/>
    <w:rsid w:val="00F5205F"/>
    <w:rsid w:val="00F5268D"/>
    <w:rsid w:val="00F527BE"/>
    <w:rsid w:val="00F554B0"/>
    <w:rsid w:val="00F55AD8"/>
    <w:rsid w:val="00F55C93"/>
    <w:rsid w:val="00F60588"/>
    <w:rsid w:val="00F61997"/>
    <w:rsid w:val="00F70C31"/>
    <w:rsid w:val="00F73A44"/>
    <w:rsid w:val="00F76FF7"/>
    <w:rsid w:val="00F8018E"/>
    <w:rsid w:val="00F8034A"/>
    <w:rsid w:val="00F81F9C"/>
    <w:rsid w:val="00F8261D"/>
    <w:rsid w:val="00F8677D"/>
    <w:rsid w:val="00FA455A"/>
    <w:rsid w:val="00FA60CC"/>
    <w:rsid w:val="00FA7D00"/>
    <w:rsid w:val="00FB169C"/>
    <w:rsid w:val="00FB186A"/>
    <w:rsid w:val="00FB230F"/>
    <w:rsid w:val="00FB2566"/>
    <w:rsid w:val="00FB4D94"/>
    <w:rsid w:val="00FB7BF3"/>
    <w:rsid w:val="00FC1F4A"/>
    <w:rsid w:val="00FD0D8E"/>
    <w:rsid w:val="00FD1122"/>
    <w:rsid w:val="00FD4D9D"/>
    <w:rsid w:val="00FD6B71"/>
    <w:rsid w:val="00FE167B"/>
    <w:rsid w:val="00FE73DC"/>
    <w:rsid w:val="00FE757C"/>
    <w:rsid w:val="00FF33E1"/>
    <w:rsid w:val="00FF3EBA"/>
    <w:rsid w:val="02A01B7B"/>
    <w:rsid w:val="02AC384F"/>
    <w:rsid w:val="03D218F6"/>
    <w:rsid w:val="049B0821"/>
    <w:rsid w:val="04A32F0B"/>
    <w:rsid w:val="063A0EC6"/>
    <w:rsid w:val="0680784A"/>
    <w:rsid w:val="06AF6EC9"/>
    <w:rsid w:val="06BC6A8D"/>
    <w:rsid w:val="073764C2"/>
    <w:rsid w:val="07567C0A"/>
    <w:rsid w:val="083C0078"/>
    <w:rsid w:val="085B3E3E"/>
    <w:rsid w:val="08696C8C"/>
    <w:rsid w:val="094F3AFB"/>
    <w:rsid w:val="09F745B5"/>
    <w:rsid w:val="0A026F47"/>
    <w:rsid w:val="0A514815"/>
    <w:rsid w:val="0ABD58A3"/>
    <w:rsid w:val="0AD92ECF"/>
    <w:rsid w:val="0C2C696C"/>
    <w:rsid w:val="0C403F40"/>
    <w:rsid w:val="0C4C5990"/>
    <w:rsid w:val="0C702677"/>
    <w:rsid w:val="0C945710"/>
    <w:rsid w:val="0D2F3479"/>
    <w:rsid w:val="0F0008FB"/>
    <w:rsid w:val="0F77306E"/>
    <w:rsid w:val="116856BA"/>
    <w:rsid w:val="11A16296"/>
    <w:rsid w:val="12386726"/>
    <w:rsid w:val="12540C64"/>
    <w:rsid w:val="129218A6"/>
    <w:rsid w:val="12AA2579"/>
    <w:rsid w:val="12F7068A"/>
    <w:rsid w:val="142F34FE"/>
    <w:rsid w:val="147166C5"/>
    <w:rsid w:val="16E93D7C"/>
    <w:rsid w:val="1704284F"/>
    <w:rsid w:val="17237F3E"/>
    <w:rsid w:val="17357FFC"/>
    <w:rsid w:val="18A71D56"/>
    <w:rsid w:val="18F74C02"/>
    <w:rsid w:val="1A5213ED"/>
    <w:rsid w:val="1A8F2569"/>
    <w:rsid w:val="1AA31843"/>
    <w:rsid w:val="1AB92C79"/>
    <w:rsid w:val="1AE7508D"/>
    <w:rsid w:val="1AEA7935"/>
    <w:rsid w:val="1B4C5DA4"/>
    <w:rsid w:val="1C3A7FD2"/>
    <w:rsid w:val="1C92724B"/>
    <w:rsid w:val="1CB3670B"/>
    <w:rsid w:val="1DAA3C6A"/>
    <w:rsid w:val="1E9B543D"/>
    <w:rsid w:val="1F290C52"/>
    <w:rsid w:val="2037030C"/>
    <w:rsid w:val="20397F32"/>
    <w:rsid w:val="209231A2"/>
    <w:rsid w:val="209E72E3"/>
    <w:rsid w:val="20A42D7F"/>
    <w:rsid w:val="21394672"/>
    <w:rsid w:val="21B86165"/>
    <w:rsid w:val="22275CEC"/>
    <w:rsid w:val="225F556D"/>
    <w:rsid w:val="231A7224"/>
    <w:rsid w:val="241769F2"/>
    <w:rsid w:val="254C3E74"/>
    <w:rsid w:val="2597085A"/>
    <w:rsid w:val="25C167EF"/>
    <w:rsid w:val="26797379"/>
    <w:rsid w:val="282C196D"/>
    <w:rsid w:val="284D6D94"/>
    <w:rsid w:val="28852CF1"/>
    <w:rsid w:val="28940BCD"/>
    <w:rsid w:val="2A1E49A7"/>
    <w:rsid w:val="2A975B13"/>
    <w:rsid w:val="2AB94664"/>
    <w:rsid w:val="2B294BDF"/>
    <w:rsid w:val="2B9B7A11"/>
    <w:rsid w:val="2C6A79B2"/>
    <w:rsid w:val="2CDB0CA0"/>
    <w:rsid w:val="2D050897"/>
    <w:rsid w:val="2D061503"/>
    <w:rsid w:val="2D4859FE"/>
    <w:rsid w:val="2D66717F"/>
    <w:rsid w:val="2D8868AC"/>
    <w:rsid w:val="2E2354D1"/>
    <w:rsid w:val="2FA3517E"/>
    <w:rsid w:val="2FB95EDC"/>
    <w:rsid w:val="2FF03C2E"/>
    <w:rsid w:val="301269C5"/>
    <w:rsid w:val="309B7DEA"/>
    <w:rsid w:val="31D54ECC"/>
    <w:rsid w:val="32750F21"/>
    <w:rsid w:val="32A17177"/>
    <w:rsid w:val="334C001B"/>
    <w:rsid w:val="33634D05"/>
    <w:rsid w:val="33EF5811"/>
    <w:rsid w:val="35302DA6"/>
    <w:rsid w:val="3580193C"/>
    <w:rsid w:val="35E90DAE"/>
    <w:rsid w:val="3738424C"/>
    <w:rsid w:val="37BF08B4"/>
    <w:rsid w:val="382C2C39"/>
    <w:rsid w:val="38337204"/>
    <w:rsid w:val="385C4F57"/>
    <w:rsid w:val="38A45AE0"/>
    <w:rsid w:val="38C27915"/>
    <w:rsid w:val="39185903"/>
    <w:rsid w:val="397201A6"/>
    <w:rsid w:val="39D540F4"/>
    <w:rsid w:val="39D945D8"/>
    <w:rsid w:val="3A863E96"/>
    <w:rsid w:val="3AC530CD"/>
    <w:rsid w:val="3BA41B17"/>
    <w:rsid w:val="3BC9738A"/>
    <w:rsid w:val="3C9D108D"/>
    <w:rsid w:val="3E134209"/>
    <w:rsid w:val="3EC91307"/>
    <w:rsid w:val="41BE20FF"/>
    <w:rsid w:val="4373118D"/>
    <w:rsid w:val="462638D5"/>
    <w:rsid w:val="46435E18"/>
    <w:rsid w:val="46E93EA5"/>
    <w:rsid w:val="47227580"/>
    <w:rsid w:val="472D5CC4"/>
    <w:rsid w:val="47481694"/>
    <w:rsid w:val="47F70A25"/>
    <w:rsid w:val="4879288B"/>
    <w:rsid w:val="48FA0F45"/>
    <w:rsid w:val="499D2B14"/>
    <w:rsid w:val="4B6C499F"/>
    <w:rsid w:val="4C094957"/>
    <w:rsid w:val="4C2551A1"/>
    <w:rsid w:val="4C2F4262"/>
    <w:rsid w:val="4C3A657D"/>
    <w:rsid w:val="4D0C31FE"/>
    <w:rsid w:val="4D856337"/>
    <w:rsid w:val="4EA92798"/>
    <w:rsid w:val="4FAD7EDD"/>
    <w:rsid w:val="50615DA8"/>
    <w:rsid w:val="508C24B0"/>
    <w:rsid w:val="50AB30D4"/>
    <w:rsid w:val="51B64185"/>
    <w:rsid w:val="52684253"/>
    <w:rsid w:val="533A3769"/>
    <w:rsid w:val="53FF3DC7"/>
    <w:rsid w:val="5594136E"/>
    <w:rsid w:val="56702719"/>
    <w:rsid w:val="583C1C19"/>
    <w:rsid w:val="585879A9"/>
    <w:rsid w:val="58614CD7"/>
    <w:rsid w:val="58817556"/>
    <w:rsid w:val="59284F86"/>
    <w:rsid w:val="5A5B44DF"/>
    <w:rsid w:val="5B9A19B9"/>
    <w:rsid w:val="5BDC3D20"/>
    <w:rsid w:val="5C2C21CA"/>
    <w:rsid w:val="5D635A1D"/>
    <w:rsid w:val="5E9D4DCD"/>
    <w:rsid w:val="5EBE69CB"/>
    <w:rsid w:val="5FCA654C"/>
    <w:rsid w:val="601E2099"/>
    <w:rsid w:val="613761EC"/>
    <w:rsid w:val="618B13D3"/>
    <w:rsid w:val="61BF7675"/>
    <w:rsid w:val="61C57950"/>
    <w:rsid w:val="620E4ED0"/>
    <w:rsid w:val="63EB5A42"/>
    <w:rsid w:val="645E74D3"/>
    <w:rsid w:val="652F04F3"/>
    <w:rsid w:val="659954EF"/>
    <w:rsid w:val="659F5EC5"/>
    <w:rsid w:val="662D73FA"/>
    <w:rsid w:val="66880F84"/>
    <w:rsid w:val="679C6BA1"/>
    <w:rsid w:val="67A90958"/>
    <w:rsid w:val="67AA669D"/>
    <w:rsid w:val="67D66C01"/>
    <w:rsid w:val="67D82FCE"/>
    <w:rsid w:val="67FC0781"/>
    <w:rsid w:val="680512B4"/>
    <w:rsid w:val="68410003"/>
    <w:rsid w:val="68AE1E60"/>
    <w:rsid w:val="6ADF47D4"/>
    <w:rsid w:val="6C7C415A"/>
    <w:rsid w:val="6CDA4DA5"/>
    <w:rsid w:val="6D9071BD"/>
    <w:rsid w:val="6DD1396A"/>
    <w:rsid w:val="6DEF4EC9"/>
    <w:rsid w:val="6F1720EC"/>
    <w:rsid w:val="6FC81438"/>
    <w:rsid w:val="70E715DE"/>
    <w:rsid w:val="71353425"/>
    <w:rsid w:val="72E97AA4"/>
    <w:rsid w:val="73687685"/>
    <w:rsid w:val="73E019B6"/>
    <w:rsid w:val="744E1DDF"/>
    <w:rsid w:val="753B0CF5"/>
    <w:rsid w:val="7556718C"/>
    <w:rsid w:val="765C3926"/>
    <w:rsid w:val="768B5873"/>
    <w:rsid w:val="77157175"/>
    <w:rsid w:val="779C4CCB"/>
    <w:rsid w:val="785068AE"/>
    <w:rsid w:val="78AA2CB8"/>
    <w:rsid w:val="7A522D35"/>
    <w:rsid w:val="7A5C004E"/>
    <w:rsid w:val="7B26727D"/>
    <w:rsid w:val="7C052DD5"/>
    <w:rsid w:val="7C5D270E"/>
    <w:rsid w:val="7D763459"/>
    <w:rsid w:val="7D957E5F"/>
    <w:rsid w:val="7DB908FD"/>
    <w:rsid w:val="7E0A55B6"/>
    <w:rsid w:val="7E0C6852"/>
    <w:rsid w:val="7E5917AC"/>
    <w:rsid w:val="7EED2F47"/>
    <w:rsid w:val="7F0948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100" w:beforeLines="100" w:after="100" w:afterLines="100" w:line="600" w:lineRule="exact"/>
      <w:jc w:val="center"/>
      <w:outlineLvl w:val="0"/>
    </w:pPr>
    <w:rPr>
      <w:rFonts w:ascii="Calibri" w:hAnsi="Calibri" w:eastAsia="方正小标宋简体" w:cs="Times New Roman"/>
      <w:bCs/>
      <w:kern w:val="44"/>
      <w:sz w:val="28"/>
      <w:szCs w:val="44"/>
    </w:rPr>
  </w:style>
  <w:style w:type="paragraph" w:styleId="4">
    <w:name w:val="heading 2"/>
    <w:basedOn w:val="1"/>
    <w:next w:val="1"/>
    <w:link w:val="34"/>
    <w:unhideWhenUsed/>
    <w:qFormat/>
    <w:uiPriority w:val="9"/>
    <w:pPr>
      <w:keepNext/>
      <w:keepLines/>
      <w:spacing w:before="100" w:beforeLines="100" w:after="100" w:afterLines="100" w:line="576" w:lineRule="exact"/>
      <w:ind w:left="0" w:leftChars="0"/>
      <w:outlineLvl w:val="1"/>
    </w:pPr>
    <w:rPr>
      <w:rFonts w:eastAsia="方正黑体简体" w:asciiTheme="majorAscii" w:hAnsiTheme="majorAscii" w:cstheme="majorBidi"/>
      <w:bCs/>
      <w:sz w:val="28"/>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qFormat/>
    <w:uiPriority w:val="99"/>
    <w:pPr>
      <w:spacing w:line="580" w:lineRule="exact"/>
      <w:ind w:firstLine="420" w:firstLineChars="200"/>
    </w:pPr>
    <w:rPr>
      <w:rFonts w:ascii="Times New Roman" w:hAnsi="Times New Roman" w:eastAsia="方正仿宋简体" w:cs="Times New Roman"/>
      <w:sz w:val="32"/>
      <w:szCs w:val="20"/>
    </w:rPr>
  </w:style>
  <w:style w:type="paragraph" w:styleId="6">
    <w:name w:val="toc 7"/>
    <w:basedOn w:val="1"/>
    <w:next w:val="1"/>
    <w:unhideWhenUsed/>
    <w:qFormat/>
    <w:uiPriority w:val="39"/>
    <w:pPr>
      <w:ind w:left="2520" w:leftChars="1200"/>
    </w:pPr>
  </w:style>
  <w:style w:type="paragraph" w:styleId="7">
    <w:name w:val="List Number"/>
    <w:basedOn w:val="1"/>
    <w:qFormat/>
    <w:uiPriority w:val="0"/>
    <w:pPr>
      <w:numPr>
        <w:ilvl w:val="0"/>
        <w:numId w:val="1"/>
      </w:numPr>
    </w:pPr>
    <w:rPr>
      <w:rFonts w:ascii="Calibri" w:hAnsi="Calibri" w:eastAsia="宋体" w:cs="Times New Roman"/>
      <w:szCs w:val="20"/>
    </w:rPr>
  </w:style>
  <w:style w:type="paragraph" w:styleId="8">
    <w:name w:val="annotation text"/>
    <w:basedOn w:val="1"/>
    <w:link w:val="40"/>
    <w:unhideWhenUsed/>
    <w:qFormat/>
    <w:uiPriority w:val="99"/>
    <w:pPr>
      <w:jc w:val="left"/>
    </w:pPr>
  </w:style>
  <w:style w:type="paragraph" w:styleId="9">
    <w:name w:val="Body Text Indent"/>
    <w:basedOn w:val="1"/>
    <w:qFormat/>
    <w:uiPriority w:val="0"/>
    <w:pPr>
      <w:spacing w:line="360" w:lineRule="auto"/>
      <w:ind w:firstLine="560" w:firstLineChars="200"/>
    </w:pPr>
    <w:rPr>
      <w:rFonts w:ascii="Times New Roman" w:hAnsi="Times New Roman"/>
      <w:sz w:val="32"/>
      <w:szCs w:val="24"/>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ind w:left="840" w:leftChars="400"/>
    </w:pPr>
  </w:style>
  <w:style w:type="paragraph" w:styleId="12">
    <w:name w:val="Plain Text"/>
    <w:basedOn w:val="1"/>
    <w:unhideWhenUsed/>
    <w:qFormat/>
    <w:uiPriority w:val="99"/>
    <w:pPr>
      <w:ind w:firstLine="648" w:firstLineChars="200"/>
      <w:jc w:val="left"/>
    </w:pPr>
    <w:rPr>
      <w:rFonts w:ascii="方正黑体_GBK" w:hAnsi="Courier New" w:eastAsia="方正仿宋_GBK"/>
      <w:sz w:val="32"/>
      <w:szCs w:val="21"/>
    </w:rPr>
  </w:style>
  <w:style w:type="paragraph" w:styleId="13">
    <w:name w:val="toc 8"/>
    <w:basedOn w:val="1"/>
    <w:next w:val="1"/>
    <w:unhideWhenUsed/>
    <w:qFormat/>
    <w:uiPriority w:val="39"/>
    <w:pPr>
      <w:ind w:left="2940" w:leftChars="1400"/>
    </w:pPr>
  </w:style>
  <w:style w:type="paragraph" w:styleId="14">
    <w:name w:val="Balloon Text"/>
    <w:basedOn w:val="1"/>
    <w:link w:val="42"/>
    <w:unhideWhenUsed/>
    <w:qFormat/>
    <w:uiPriority w:val="99"/>
    <w:rPr>
      <w:sz w:val="18"/>
      <w:szCs w:val="18"/>
    </w:rPr>
  </w:style>
  <w:style w:type="paragraph" w:styleId="15">
    <w:name w:val="footer"/>
    <w:basedOn w:val="1"/>
    <w:link w:val="36"/>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296"/>
      </w:tabs>
    </w:pPr>
    <w:rPr>
      <w:rFonts w:ascii="Times New Roman" w:hAnsi="Times New Roman" w:eastAsia="仿宋" w:cs="Times New Roman"/>
      <w:b/>
      <w:bCs/>
    </w:rPr>
  </w:style>
  <w:style w:type="paragraph" w:styleId="18">
    <w:name w:val="toc 4"/>
    <w:basedOn w:val="1"/>
    <w:next w:val="1"/>
    <w:unhideWhenUsed/>
    <w:qFormat/>
    <w:uiPriority w:val="39"/>
    <w:pPr>
      <w:ind w:left="1260" w:leftChars="600"/>
    </w:pPr>
  </w:style>
  <w:style w:type="paragraph" w:styleId="19">
    <w:name w:val="toc 6"/>
    <w:basedOn w:val="1"/>
    <w:next w:val="1"/>
    <w:unhideWhenUsed/>
    <w:qFormat/>
    <w:uiPriority w:val="39"/>
    <w:pPr>
      <w:ind w:left="2100" w:leftChars="1000"/>
    </w:pPr>
  </w:style>
  <w:style w:type="paragraph" w:styleId="20">
    <w:name w:val="table of figures"/>
    <w:basedOn w:val="1"/>
    <w:next w:val="1"/>
    <w:qFormat/>
    <w:uiPriority w:val="0"/>
    <w:pPr>
      <w:ind w:left="200" w:leftChars="200" w:hanging="200" w:hangingChars="200"/>
    </w:pPr>
    <w:rPr>
      <w:rFonts w:ascii="Calibri" w:hAnsi="Calibri" w:eastAsia="宋体" w:cs="Times New Roman"/>
      <w:szCs w:val="20"/>
    </w:rPr>
  </w:style>
  <w:style w:type="paragraph" w:styleId="21">
    <w:name w:val="toc 2"/>
    <w:basedOn w:val="1"/>
    <w:next w:val="1"/>
    <w:unhideWhenUsed/>
    <w:qFormat/>
    <w:uiPriority w:val="39"/>
    <w:pPr>
      <w:tabs>
        <w:tab w:val="right" w:leader="dot" w:pos="8296"/>
      </w:tabs>
      <w:spacing w:line="360" w:lineRule="auto"/>
      <w:ind w:left="420" w:leftChars="200"/>
    </w:pPr>
    <w:rPr>
      <w:rFonts w:ascii="Times New Roman" w:hAnsi="Times New Roman" w:eastAsia="仿宋" w:cs="Times New Roman"/>
      <w:b/>
      <w:snapToGrid w:val="0"/>
      <w:kern w:val="0"/>
    </w:r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8"/>
    <w:next w:val="8"/>
    <w:link w:val="41"/>
    <w:unhideWhenUsed/>
    <w:qFormat/>
    <w:uiPriority w:val="99"/>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Hyperlink"/>
    <w:basedOn w:val="27"/>
    <w:unhideWhenUsed/>
    <w:qFormat/>
    <w:uiPriority w:val="99"/>
    <w:rPr>
      <w:color w:val="0000FF" w:themeColor="hyperlink"/>
      <w:u w:val="single"/>
    </w:rPr>
  </w:style>
  <w:style w:type="character" w:styleId="30">
    <w:name w:val="annotation reference"/>
    <w:basedOn w:val="27"/>
    <w:unhideWhenUsed/>
    <w:qFormat/>
    <w:uiPriority w:val="99"/>
    <w:rPr>
      <w:sz w:val="21"/>
      <w:szCs w:val="21"/>
    </w:rPr>
  </w:style>
  <w:style w:type="paragraph" w:customStyle="1" w:styleId="31">
    <w:name w:val="章标题"/>
    <w:basedOn w:val="1"/>
    <w:next w:val="32"/>
    <w:qFormat/>
    <w:uiPriority w:val="0"/>
    <w:pPr>
      <w:widowControl/>
      <w:spacing w:before="158" w:after="153" w:line="323" w:lineRule="atLeast"/>
      <w:ind w:right="-120"/>
      <w:jc w:val="center"/>
      <w:textAlignment w:val="baseline"/>
    </w:pPr>
    <w:rPr>
      <w:rFonts w:ascii="Calibri" w:hAnsi="Calibri" w:eastAsia="宋体" w:cs="Times New Roman"/>
      <w:color w:val="FF0000"/>
      <w:sz w:val="18"/>
      <w:szCs w:val="20"/>
    </w:rPr>
  </w:style>
  <w:style w:type="paragraph" w:customStyle="1" w:styleId="32">
    <w:name w:val="节标题"/>
    <w:basedOn w:val="1"/>
    <w:next w:val="1"/>
    <w:qFormat/>
    <w:uiPriority w:val="0"/>
    <w:pPr>
      <w:widowControl/>
      <w:spacing w:line="289" w:lineRule="atLeast"/>
      <w:jc w:val="center"/>
      <w:textAlignment w:val="baseline"/>
    </w:pPr>
    <w:rPr>
      <w:rFonts w:ascii="Calibri" w:hAnsi="Calibri" w:eastAsia="宋体" w:cs="Times New Roman"/>
      <w:color w:val="000000"/>
      <w:sz w:val="28"/>
      <w:szCs w:val="20"/>
    </w:rPr>
  </w:style>
  <w:style w:type="character" w:customStyle="1" w:styleId="33">
    <w:name w:val="标题 1 Char"/>
    <w:basedOn w:val="27"/>
    <w:link w:val="3"/>
    <w:qFormat/>
    <w:uiPriority w:val="9"/>
    <w:rPr>
      <w:rFonts w:ascii="Calibri" w:hAnsi="Calibri" w:eastAsia="方正小标宋简体" w:cs="Times New Roman"/>
      <w:bCs/>
      <w:kern w:val="44"/>
      <w:sz w:val="28"/>
      <w:szCs w:val="44"/>
    </w:rPr>
  </w:style>
  <w:style w:type="character" w:customStyle="1" w:styleId="34">
    <w:name w:val="标题 2 Char"/>
    <w:basedOn w:val="27"/>
    <w:link w:val="4"/>
    <w:qFormat/>
    <w:uiPriority w:val="9"/>
    <w:rPr>
      <w:rFonts w:eastAsia="方正黑体简体" w:asciiTheme="majorAscii" w:hAnsiTheme="majorAscii" w:cstheme="majorBidi"/>
      <w:bCs/>
      <w:sz w:val="28"/>
      <w:szCs w:val="32"/>
    </w:rPr>
  </w:style>
  <w:style w:type="character" w:customStyle="1" w:styleId="35">
    <w:name w:val="标题 3 Char"/>
    <w:basedOn w:val="27"/>
    <w:link w:val="5"/>
    <w:qFormat/>
    <w:uiPriority w:val="9"/>
    <w:rPr>
      <w:rFonts w:ascii="Calibri" w:hAnsi="Calibri" w:eastAsia="宋体" w:cs="Times New Roman"/>
      <w:b/>
      <w:bCs/>
      <w:sz w:val="32"/>
      <w:szCs w:val="32"/>
    </w:rPr>
  </w:style>
  <w:style w:type="character" w:customStyle="1" w:styleId="36">
    <w:name w:val="页脚 Char"/>
    <w:basedOn w:val="27"/>
    <w:link w:val="15"/>
    <w:qFormat/>
    <w:uiPriority w:val="99"/>
    <w:rPr>
      <w:sz w:val="18"/>
      <w:szCs w:val="18"/>
    </w:rPr>
  </w:style>
  <w:style w:type="character" w:customStyle="1" w:styleId="37">
    <w:name w:val="页眉 Char"/>
    <w:basedOn w:val="27"/>
    <w:link w:val="16"/>
    <w:qFormat/>
    <w:uiPriority w:val="99"/>
    <w:rPr>
      <w:sz w:val="18"/>
      <w:szCs w:val="18"/>
    </w:rPr>
  </w:style>
  <w:style w:type="paragraph" w:customStyle="1" w:styleId="38">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9">
    <w:name w:val="列出段落1"/>
    <w:basedOn w:val="1"/>
    <w:qFormat/>
    <w:uiPriority w:val="34"/>
    <w:pPr>
      <w:ind w:firstLine="420" w:firstLineChars="200"/>
    </w:pPr>
  </w:style>
  <w:style w:type="character" w:customStyle="1" w:styleId="40">
    <w:name w:val="批注文字 Char"/>
    <w:basedOn w:val="27"/>
    <w:link w:val="8"/>
    <w:semiHidden/>
    <w:qFormat/>
    <w:uiPriority w:val="99"/>
  </w:style>
  <w:style w:type="character" w:customStyle="1" w:styleId="41">
    <w:name w:val="批注主题 Char"/>
    <w:basedOn w:val="40"/>
    <w:link w:val="24"/>
    <w:semiHidden/>
    <w:qFormat/>
    <w:uiPriority w:val="99"/>
    <w:rPr>
      <w:b/>
      <w:bCs/>
    </w:rPr>
  </w:style>
  <w:style w:type="character" w:customStyle="1" w:styleId="42">
    <w:name w:val="批注框文本 Char"/>
    <w:basedOn w:val="27"/>
    <w:link w:val="14"/>
    <w:semiHidden/>
    <w:qFormat/>
    <w:uiPriority w:val="99"/>
    <w:rPr>
      <w:sz w:val="18"/>
      <w:szCs w:val="18"/>
    </w:rPr>
  </w:style>
  <w:style w:type="character" w:customStyle="1" w:styleId="43">
    <w:name w:val="fontstyle01"/>
    <w:basedOn w:val="27"/>
    <w:qFormat/>
    <w:uiPriority w:val="0"/>
    <w:rPr>
      <w:rFonts w:hint="eastAsia" w:ascii="仿宋_GB2312" w:eastAsia="仿宋_GB2312"/>
      <w:color w:val="000000"/>
      <w:sz w:val="28"/>
      <w:szCs w:val="28"/>
    </w:rPr>
  </w:style>
  <w:style w:type="paragraph" w:customStyle="1" w:styleId="4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66091" w:themeColor="accent1" w:themeShade="BF"/>
      <w:kern w:val="0"/>
      <w:sz w:val="32"/>
      <w:szCs w:val="32"/>
    </w:rPr>
  </w:style>
  <w:style w:type="character" w:customStyle="1" w:styleId="45">
    <w:name w:val="Unresolved Mention"/>
    <w:basedOn w:val="27"/>
    <w:unhideWhenUsed/>
    <w:qFormat/>
    <w:uiPriority w:val="99"/>
    <w:rPr>
      <w:color w:val="605E5C"/>
      <w:shd w:val="clear" w:color="auto" w:fill="E1DFDD"/>
    </w:rPr>
  </w:style>
  <w:style w:type="table" w:customStyle="1" w:styleId="46">
    <w:name w:val="网格型1"/>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AE62D4-C6B6-406C-8404-40C65388891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51550</Words>
  <Characters>52424</Characters>
  <Lines>404</Lines>
  <Paragraphs>113</Paragraphs>
  <TotalTime>8</TotalTime>
  <ScaleCrop>false</ScaleCrop>
  <LinksUpToDate>false</LinksUpToDate>
  <CharactersWithSpaces>54371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2021-01-06T14:47:00Z</dcterms:created>
  <dc:creator>LENOVO</dc:creator>
  <cp:lastModifiedBy>周政</cp:lastModifiedBy>
  <cp:lastPrinted>2021-01-28T02:34:00Z</cp:lastPrinted>
  <dcterms:modified xsi:type="dcterms:W3CDTF">2021-08-23T07:13:34Z</dcterms:modified>
  <cp:revision>924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199404686_cloud</vt:lpwstr>
  </property>
  <property fmtid="{D5CDD505-2E9C-101B-9397-08002B2CF9AE}" pid="4" name="ICV">
    <vt:lpwstr>96A01F05CC464665B2125F3DFFA198EA</vt:lpwstr>
  </property>
</Properties>
</file>