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Times New Roman" w:hAnsi="Times New Roman" w:eastAsia="方正小标宋简体" w:cs="Times New Roman"/>
          <w:color w:val="auto"/>
          <w:sz w:val="72"/>
          <w:szCs w:val="72"/>
          <w:highlight w:val="none"/>
        </w:rPr>
      </w:pPr>
      <w:bookmarkStart w:id="0" w:name="_Toc15396597"/>
      <w:bookmarkStart w:id="1" w:name="_Toc15377425"/>
      <w:bookmarkStart w:id="2" w:name="_Toc15378441"/>
      <w:bookmarkStart w:id="3" w:name="_Toc15377193"/>
      <w:bookmarkStart w:id="4" w:name="_Toc15396475"/>
      <w:bookmarkStart w:id="5" w:name="_Toc15306267"/>
    </w:p>
    <w:p>
      <w:pPr>
        <w:spacing w:line="600" w:lineRule="exact"/>
        <w:jc w:val="center"/>
        <w:outlineLvl w:val="0"/>
        <w:rPr>
          <w:rFonts w:hint="default" w:ascii="Times New Roman" w:hAnsi="Times New Roman" w:eastAsia="方正小标宋简体" w:cs="Times New Roman"/>
          <w:color w:val="auto"/>
          <w:sz w:val="72"/>
          <w:szCs w:val="72"/>
          <w:highlight w:val="none"/>
        </w:rPr>
      </w:pPr>
    </w:p>
    <w:p>
      <w:pPr>
        <w:spacing w:line="600" w:lineRule="exact"/>
        <w:jc w:val="center"/>
        <w:outlineLvl w:val="0"/>
        <w:rPr>
          <w:rFonts w:hint="default" w:ascii="Times New Roman" w:hAnsi="Times New Roman" w:eastAsia="方正小标宋简体" w:cs="Times New Roman"/>
          <w:color w:val="auto"/>
          <w:sz w:val="72"/>
          <w:szCs w:val="72"/>
          <w:highlight w:val="none"/>
        </w:rPr>
      </w:pPr>
    </w:p>
    <w:p>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rPr>
      </w:pPr>
      <w:r>
        <w:rPr>
          <w:rFonts w:hint="default" w:ascii="Times New Roman" w:hAnsi="Times New Roman" w:eastAsia="方正小标宋简体" w:cs="Times New Roman"/>
          <w:color w:val="auto"/>
          <w:sz w:val="72"/>
          <w:szCs w:val="72"/>
          <w:highlight w:val="none"/>
        </w:rPr>
        <w:t>20</w:t>
      </w:r>
      <w:r>
        <w:rPr>
          <w:rFonts w:hint="default" w:ascii="Times New Roman" w:hAnsi="Times New Roman" w:eastAsia="方正小标宋简体" w:cs="Times New Roman"/>
          <w:color w:val="auto"/>
          <w:sz w:val="72"/>
          <w:szCs w:val="72"/>
          <w:highlight w:val="none"/>
          <w:lang w:val="en-US" w:eastAsia="zh-CN"/>
        </w:rPr>
        <w:t>22</w:t>
      </w:r>
      <w:r>
        <w:rPr>
          <w:rFonts w:hint="default" w:ascii="Times New Roman" w:hAnsi="Times New Roman" w:eastAsia="方正小标宋简体" w:cs="Times New Roman"/>
          <w:color w:val="auto"/>
          <w:sz w:val="72"/>
          <w:szCs w:val="72"/>
          <w:highlight w:val="none"/>
        </w:rPr>
        <w:t>年度</w:t>
      </w:r>
      <w:bookmarkEnd w:id="0"/>
      <w:bookmarkEnd w:id="1"/>
      <w:bookmarkEnd w:id="2"/>
      <w:bookmarkEnd w:id="3"/>
      <w:bookmarkEnd w:id="4"/>
    </w:p>
    <w:bookmarkEnd w:id="5"/>
    <w:p>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lang w:eastAsia="zh-CN"/>
        </w:rPr>
      </w:pPr>
      <w:r>
        <w:rPr>
          <w:rFonts w:hint="default" w:ascii="Times New Roman" w:hAnsi="Times New Roman" w:eastAsia="方正小标宋简体" w:cs="Times New Roman"/>
          <w:color w:val="auto"/>
          <w:sz w:val="72"/>
          <w:szCs w:val="72"/>
          <w:highlight w:val="none"/>
        </w:rPr>
        <w:t>中国共产党遂宁市安居区纪律检查委员会</w:t>
      </w:r>
      <w:r>
        <w:rPr>
          <w:rFonts w:hint="default" w:ascii="Times New Roman" w:hAnsi="Times New Roman" w:eastAsia="方正小标宋简体" w:cs="Times New Roman"/>
          <w:color w:val="auto"/>
          <w:sz w:val="72"/>
          <w:szCs w:val="72"/>
          <w:highlight w:val="none"/>
          <w:lang w:eastAsia="zh-CN"/>
        </w:rPr>
        <w:t>决算公开说明</w:t>
      </w:r>
    </w:p>
    <w:p>
      <w:pPr>
        <w:widowControl/>
        <w:jc w:val="center"/>
        <w:rPr>
          <w:rFonts w:hint="default" w:ascii="Times New Roman" w:hAnsi="Times New Roman" w:eastAsia="黑体" w:cs="Times New Roman"/>
          <w:color w:val="auto"/>
          <w:sz w:val="28"/>
          <w:szCs w:val="28"/>
          <w:highlight w:val="yellow"/>
        </w:rPr>
      </w:pPr>
      <w:r>
        <w:rPr>
          <w:rFonts w:hint="default" w:ascii="Times New Roman" w:hAnsi="Times New Roman" w:eastAsia="方正小标宋简体" w:cs="Times New Roman"/>
          <w:color w:val="auto"/>
          <w:sz w:val="36"/>
          <w:szCs w:val="36"/>
          <w:highlight w:val="none"/>
        </w:rPr>
        <w:br w:type="page"/>
      </w:r>
      <w:r>
        <w:rPr>
          <w:rFonts w:hint="default" w:ascii="Times New Roman" w:hAnsi="Times New Roman" w:eastAsia="黑体" w:cs="Times New Roman"/>
          <w:color w:val="auto"/>
          <w:sz w:val="48"/>
          <w:szCs w:val="48"/>
          <w:highlight w:val="none"/>
        </w:rPr>
        <w:t>目录</w:t>
      </w:r>
    </w:p>
    <w:p>
      <w:pPr>
        <w:pStyle w:val="11"/>
        <w:rPr>
          <w:rFonts w:hint="default" w:ascii="Times New Roman" w:hAnsi="Times New Roman" w:cs="Times New Roman"/>
          <w:color w:val="auto"/>
          <w:highlight w:val="none"/>
        </w:rPr>
      </w:pPr>
      <w:r>
        <w:rPr>
          <w:rFonts w:hint="default" w:ascii="Times New Roman" w:hAnsi="Times New Roman" w:cs="Times New Roman"/>
          <w:color w:val="auto"/>
          <w:highlight w:val="none"/>
        </w:rPr>
        <w:t>公开时间：20</w:t>
      </w:r>
      <w:r>
        <w:rPr>
          <w:rFonts w:hint="default" w:ascii="Times New Roman" w:hAnsi="Times New Roman" w:cs="Times New Roman"/>
          <w:color w:val="auto"/>
          <w:highlight w:val="none"/>
          <w:lang w:val="en-US" w:eastAsia="zh-CN"/>
        </w:rPr>
        <w:t>23</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月</w:t>
      </w:r>
      <w:r>
        <w:rPr>
          <w:rFonts w:hint="default" w:ascii="Times New Roman" w:hAnsi="Times New Roman" w:cs="Times New Roman"/>
          <w:color w:val="auto"/>
          <w:highlight w:val="none"/>
          <w:lang w:val="en-US" w:eastAsia="zh-CN"/>
        </w:rPr>
        <w:t>25</w:t>
      </w:r>
      <w:r>
        <w:rPr>
          <w:rFonts w:hint="default" w:ascii="Times New Roman" w:hAnsi="Times New Roman" w:cs="Times New Roman"/>
          <w:color w:val="auto"/>
          <w:highlight w:val="none"/>
        </w:rPr>
        <w:t>日</w:t>
      </w:r>
    </w:p>
    <w:p>
      <w:pPr>
        <w:rPr>
          <w:rFonts w:hint="default" w:ascii="Times New Roman" w:hAnsi="Times New Roman" w:cs="Times New Roman"/>
          <w:color w:val="auto"/>
          <w:highlight w:val="none"/>
        </w:rPr>
      </w:pPr>
    </w:p>
    <w:p>
      <w:pPr>
        <w:pStyle w:val="11"/>
        <w:adjustRightInd w:val="0"/>
        <w:snapToGrid w:val="0"/>
        <w:spacing w:before="0" w:line="440" w:lineRule="exact"/>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cs="Times New Roman"/>
          <w:color w:val="auto"/>
          <w:sz w:val="24"/>
          <w:highlight w:val="none"/>
        </w:rPr>
        <w:t>第一部分 部门概况………………………………………………………………</w:t>
      </w:r>
      <w:r>
        <w:rPr>
          <w:rFonts w:hint="eastAsia" w:ascii="Times New Roman" w:hAnsi="Times New Roman" w:cs="Times New Roman"/>
          <w:color w:val="auto"/>
          <w:sz w:val="24"/>
          <w:highlight w:val="none"/>
          <w:lang w:val="en-US" w:eastAsia="zh-CN"/>
        </w:rPr>
        <w:t>....4</w:t>
      </w:r>
    </w:p>
    <w:p>
      <w:pPr>
        <w:pStyle w:val="12"/>
        <w:adjustRightInd w:val="0"/>
        <w:snapToGrid w:val="0"/>
        <w:spacing w:line="440" w:lineRule="exact"/>
        <w:jc w:val="left"/>
        <w:rPr>
          <w:rFonts w:hint="default" w:ascii="Times New Roman" w:hAnsi="Times New Roman" w:eastAsia="仿宋" w:cs="Times New Roman"/>
          <w:color w:val="auto"/>
          <w:sz w:val="24"/>
          <w:highlight w:val="none"/>
          <w:lang w:val="en-US"/>
        </w:rPr>
      </w:pPr>
      <w:r>
        <w:rPr>
          <w:rFonts w:hint="default" w:ascii="Times New Roman" w:hAnsi="Times New Roman" w:cs="Times New Roman"/>
          <w:color w:val="auto"/>
          <w:sz w:val="24"/>
          <w:highlight w:val="none"/>
        </w:rPr>
        <w:t>一、</w:t>
      </w:r>
      <w:r>
        <w:rPr>
          <w:rFonts w:hint="default" w:ascii="Times New Roman" w:hAnsi="Times New Roman" w:cs="Times New Roman"/>
          <w:color w:val="auto"/>
          <w:sz w:val="24"/>
          <w:highlight w:val="none"/>
          <w:lang w:eastAsia="zh-CN"/>
        </w:rPr>
        <w:t>部门职责</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........4</w:t>
      </w:r>
    </w:p>
    <w:p>
      <w:pPr>
        <w:pStyle w:val="12"/>
        <w:adjustRightInd w:val="0"/>
        <w:snapToGrid w:val="0"/>
        <w:spacing w:line="440" w:lineRule="exact"/>
        <w:jc w:val="left"/>
        <w:rPr>
          <w:rFonts w:hint="default" w:ascii="Times New Roman" w:hAnsi="Times New Roman" w:eastAsia="仿宋" w:cs="Times New Roman"/>
          <w:color w:val="auto"/>
          <w:sz w:val="24"/>
          <w:highlight w:val="none"/>
          <w:lang w:val="en-US"/>
        </w:rPr>
      </w:pPr>
      <w:r>
        <w:rPr>
          <w:rFonts w:hint="default" w:ascii="Times New Roman" w:hAnsi="Times New Roman" w:cs="Times New Roman"/>
          <w:color w:val="auto"/>
          <w:sz w:val="24"/>
          <w:highlight w:val="none"/>
        </w:rPr>
        <w:t>二、机构设置………………………………………………………………</w:t>
      </w:r>
      <w:r>
        <w:rPr>
          <w:rFonts w:hint="eastAsia" w:ascii="Times New Roman" w:hAnsi="Times New Roman" w:cs="Times New Roman"/>
          <w:color w:val="auto"/>
          <w:sz w:val="24"/>
          <w:highlight w:val="none"/>
          <w:lang w:val="en-US" w:eastAsia="zh-CN"/>
        </w:rPr>
        <w:t>........4</w:t>
      </w:r>
    </w:p>
    <w:p>
      <w:pPr>
        <w:pStyle w:val="11"/>
        <w:adjustRightInd w:val="0"/>
        <w:snapToGrid w:val="0"/>
        <w:spacing w:before="0" w:line="440" w:lineRule="exac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第二部分</w:t>
      </w:r>
      <w:r>
        <w:rPr>
          <w:rFonts w:hint="default" w:ascii="Times New Roman" w:hAnsi="Times New Roman" w:cs="Times New Roman"/>
          <w:color w:val="auto"/>
          <w:sz w:val="24"/>
          <w:highlight w:val="none"/>
          <w:lang w:val="en-US" w:eastAsia="zh-CN"/>
        </w:rPr>
        <w:t xml:space="preserve"> 2022年度</w:t>
      </w:r>
      <w:r>
        <w:rPr>
          <w:rFonts w:hint="default" w:ascii="Times New Roman" w:hAnsi="Times New Roman" w:cs="Times New Roman"/>
          <w:color w:val="auto"/>
          <w:sz w:val="24"/>
          <w:highlight w:val="none"/>
        </w:rPr>
        <w:t>部门决算情况说明………………………………………</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5</w:t>
      </w:r>
    </w:p>
    <w:p>
      <w:pPr>
        <w:pStyle w:val="12"/>
        <w:adjustRightInd w:val="0"/>
        <w:snapToGrid w:val="0"/>
        <w:spacing w:line="440" w:lineRule="exact"/>
        <w:jc w:val="left"/>
        <w:rPr>
          <w:rFonts w:hint="default" w:ascii="Times New Roman" w:hAnsi="Times New Roman" w:eastAsia="仿宋" w:cs="Times New Roman"/>
          <w:color w:val="auto"/>
          <w:sz w:val="24"/>
          <w:highlight w:val="none"/>
        </w:rPr>
      </w:pPr>
      <w:r>
        <w:rPr>
          <w:rFonts w:hint="default" w:ascii="Times New Roman" w:hAnsi="Times New Roman" w:cs="Times New Roman"/>
          <w:color w:val="auto"/>
          <w:sz w:val="24"/>
          <w:highlight w:val="none"/>
        </w:rPr>
        <w:t>一、收入支出决算总体情况</w:t>
      </w:r>
      <w:r>
        <w:rPr>
          <w:rFonts w:hint="eastAsia" w:ascii="Times New Roman" w:hAnsi="Times New Roman" w:cs="Times New Roman"/>
          <w:color w:val="auto"/>
          <w:sz w:val="24"/>
          <w:highlight w:val="none"/>
          <w:lang w:eastAsia="zh-CN"/>
        </w:rPr>
        <w:t>说</w:t>
      </w:r>
      <w:r>
        <w:rPr>
          <w:rFonts w:hint="default" w:ascii="Times New Roman" w:hAnsi="Times New Roman" w:cs="Times New Roman"/>
          <w:color w:val="auto"/>
          <w:sz w:val="24"/>
          <w:highlight w:val="none"/>
        </w:rPr>
        <w:t>明………………………………………………</w:t>
      </w:r>
      <w:r>
        <w:rPr>
          <w:rFonts w:hint="eastAsia" w:ascii="Times New Roman" w:hAnsi="Times New Roman" w:cs="Times New Roman"/>
          <w:color w:val="auto"/>
          <w:sz w:val="24"/>
          <w:highlight w:val="none"/>
          <w:lang w:val="en-US" w:eastAsia="zh-CN"/>
        </w:rPr>
        <w:t>5</w:t>
      </w:r>
    </w:p>
    <w:p>
      <w:pPr>
        <w:pStyle w:val="12"/>
        <w:adjustRightInd w:val="0"/>
        <w:snapToGrid w:val="0"/>
        <w:spacing w:line="440" w:lineRule="exact"/>
        <w:jc w:val="left"/>
        <w:rPr>
          <w:rFonts w:hint="default" w:ascii="Times New Roman" w:hAnsi="Times New Roman" w:eastAsia="仿宋" w:cs="Times New Roman"/>
          <w:color w:val="auto"/>
          <w:sz w:val="24"/>
          <w:highlight w:val="none"/>
        </w:rPr>
      </w:pPr>
      <w:r>
        <w:rPr>
          <w:rFonts w:hint="default" w:ascii="Times New Roman" w:hAnsi="Times New Roman" w:cs="Times New Roman"/>
          <w:color w:val="auto"/>
          <w:sz w:val="24"/>
          <w:highlight w:val="none"/>
        </w:rPr>
        <w:t>二、收入决算情况说明…………………………………………………</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.......5</w:t>
      </w:r>
    </w:p>
    <w:p>
      <w:pPr>
        <w:pStyle w:val="12"/>
        <w:adjustRightInd w:val="0"/>
        <w:snapToGrid w:val="0"/>
        <w:spacing w:line="440" w:lineRule="exact"/>
        <w:jc w:val="left"/>
        <w:rPr>
          <w:rFonts w:hint="default" w:ascii="Times New Roman" w:hAnsi="Times New Roman" w:eastAsia="仿宋" w:cs="Times New Roman"/>
          <w:color w:val="auto"/>
          <w:sz w:val="24"/>
          <w:highlight w:val="none"/>
        </w:rPr>
      </w:pPr>
      <w:r>
        <w:rPr>
          <w:rFonts w:hint="default" w:ascii="Times New Roman" w:hAnsi="Times New Roman" w:cs="Times New Roman"/>
          <w:color w:val="auto"/>
          <w:sz w:val="24"/>
          <w:highlight w:val="none"/>
        </w:rPr>
        <w:t>三、支出决算情况说明…………………………………………………………</w:t>
      </w:r>
      <w:r>
        <w:rPr>
          <w:rFonts w:hint="eastAsia" w:ascii="Times New Roman" w:hAnsi="Times New Roman" w:cs="Times New Roman"/>
          <w:color w:val="auto"/>
          <w:sz w:val="24"/>
          <w:highlight w:val="none"/>
          <w:lang w:val="en-US" w:eastAsia="zh-CN"/>
        </w:rPr>
        <w:t>.6</w:t>
      </w:r>
    </w:p>
    <w:p>
      <w:pPr>
        <w:pStyle w:val="12"/>
        <w:adjustRightInd w:val="0"/>
        <w:snapToGrid w:val="0"/>
        <w:spacing w:line="440" w:lineRule="exact"/>
        <w:jc w:val="left"/>
        <w:rPr>
          <w:rFonts w:hint="default" w:ascii="Times New Roman" w:hAnsi="Times New Roman" w:eastAsia="仿宋" w:cs="Times New Roman"/>
          <w:color w:val="auto"/>
          <w:sz w:val="24"/>
          <w:highlight w:val="none"/>
          <w:lang w:val="en-US"/>
        </w:rPr>
      </w:pPr>
      <w:r>
        <w:rPr>
          <w:rFonts w:hint="default" w:ascii="Times New Roman" w:hAnsi="Times New Roman" w:cs="Times New Roman"/>
          <w:color w:val="auto"/>
          <w:sz w:val="24"/>
          <w:highlight w:val="none"/>
        </w:rPr>
        <w:t>四、财政拨款收入支出决算总体情况说明…………………………………</w:t>
      </w:r>
      <w:r>
        <w:rPr>
          <w:rFonts w:hint="eastAsia" w:ascii="Times New Roman" w:hAnsi="Times New Roman" w:cs="Times New Roman"/>
          <w:color w:val="auto"/>
          <w:sz w:val="24"/>
          <w:highlight w:val="none"/>
          <w:lang w:val="en-US" w:eastAsia="zh-CN"/>
        </w:rPr>
        <w:t>....6</w:t>
      </w:r>
    </w:p>
    <w:p>
      <w:pPr>
        <w:pStyle w:val="12"/>
        <w:adjustRightInd w:val="0"/>
        <w:snapToGrid w:val="0"/>
        <w:spacing w:line="440" w:lineRule="exact"/>
        <w:jc w:val="left"/>
        <w:rPr>
          <w:rFonts w:hint="default" w:ascii="Times New Roman" w:hAnsi="Times New Roman" w:eastAsia="仿宋" w:cs="Times New Roman"/>
          <w:color w:val="auto"/>
          <w:sz w:val="24"/>
          <w:highlight w:val="none"/>
          <w:lang w:val="en-US"/>
        </w:rPr>
      </w:pPr>
      <w:r>
        <w:rPr>
          <w:rFonts w:hint="default" w:ascii="Times New Roman" w:hAnsi="Times New Roman" w:cs="Times New Roman"/>
          <w:color w:val="auto"/>
          <w:sz w:val="24"/>
          <w:highlight w:val="none"/>
        </w:rPr>
        <w:t>五、一般公共预算财政拨款支出决算情况说明……………………………</w:t>
      </w:r>
      <w:r>
        <w:rPr>
          <w:rFonts w:hint="eastAsia" w:ascii="Times New Roman" w:hAnsi="Times New Roman" w:cs="Times New Roman"/>
          <w:color w:val="auto"/>
          <w:sz w:val="24"/>
          <w:highlight w:val="none"/>
          <w:lang w:val="en-US" w:eastAsia="zh-CN"/>
        </w:rPr>
        <w:t>....7</w:t>
      </w:r>
    </w:p>
    <w:p>
      <w:pPr>
        <w:pStyle w:val="12"/>
        <w:adjustRightInd w:val="0"/>
        <w:snapToGrid w:val="0"/>
        <w:spacing w:line="440" w:lineRule="exact"/>
        <w:jc w:val="left"/>
        <w:rPr>
          <w:rFonts w:hint="default" w:ascii="Times New Roman" w:hAnsi="Times New Roman" w:eastAsia="仿宋" w:cs="Times New Roman"/>
          <w:color w:val="auto"/>
          <w:sz w:val="24"/>
          <w:highlight w:val="none"/>
          <w:lang w:val="en-US"/>
        </w:rPr>
      </w:pPr>
      <w:r>
        <w:rPr>
          <w:rFonts w:hint="default" w:ascii="Times New Roman" w:hAnsi="Times New Roman" w:cs="Times New Roman"/>
          <w:color w:val="auto"/>
          <w:sz w:val="24"/>
          <w:highlight w:val="none"/>
        </w:rPr>
        <w:t>六、一般公共预算财政拨款基本支出决算情况说明………………………</w:t>
      </w:r>
      <w:r>
        <w:rPr>
          <w:rFonts w:hint="eastAsia" w:ascii="Times New Roman" w:hAnsi="Times New Roman" w:cs="Times New Roman"/>
          <w:color w:val="auto"/>
          <w:sz w:val="24"/>
          <w:highlight w:val="none"/>
          <w:lang w:val="en-US" w:eastAsia="zh-CN"/>
        </w:rPr>
        <w:t>...10</w:t>
      </w:r>
    </w:p>
    <w:p>
      <w:pPr>
        <w:pStyle w:val="12"/>
        <w:adjustRightInd w:val="0"/>
        <w:snapToGrid w:val="0"/>
        <w:spacing w:line="440" w:lineRule="exact"/>
        <w:jc w:val="left"/>
        <w:rPr>
          <w:rFonts w:hint="default" w:ascii="Times New Roman" w:hAnsi="Times New Roman" w:eastAsia="仿宋" w:cs="Times New Roman"/>
          <w:color w:val="auto"/>
          <w:sz w:val="24"/>
          <w:highlight w:val="none"/>
        </w:rPr>
      </w:pPr>
      <w:r>
        <w:rPr>
          <w:rFonts w:hint="default" w:ascii="Times New Roman" w:hAnsi="Times New Roman" w:cs="Times New Roman"/>
          <w:color w:val="auto"/>
          <w:sz w:val="24"/>
          <w:highlight w:val="none"/>
        </w:rPr>
        <w:t>七、财政拨款</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三公”经费支出决算情况说明……………………</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...10</w:t>
      </w:r>
    </w:p>
    <w:p>
      <w:pPr>
        <w:pStyle w:val="12"/>
        <w:adjustRightInd w:val="0"/>
        <w:snapToGrid w:val="0"/>
        <w:spacing w:line="440" w:lineRule="exact"/>
        <w:jc w:val="left"/>
        <w:rPr>
          <w:rFonts w:hint="default" w:ascii="Times New Roman" w:hAnsi="Times New Roman" w:eastAsia="仿宋" w:cs="Times New Roman"/>
          <w:color w:val="auto"/>
          <w:sz w:val="24"/>
          <w:highlight w:val="none"/>
        </w:rPr>
      </w:pPr>
      <w:r>
        <w:rPr>
          <w:rFonts w:hint="default" w:ascii="Times New Roman" w:hAnsi="Times New Roman" w:cs="Times New Roman"/>
          <w:color w:val="auto"/>
          <w:sz w:val="24"/>
          <w:highlight w:val="none"/>
        </w:rPr>
        <w:t>八、政府性基金预算支出决算情况说明……………………</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...12</w:t>
      </w:r>
    </w:p>
    <w:p>
      <w:pPr>
        <w:pStyle w:val="12"/>
        <w:adjustRightInd w:val="0"/>
        <w:snapToGrid w:val="0"/>
        <w:spacing w:line="440" w:lineRule="exact"/>
        <w:ind w:leftChars="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九、</w:t>
      </w:r>
      <w:r>
        <w:rPr>
          <w:rFonts w:hint="default" w:ascii="Times New Roman" w:hAnsi="Times New Roman" w:cs="Times New Roman" w:eastAsiaTheme="minorEastAsia"/>
          <w:color w:val="auto"/>
          <w:sz w:val="24"/>
          <w:highlight w:val="none"/>
          <w:lang w:eastAsia="zh-CN"/>
        </w:rPr>
        <w:t>国</w:t>
      </w:r>
      <w:r>
        <w:rPr>
          <w:rFonts w:hint="default" w:ascii="Times New Roman" w:hAnsi="Times New Roman" w:cs="Times New Roman" w:eastAsiaTheme="minorEastAsia"/>
          <w:color w:val="auto"/>
          <w:sz w:val="24"/>
          <w:highlight w:val="none"/>
        </w:rPr>
        <w:t>有资本经营预算支出决算情况说明</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...12</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Times New Roman" w:hAnsi="Times New Roman" w:cs="Times New Roman" w:eastAsiaTheme="minorEastAsia"/>
          <w:color w:val="auto"/>
          <w:sz w:val="24"/>
          <w:highlight w:val="none"/>
          <w:lang w:val="en-US"/>
        </w:rPr>
      </w:pPr>
      <w:r>
        <w:rPr>
          <w:rStyle w:val="17"/>
          <w:rFonts w:hint="default" w:ascii="Times New Roman" w:hAnsi="Times New Roman" w:cs="Times New Roman" w:eastAsiaTheme="minorEastAsia"/>
          <w:color w:val="auto"/>
          <w:sz w:val="24"/>
          <w:highlight w:val="none"/>
          <w:u w:val="none"/>
          <w:lang w:eastAsia="zh-CN"/>
        </w:rPr>
        <w:t>十</w:t>
      </w:r>
      <w:r>
        <w:rPr>
          <w:rStyle w:val="17"/>
          <w:rFonts w:hint="default" w:ascii="Times New Roman" w:hAnsi="Times New Roman" w:cs="Times New Roman" w:eastAsiaTheme="minorEastAsia"/>
          <w:color w:val="auto"/>
          <w:sz w:val="24"/>
          <w:highlight w:val="none"/>
          <w:u w:val="none"/>
        </w:rPr>
        <w:t>、</w:t>
      </w:r>
      <w:r>
        <w:rPr>
          <w:rFonts w:hint="default" w:ascii="Times New Roman" w:hAnsi="Times New Roman" w:cs="Times New Roman" w:eastAsiaTheme="minorEastAsia"/>
          <w:color w:val="auto"/>
          <w:sz w:val="24"/>
          <w:highlight w:val="none"/>
        </w:rPr>
        <w:t>其他重要事项的情况说明</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..........................13</w:t>
      </w:r>
    </w:p>
    <w:p>
      <w:pPr>
        <w:pStyle w:val="11"/>
        <w:adjustRightInd w:val="0"/>
        <w:snapToGrid w:val="0"/>
        <w:spacing w:before="0" w:line="440" w:lineRule="exac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第三部分 名词解释……………………</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..................................................15</w:t>
      </w:r>
    </w:p>
    <w:p>
      <w:pPr>
        <w:pStyle w:val="11"/>
        <w:adjustRightInd w:val="0"/>
        <w:snapToGrid w:val="0"/>
        <w:spacing w:before="0" w:line="440" w:lineRule="exact"/>
        <w:jc w:val="left"/>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highlight w:val="none"/>
        </w:rPr>
        <w:t>第四部分 附件……………………</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..........................................................18</w:t>
      </w:r>
    </w:p>
    <w:p>
      <w:pPr>
        <w:pStyle w:val="11"/>
        <w:adjustRightInd w:val="0"/>
        <w:snapToGrid w:val="0"/>
        <w:spacing w:before="0" w:line="440" w:lineRule="exact"/>
        <w:jc w:val="left"/>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highlight w:val="none"/>
        </w:rPr>
        <w:t>第五部分 附表……………………</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..........................................................30</w:t>
      </w:r>
    </w:p>
    <w:p>
      <w:pPr>
        <w:pStyle w:val="12"/>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一、收入支出决算总表</w:t>
      </w:r>
    </w:p>
    <w:p>
      <w:pPr>
        <w:pStyle w:val="12"/>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二、收入决算表</w:t>
      </w:r>
    </w:p>
    <w:p>
      <w:pPr>
        <w:pStyle w:val="12"/>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三、支出决算表</w:t>
      </w:r>
    </w:p>
    <w:p>
      <w:pPr>
        <w:pStyle w:val="12"/>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四、财政拨款收入支出决算总表</w:t>
      </w:r>
    </w:p>
    <w:p>
      <w:pPr>
        <w:pStyle w:val="12"/>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五、财政拨款支出决算明细表</w:t>
      </w:r>
    </w:p>
    <w:p>
      <w:pPr>
        <w:pStyle w:val="12"/>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六、一般公共预算财政拨款支出决算表</w:t>
      </w:r>
    </w:p>
    <w:p>
      <w:pPr>
        <w:pStyle w:val="12"/>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七、一般公共预算财政拨款支出决算明细表</w:t>
      </w:r>
    </w:p>
    <w:p>
      <w:pPr>
        <w:pStyle w:val="12"/>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八、一般公共预算财政拨款基本支出决算</w:t>
      </w:r>
      <w:r>
        <w:rPr>
          <w:rFonts w:hint="default" w:ascii="Times New Roman" w:hAnsi="Times New Roman" w:cs="Times New Roman"/>
          <w:color w:val="auto"/>
          <w:sz w:val="24"/>
          <w:highlight w:val="none"/>
          <w:lang w:eastAsia="zh-CN"/>
        </w:rPr>
        <w:t>明细</w:t>
      </w:r>
      <w:r>
        <w:rPr>
          <w:rFonts w:hint="default" w:ascii="Times New Roman" w:hAnsi="Times New Roman" w:cs="Times New Roman"/>
          <w:color w:val="auto"/>
          <w:sz w:val="24"/>
          <w:highlight w:val="none"/>
        </w:rPr>
        <w:t>表</w:t>
      </w:r>
    </w:p>
    <w:p>
      <w:pPr>
        <w:pStyle w:val="12"/>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九、一般公共预算财政拨款项目支出决算表</w:t>
      </w:r>
    </w:p>
    <w:p>
      <w:pPr>
        <w:pStyle w:val="12"/>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十、政府性基金预算财政拨款收入支出决算表</w:t>
      </w:r>
    </w:p>
    <w:p>
      <w:pPr>
        <w:pStyle w:val="12"/>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十一、国有资本经营预算财政拨款收入支出决算表</w:t>
      </w:r>
    </w:p>
    <w:p>
      <w:pPr>
        <w:pStyle w:val="12"/>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十二、</w:t>
      </w:r>
      <w:r>
        <w:rPr>
          <w:rFonts w:hint="default" w:ascii="Times New Roman" w:hAnsi="Times New Roman" w:cs="Times New Roman"/>
          <w:color w:val="auto"/>
          <w:sz w:val="24"/>
          <w:highlight w:val="none"/>
          <w:lang w:val="en-US" w:eastAsia="zh-CN"/>
        </w:rPr>
        <w:t>国有资本经营预算财政拨款支出决算表</w:t>
      </w:r>
    </w:p>
    <w:p>
      <w:pPr>
        <w:pStyle w:val="12"/>
        <w:adjustRightInd w:val="0"/>
        <w:snapToGrid w:val="0"/>
        <w:spacing w:line="440" w:lineRule="exact"/>
        <w:jc w:val="left"/>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color w:val="auto"/>
          <w:sz w:val="24"/>
          <w:highlight w:val="none"/>
        </w:rPr>
        <w:t>十三、财政拨款“三公”经费支出决算表</w:t>
      </w:r>
    </w:p>
    <w:p>
      <w:pPr>
        <w:widowControl/>
        <w:spacing w:line="440" w:lineRule="exact"/>
        <w:jc w:val="left"/>
        <w:rPr>
          <w:rFonts w:hint="default" w:ascii="Times New Roman" w:hAnsi="Times New Roman" w:eastAsia="仿宋" w:cs="Times New Roman"/>
          <w:bCs/>
          <w:color w:val="auto"/>
          <w:kern w:val="44"/>
          <w:sz w:val="24"/>
          <w:highlight w:val="none"/>
        </w:rPr>
      </w:pPr>
      <w:bookmarkStart w:id="6" w:name="_Toc15396599"/>
      <w:bookmarkStart w:id="7" w:name="_Toc15377196"/>
      <w:r>
        <w:rPr>
          <w:rFonts w:hint="default" w:ascii="Times New Roman" w:hAnsi="Times New Roman" w:eastAsia="仿宋" w:cs="Times New Roman"/>
          <w:b/>
          <w:color w:val="auto"/>
          <w:sz w:val="24"/>
          <w:highlight w:val="none"/>
        </w:rPr>
        <w:br w:type="page"/>
      </w:r>
    </w:p>
    <w:p>
      <w:pPr>
        <w:pStyle w:val="2"/>
        <w:jc w:val="center"/>
        <w:rPr>
          <w:rStyle w:val="29"/>
          <w:rFonts w:hint="default" w:ascii="Times New Roman" w:hAnsi="Times New Roman" w:eastAsia="黑体" w:cs="Times New Roman"/>
          <w:b/>
          <w:bCs w:val="0"/>
          <w:color w:val="auto"/>
          <w:highlight w:val="none"/>
        </w:rPr>
      </w:pPr>
      <w:r>
        <w:rPr>
          <w:rFonts w:hint="default" w:ascii="Times New Roman" w:hAnsi="Times New Roman" w:eastAsia="黑体" w:cs="Times New Roman"/>
          <w:b w:val="0"/>
          <w:color w:val="auto"/>
          <w:highlight w:val="none"/>
        </w:rPr>
        <w:t xml:space="preserve">第一部分 </w:t>
      </w:r>
      <w:r>
        <w:rPr>
          <w:rStyle w:val="29"/>
          <w:rFonts w:hint="default" w:ascii="Times New Roman" w:hAnsi="Times New Roman" w:eastAsia="黑体" w:cs="Times New Roman"/>
          <w:b w:val="0"/>
          <w:bCs w:val="0"/>
          <w:color w:val="auto"/>
          <w:highlight w:val="none"/>
        </w:rPr>
        <w:t>部门概况</w:t>
      </w:r>
      <w:bookmarkEnd w:id="6"/>
      <w:bookmarkEnd w:id="7"/>
    </w:p>
    <w:p>
      <w:pPr>
        <w:widowControl/>
        <w:jc w:val="left"/>
        <w:rPr>
          <w:rFonts w:hint="default" w:ascii="Times New Roman" w:hAnsi="Times New Roman" w:eastAsia="黑体" w:cs="Times New Roman"/>
          <w:color w:val="auto"/>
          <w:sz w:val="32"/>
          <w:szCs w:val="32"/>
          <w:highlight w:val="none"/>
        </w:rPr>
      </w:pPr>
    </w:p>
    <w:p>
      <w:pPr>
        <w:pStyle w:val="3"/>
        <w:rPr>
          <w:rFonts w:hint="default" w:ascii="Times New Roman" w:hAnsi="Times New Roman" w:eastAsia="黑体" w:cs="Times New Roman"/>
          <w:b w:val="0"/>
          <w:color w:val="auto"/>
          <w:highlight w:val="none"/>
          <w:lang w:eastAsia="zh-CN"/>
        </w:rPr>
      </w:pPr>
      <w:bookmarkStart w:id="8" w:name="_Toc15377197"/>
      <w:bookmarkStart w:id="9" w:name="_Toc15396600"/>
      <w:r>
        <w:rPr>
          <w:rFonts w:hint="default" w:ascii="Times New Roman" w:hAnsi="Times New Roman" w:eastAsia="黑体" w:cs="Times New Roman"/>
          <w:b w:val="0"/>
          <w:color w:val="auto"/>
          <w:highlight w:val="none"/>
        </w:rPr>
        <w:t>一、</w:t>
      </w:r>
      <w:bookmarkEnd w:id="8"/>
      <w:bookmarkEnd w:id="9"/>
      <w:r>
        <w:rPr>
          <w:rFonts w:hint="default" w:ascii="Times New Roman" w:hAnsi="Times New Roman" w:eastAsia="黑体" w:cs="Times New Roman"/>
          <w:b w:val="0"/>
          <w:color w:val="auto"/>
          <w:highlight w:val="none"/>
          <w:lang w:eastAsia="zh-CN"/>
        </w:rPr>
        <w:t>部门职责</w:t>
      </w:r>
    </w:p>
    <w:p>
      <w:pPr>
        <w:ind w:firstLine="640" w:firstLineChars="200"/>
        <w:rPr>
          <w:rFonts w:hint="default" w:ascii="Times New Roman" w:hAnsi="Times New Roman" w:eastAsia="仿宋" w:cs="Times New Roman"/>
          <w:bCs/>
          <w:color w:val="auto"/>
          <w:kern w:val="0"/>
          <w:sz w:val="32"/>
          <w:szCs w:val="32"/>
          <w:highlight w:val="none"/>
          <w:lang w:val="en-US" w:eastAsia="zh-CN" w:bidi="ar-SA"/>
        </w:rPr>
      </w:pPr>
      <w:r>
        <w:rPr>
          <w:rFonts w:hint="default" w:ascii="Times New Roman" w:hAnsi="Times New Roman" w:eastAsia="仿宋" w:cs="Times New Roman"/>
          <w:bCs/>
          <w:color w:val="auto"/>
          <w:kern w:val="0"/>
          <w:sz w:val="32"/>
          <w:szCs w:val="32"/>
          <w:highlight w:val="none"/>
          <w:lang w:val="en-US" w:eastAsia="zh-CN" w:bidi="ar-SA"/>
        </w:rPr>
        <w:t>区纪委与区监委合署办公（以下简称</w:t>
      </w:r>
      <w:r>
        <w:rPr>
          <w:rFonts w:hint="default" w:ascii="Times New Roman" w:hAnsi="Times New Roman" w:eastAsia="仿宋" w:cs="Times New Roman"/>
          <w:color w:val="auto"/>
          <w:sz w:val="32"/>
          <w:szCs w:val="32"/>
          <w:highlight w:val="none"/>
        </w:rPr>
        <w:t>安居区纪委监委</w:t>
      </w:r>
      <w:r>
        <w:rPr>
          <w:rFonts w:hint="default" w:ascii="Times New Roman" w:hAnsi="Times New Roman" w:eastAsia="仿宋" w:cs="Times New Roman"/>
          <w:bCs/>
          <w:color w:val="auto"/>
          <w:kern w:val="0"/>
          <w:sz w:val="32"/>
          <w:szCs w:val="32"/>
          <w:highlight w:val="none"/>
          <w:lang w:val="en-US" w:eastAsia="zh-CN" w:bidi="ar-SA"/>
        </w:rPr>
        <w:t>），实行一套工作机构、两个机关名称，履行党的纪律检查和国家监察两项职能，在遂宁市纪委监委和中共遂宁市安居区委双重领导下开展工作</w:t>
      </w:r>
      <w:r>
        <w:rPr>
          <w:rFonts w:hint="eastAsia" w:eastAsia="仿宋" w:cs="Times New Roman"/>
          <w:bCs/>
          <w:color w:val="auto"/>
          <w:kern w:val="0"/>
          <w:sz w:val="32"/>
          <w:szCs w:val="32"/>
          <w:highlight w:val="none"/>
          <w:lang w:val="en-US" w:eastAsia="zh-CN" w:bidi="ar-SA"/>
        </w:rPr>
        <w:t>。</w:t>
      </w:r>
    </w:p>
    <w:p>
      <w:pPr>
        <w:pStyle w:val="3"/>
        <w:rPr>
          <w:rStyle w:val="30"/>
          <w:rFonts w:hint="default" w:ascii="Times New Roman" w:hAnsi="Times New Roman" w:cs="Times New Roman"/>
          <w:b w:val="0"/>
          <w:bCs w:val="0"/>
          <w:color w:val="auto"/>
          <w:highlight w:val="none"/>
        </w:rPr>
      </w:pPr>
      <w:bookmarkStart w:id="10" w:name="_Toc15377200"/>
      <w:bookmarkStart w:id="11" w:name="_Toc15396601"/>
      <w:r>
        <w:rPr>
          <w:rFonts w:hint="default" w:ascii="Times New Roman" w:hAnsi="Times New Roman" w:eastAsia="黑体" w:cs="Times New Roman"/>
          <w:b w:val="0"/>
          <w:color w:val="auto"/>
          <w:highlight w:val="none"/>
        </w:rPr>
        <w:t>二、机</w:t>
      </w:r>
      <w:r>
        <w:rPr>
          <w:rStyle w:val="30"/>
          <w:rFonts w:hint="default" w:ascii="Times New Roman" w:hAnsi="Times New Roman" w:eastAsia="黑体" w:cs="Times New Roman"/>
          <w:b w:val="0"/>
          <w:bCs w:val="0"/>
          <w:color w:val="auto"/>
          <w:highlight w:val="none"/>
        </w:rPr>
        <w:t>构设置</w:t>
      </w:r>
      <w:bookmarkEnd w:id="10"/>
      <w:bookmarkEnd w:id="11"/>
    </w:p>
    <w:p>
      <w:pPr>
        <w:ind w:firstLine="800" w:firstLineChars="25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安居区纪委监委下属二级</w:t>
      </w:r>
      <w:r>
        <w:rPr>
          <w:rFonts w:hint="default" w:ascii="Times New Roman" w:hAnsi="Times New Roman" w:eastAsia="仿宋" w:cs="Times New Roman"/>
          <w:color w:val="auto"/>
          <w:sz w:val="32"/>
          <w:szCs w:val="32"/>
          <w:highlight w:val="none"/>
          <w:lang w:eastAsia="zh-CN"/>
        </w:rPr>
        <w:t>预算</w:t>
      </w:r>
      <w:r>
        <w:rPr>
          <w:rFonts w:hint="default" w:ascii="Times New Roman" w:hAnsi="Times New Roman" w:eastAsia="仿宋" w:cs="Times New Roman"/>
          <w:color w:val="auto"/>
          <w:sz w:val="32"/>
          <w:szCs w:val="32"/>
          <w:highlight w:val="none"/>
        </w:rPr>
        <w:t>单位</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个，其中行政单位</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个，参照公务员法管理的事业单位</w:t>
      </w:r>
      <w:r>
        <w:rPr>
          <w:rFonts w:hint="default" w:ascii="Times New Roman" w:hAnsi="Times New Roman" w:eastAsia="仿宋" w:cs="Times New Roman"/>
          <w:bCs/>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个，其他事业单位</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个。</w:t>
      </w:r>
    </w:p>
    <w:p>
      <w:pPr>
        <w:pStyle w:val="5"/>
        <w:adjustRightInd w:val="0"/>
        <w:snapToGrid w:val="0"/>
        <w:spacing w:before="93" w:line="600" w:lineRule="exact"/>
        <w:ind w:firstLine="672" w:firstLineChars="21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因此</w:t>
      </w:r>
      <w:r>
        <w:rPr>
          <w:rFonts w:hint="default" w:ascii="Times New Roman" w:hAnsi="Times New Roman" w:eastAsia="仿宋" w:cs="Times New Roman"/>
          <w:color w:val="auto"/>
          <w:sz w:val="32"/>
          <w:szCs w:val="32"/>
          <w:highlight w:val="none"/>
        </w:rPr>
        <w:t>纳入安居区纪委监委20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年度部门决算编制范围的二级预算单位</w:t>
      </w:r>
      <w:r>
        <w:rPr>
          <w:rFonts w:hint="default" w:ascii="Times New Roman" w:hAnsi="Times New Roman" w:eastAsia="仿宋" w:cs="Times New Roman"/>
          <w:color w:val="auto"/>
          <w:sz w:val="32"/>
          <w:szCs w:val="32"/>
          <w:highlight w:val="none"/>
          <w:lang w:eastAsia="zh-CN"/>
        </w:rPr>
        <w:t>为</w:t>
      </w:r>
      <w:r>
        <w:rPr>
          <w:rFonts w:hint="default" w:ascii="Times New Roman" w:hAnsi="Times New Roman" w:eastAsia="仿宋" w:cs="Times New Roman"/>
          <w:color w:val="auto"/>
          <w:sz w:val="32"/>
          <w:szCs w:val="32"/>
          <w:highlight w:val="none"/>
          <w:lang w:val="en-US" w:eastAsia="zh-CN"/>
        </w:rPr>
        <w:t>0个</w:t>
      </w:r>
      <w:r>
        <w:rPr>
          <w:rFonts w:hint="default" w:ascii="Times New Roman" w:hAnsi="Times New Roman" w:eastAsia="仿宋" w:cs="Times New Roman"/>
          <w:color w:val="auto"/>
          <w:sz w:val="32"/>
          <w:szCs w:val="32"/>
          <w:highlight w:val="none"/>
        </w:rPr>
        <w:t>：</w:t>
      </w:r>
    </w:p>
    <w:p>
      <w:pPr>
        <w:widowControl/>
        <w:jc w:val="left"/>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pPr>
        <w:pStyle w:val="2"/>
        <w:ind w:right="440"/>
        <w:jc w:val="center"/>
        <w:rPr>
          <w:rStyle w:val="29"/>
          <w:rFonts w:hint="default" w:ascii="Times New Roman" w:hAnsi="Times New Roman" w:eastAsia="黑体" w:cs="Times New Roman"/>
          <w:b w:val="0"/>
          <w:bCs/>
          <w:color w:val="auto"/>
          <w:highlight w:val="none"/>
        </w:rPr>
      </w:pPr>
      <w:bookmarkStart w:id="12" w:name="_Toc15377204"/>
      <w:bookmarkStart w:id="13" w:name="_Toc15396602"/>
      <w:r>
        <w:rPr>
          <w:rFonts w:hint="default" w:ascii="Times New Roman" w:hAnsi="Times New Roman" w:eastAsia="黑体" w:cs="Times New Roman"/>
          <w:b w:val="0"/>
          <w:bCs/>
          <w:color w:val="auto"/>
          <w:highlight w:val="none"/>
        </w:rPr>
        <w:t xml:space="preserve">第二部分 </w:t>
      </w:r>
      <w:r>
        <w:rPr>
          <w:rFonts w:hint="default" w:ascii="Times New Roman" w:hAnsi="Times New Roman" w:eastAsia="黑体" w:cs="Times New Roman"/>
          <w:b w:val="0"/>
          <w:bCs/>
          <w:color w:val="auto"/>
          <w:highlight w:val="none"/>
          <w:lang w:val="en-US" w:eastAsia="zh-CN"/>
        </w:rPr>
        <w:t>2022年度</w:t>
      </w:r>
      <w:r>
        <w:rPr>
          <w:rStyle w:val="29"/>
          <w:rFonts w:hint="default" w:ascii="Times New Roman" w:hAnsi="Times New Roman" w:eastAsia="黑体" w:cs="Times New Roman"/>
          <w:b w:val="0"/>
          <w:bCs/>
          <w:color w:val="auto"/>
          <w:highlight w:val="none"/>
        </w:rPr>
        <w:t>部门决算情况说明</w:t>
      </w:r>
      <w:bookmarkEnd w:id="12"/>
      <w:bookmarkEnd w:id="13"/>
    </w:p>
    <w:p>
      <w:pPr>
        <w:rPr>
          <w:rFonts w:hint="default" w:ascii="Times New Roman" w:hAnsi="Times New Roman" w:cs="Times New Roman"/>
          <w:color w:val="auto"/>
          <w:highlight w:val="none"/>
        </w:rPr>
      </w:pPr>
    </w:p>
    <w:p>
      <w:pPr>
        <w:pStyle w:val="28"/>
        <w:numPr>
          <w:ilvl w:val="0"/>
          <w:numId w:val="1"/>
        </w:numPr>
        <w:spacing w:line="600" w:lineRule="exact"/>
        <w:ind w:firstLineChars="0"/>
        <w:outlineLvl w:val="1"/>
        <w:rPr>
          <w:rStyle w:val="30"/>
          <w:rFonts w:hint="default" w:ascii="Times New Roman" w:hAnsi="Times New Roman" w:eastAsia="黑体" w:cs="Times New Roman"/>
          <w:b w:val="0"/>
          <w:color w:val="auto"/>
          <w:highlight w:val="none"/>
        </w:rPr>
      </w:pPr>
      <w:bookmarkStart w:id="14" w:name="_Toc15377205"/>
      <w:bookmarkStart w:id="15" w:name="_Toc15396603"/>
      <w:r>
        <w:rPr>
          <w:rFonts w:hint="default" w:ascii="Times New Roman" w:hAnsi="Times New Roman" w:eastAsia="黑体" w:cs="Times New Roman"/>
          <w:color w:val="auto"/>
          <w:sz w:val="32"/>
          <w:szCs w:val="32"/>
          <w:highlight w:val="none"/>
        </w:rPr>
        <w:t>收</w:t>
      </w:r>
      <w:r>
        <w:rPr>
          <w:rStyle w:val="30"/>
          <w:rFonts w:hint="default" w:ascii="Times New Roman" w:hAnsi="Times New Roman" w:eastAsia="黑体" w:cs="Times New Roman"/>
          <w:b w:val="0"/>
          <w:color w:val="auto"/>
          <w:highlight w:val="none"/>
        </w:rPr>
        <w:t>入支出决算总体情况说明</w:t>
      </w:r>
      <w:bookmarkEnd w:id="14"/>
      <w:bookmarkEnd w:id="15"/>
    </w:p>
    <w:p>
      <w:pPr>
        <w:spacing w:line="600" w:lineRule="exact"/>
        <w:ind w:firstLine="640" w:firstLineChars="20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年度收、支总计1728.87万元。与20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年相比，收、支总计各增加118.53万元，增长7.36%。主要变动原因是编制划转及人员增加，队伍不断壮大，人员经费及公用经费都所有增加</w:t>
      </w:r>
      <w:r>
        <w:rPr>
          <w:rFonts w:hint="default" w:ascii="Times New Roman" w:hAnsi="Times New Roman" w:eastAsia="仿宋" w:cs="Times New Roman"/>
          <w:color w:val="auto"/>
          <w:sz w:val="32"/>
          <w:szCs w:val="32"/>
          <w:highlight w:val="none"/>
          <w:lang w:eastAsia="zh-CN"/>
        </w:rPr>
        <w:t>。</w:t>
      </w:r>
    </w:p>
    <w:p>
      <w:pPr>
        <w:pStyle w:val="19"/>
        <w:rPr>
          <w:rFonts w:hint="default" w:ascii="Times New Roman" w:hAnsi="Times New Roman" w:cs="Times New Roman"/>
          <w:lang w:eastAsia="zh-CN"/>
        </w:rPr>
      </w:pPr>
      <w:r>
        <w:rPr>
          <w:rFonts w:hint="default" w:ascii="Times New Roman" w:hAnsi="Times New Roman" w:cs="Times New Roman"/>
        </w:rPr>
        <w:drawing>
          <wp:inline distT="0" distB="0" distL="114300" distR="114300">
            <wp:extent cx="4162425" cy="2672080"/>
            <wp:effectExtent l="4445" t="4445" r="5080" b="952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图1：收、支决算总计变动情况图</w:t>
      </w:r>
    </w:p>
    <w:p>
      <w:pPr>
        <w:pStyle w:val="28"/>
        <w:numPr>
          <w:ilvl w:val="0"/>
          <w:numId w:val="1"/>
        </w:numPr>
        <w:spacing w:line="600" w:lineRule="exact"/>
        <w:ind w:firstLineChars="0"/>
        <w:outlineLvl w:val="1"/>
        <w:rPr>
          <w:rStyle w:val="30"/>
          <w:rFonts w:hint="default" w:ascii="Times New Roman" w:hAnsi="Times New Roman" w:eastAsia="黑体" w:cs="Times New Roman"/>
          <w:b w:val="0"/>
          <w:color w:val="auto"/>
          <w:highlight w:val="none"/>
        </w:rPr>
      </w:pPr>
      <w:bookmarkStart w:id="16" w:name="_Toc15396604"/>
      <w:bookmarkStart w:id="17" w:name="_Toc15377206"/>
      <w:r>
        <w:rPr>
          <w:rFonts w:hint="default" w:ascii="Times New Roman" w:hAnsi="Times New Roman" w:eastAsia="黑体" w:cs="Times New Roman"/>
          <w:color w:val="auto"/>
          <w:sz w:val="32"/>
          <w:szCs w:val="32"/>
          <w:highlight w:val="none"/>
        </w:rPr>
        <w:t>收</w:t>
      </w:r>
      <w:r>
        <w:rPr>
          <w:rStyle w:val="30"/>
          <w:rFonts w:hint="default" w:ascii="Times New Roman" w:hAnsi="Times New Roman" w:eastAsia="黑体" w:cs="Times New Roman"/>
          <w:b w:val="0"/>
          <w:color w:val="auto"/>
          <w:highlight w:val="none"/>
        </w:rPr>
        <w:t>入决算情况说明</w:t>
      </w:r>
      <w:bookmarkEnd w:id="16"/>
      <w:bookmarkEnd w:id="17"/>
    </w:p>
    <w:p>
      <w:pPr>
        <w:spacing w:line="600" w:lineRule="exact"/>
        <w:ind w:firstLine="640" w:firstLineChars="200"/>
        <w:outlineLvl w:val="1"/>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年本年收入合计1728.87万元，其中：一般公共预算财政拨款收入1705.87万元，占98.67%；政府性基金预算财政拨款收入</w:t>
      </w:r>
      <w:r>
        <w:rPr>
          <w:rFonts w:hint="default" w:ascii="Times New Roman" w:hAnsi="Times New Roman" w:eastAsia="仿宋" w:cs="Times New Roman"/>
          <w:color w:val="auto"/>
          <w:sz w:val="32"/>
          <w:szCs w:val="32"/>
          <w:highlight w:val="none"/>
          <w:lang w:val="en-US" w:eastAsia="zh-CN"/>
        </w:rPr>
        <w:t>23</w:t>
      </w:r>
      <w:r>
        <w:rPr>
          <w:rFonts w:hint="default" w:ascii="Times New Roman" w:hAnsi="Times New Roman" w:eastAsia="仿宋" w:cs="Times New Roman"/>
          <w:color w:val="auto"/>
          <w:sz w:val="32"/>
          <w:szCs w:val="32"/>
          <w:highlight w:val="none"/>
        </w:rPr>
        <w:t>万元，占1.33%；</w:t>
      </w:r>
      <w:r>
        <w:rPr>
          <w:rFonts w:hint="default" w:ascii="Times New Roman" w:hAnsi="Times New Roman" w:eastAsia="仿宋" w:cs="Times New Roman"/>
          <w:color w:val="auto"/>
          <w:sz w:val="32"/>
          <w:szCs w:val="32"/>
          <w:highlight w:val="none"/>
          <w:lang w:eastAsia="zh-CN"/>
        </w:rPr>
        <w:t>国有资本经营预算财政拨款收入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%；上级补助收入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%；事业收入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%；经营收入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%；附属单位上缴收入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%；其他收入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p>
    <w:p>
      <w:pPr>
        <w:pStyle w:val="19"/>
        <w:rPr>
          <w:rFonts w:hint="default" w:ascii="Times New Roman" w:hAnsi="Times New Roman" w:cs="Times New Roman"/>
        </w:rPr>
      </w:pPr>
      <w:r>
        <w:rPr>
          <w:rFonts w:hint="default" w:ascii="Times New Roman" w:hAnsi="Times New Roman" w:cs="Times New Roman"/>
        </w:rPr>
        <w:drawing>
          <wp:inline distT="0" distB="0" distL="114300" distR="114300">
            <wp:extent cx="3878580" cy="2210435"/>
            <wp:effectExtent l="4445" t="4445" r="22225" b="1397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图2：收入决算结构图</w:t>
      </w:r>
    </w:p>
    <w:p>
      <w:pPr>
        <w:pStyle w:val="28"/>
        <w:numPr>
          <w:ilvl w:val="0"/>
          <w:numId w:val="1"/>
        </w:numPr>
        <w:spacing w:line="600" w:lineRule="exact"/>
        <w:ind w:firstLineChars="0"/>
        <w:outlineLvl w:val="1"/>
        <w:rPr>
          <w:rStyle w:val="30"/>
          <w:rFonts w:hint="default" w:ascii="Times New Roman" w:hAnsi="Times New Roman" w:eastAsia="黑体" w:cs="Times New Roman"/>
          <w:b w:val="0"/>
          <w:color w:val="auto"/>
          <w:highlight w:val="none"/>
        </w:rPr>
      </w:pPr>
      <w:bookmarkStart w:id="18" w:name="_Toc15396605"/>
      <w:bookmarkStart w:id="19" w:name="_Toc15377207"/>
      <w:r>
        <w:rPr>
          <w:rFonts w:hint="default" w:ascii="Times New Roman" w:hAnsi="Times New Roman" w:eastAsia="黑体" w:cs="Times New Roman"/>
          <w:color w:val="auto"/>
          <w:sz w:val="32"/>
          <w:szCs w:val="32"/>
          <w:highlight w:val="none"/>
        </w:rPr>
        <w:t>支</w:t>
      </w:r>
      <w:r>
        <w:rPr>
          <w:rStyle w:val="30"/>
          <w:rFonts w:hint="default" w:ascii="Times New Roman" w:hAnsi="Times New Roman" w:eastAsia="黑体" w:cs="Times New Roman"/>
          <w:b w:val="0"/>
          <w:color w:val="auto"/>
          <w:highlight w:val="none"/>
        </w:rPr>
        <w:t>出决算情况说明</w:t>
      </w:r>
      <w:bookmarkEnd w:id="18"/>
      <w:bookmarkEnd w:id="19"/>
    </w:p>
    <w:p>
      <w:pPr>
        <w:spacing w:line="600" w:lineRule="exact"/>
        <w:ind w:firstLine="640" w:firstLineChars="200"/>
        <w:outlineLvl w:val="1"/>
        <w:rPr>
          <w:rFonts w:hint="default" w:ascii="Times New Roman" w:hAnsi="Times New Roman" w:eastAsia="仿宋" w:cs="Times New Roman"/>
          <w:color w:val="auto"/>
          <w:sz w:val="32"/>
          <w:szCs w:val="32"/>
          <w:highlight w:val="none"/>
          <w:shd w:val="pct10" w:color="auto" w:fill="FFFFFF"/>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年本年支出合计1728.87万元，其中：基本支出1395.71万元，占80.73%；项目支出333.15万元，占19.27%；上缴上级支出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%；经营支出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%；对附属单位补助支出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p>
    <w:p>
      <w:pPr>
        <w:pStyle w:val="19"/>
        <w:rPr>
          <w:rFonts w:hint="default" w:ascii="Times New Roman" w:hAnsi="Times New Roman" w:cs="Times New Roman"/>
        </w:rPr>
      </w:pPr>
      <w:r>
        <w:rPr>
          <w:rFonts w:hint="default" w:ascii="Times New Roman" w:hAnsi="Times New Roman" w:cs="Times New Roman"/>
        </w:rPr>
        <w:drawing>
          <wp:inline distT="0" distB="0" distL="114300" distR="114300">
            <wp:extent cx="3819525" cy="2287270"/>
            <wp:effectExtent l="4445" t="4445" r="5080" b="1333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图3：支出决算结构图</w:t>
      </w:r>
    </w:p>
    <w:p>
      <w:pPr>
        <w:spacing w:line="600" w:lineRule="exact"/>
        <w:ind w:firstLine="640" w:firstLineChars="200"/>
        <w:outlineLvl w:val="1"/>
        <w:rPr>
          <w:rStyle w:val="30"/>
          <w:rFonts w:hint="default" w:ascii="Times New Roman" w:hAnsi="Times New Roman" w:eastAsia="黑体" w:cs="Times New Roman"/>
          <w:b w:val="0"/>
          <w:color w:val="auto"/>
          <w:highlight w:val="none"/>
        </w:rPr>
      </w:pPr>
      <w:bookmarkStart w:id="20" w:name="_Toc15396606"/>
      <w:bookmarkStart w:id="21" w:name="_Toc15377208"/>
      <w:r>
        <w:rPr>
          <w:rFonts w:hint="default" w:ascii="Times New Roman" w:hAnsi="Times New Roman" w:eastAsia="黑体" w:cs="Times New Roman"/>
          <w:color w:val="auto"/>
          <w:sz w:val="32"/>
          <w:szCs w:val="32"/>
          <w:highlight w:val="none"/>
        </w:rPr>
        <w:t>四、财</w:t>
      </w:r>
      <w:r>
        <w:rPr>
          <w:rStyle w:val="30"/>
          <w:rFonts w:hint="default" w:ascii="Times New Roman" w:hAnsi="Times New Roman" w:eastAsia="黑体" w:cs="Times New Roman"/>
          <w:b w:val="0"/>
          <w:color w:val="auto"/>
          <w:highlight w:val="none"/>
        </w:rPr>
        <w:t>政拨款收入支出决算总体情况说明</w:t>
      </w:r>
      <w:bookmarkEnd w:id="20"/>
      <w:bookmarkEnd w:id="21"/>
    </w:p>
    <w:p>
      <w:pPr>
        <w:spacing w:line="600" w:lineRule="exact"/>
        <w:ind w:firstLine="640"/>
        <w:rPr>
          <w:rFonts w:hint="default" w:ascii="Times New Roman" w:hAnsi="Times New Roman" w:cs="Times New Roman"/>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年财政拨款收、支总计1728.87万元。与20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年相比，财政拨款收、支总计各</w:t>
      </w:r>
      <w:r>
        <w:rPr>
          <w:rFonts w:hint="default" w:ascii="Times New Roman" w:hAnsi="Times New Roman" w:eastAsia="仿宋" w:cs="Times New Roman"/>
          <w:color w:val="auto"/>
          <w:sz w:val="32"/>
          <w:szCs w:val="32"/>
          <w:highlight w:val="none"/>
          <w:lang w:eastAsia="zh-CN"/>
        </w:rPr>
        <w:t>增加</w:t>
      </w:r>
      <w:r>
        <w:rPr>
          <w:rFonts w:hint="default" w:ascii="Times New Roman" w:hAnsi="Times New Roman" w:eastAsia="仿宋" w:cs="Times New Roman"/>
          <w:color w:val="auto"/>
          <w:sz w:val="32"/>
          <w:szCs w:val="32"/>
          <w:highlight w:val="none"/>
        </w:rPr>
        <w:t>118.53万元，增长7.36%。主要变动原因是编制划转及人员增加，队伍不断壮大，人员经费及公用经费都所有增加</w:t>
      </w:r>
      <w:r>
        <w:rPr>
          <w:rFonts w:hint="default" w:ascii="Times New Roman" w:hAnsi="Times New Roman" w:eastAsia="仿宋" w:cs="Times New Roman"/>
          <w:color w:val="auto"/>
          <w:sz w:val="32"/>
          <w:szCs w:val="32"/>
          <w:highlight w:val="none"/>
          <w:lang w:eastAsia="zh-CN"/>
        </w:rPr>
        <w:t>。</w:t>
      </w:r>
    </w:p>
    <w:p>
      <w:pPr>
        <w:pStyle w:val="19"/>
        <w:rPr>
          <w:rFonts w:hint="default" w:ascii="Times New Roman" w:hAnsi="Times New Roman" w:eastAsia="仿宋" w:cs="Times New Roman"/>
          <w:color w:val="auto"/>
          <w:sz w:val="32"/>
          <w:szCs w:val="32"/>
          <w:highlight w:val="none"/>
        </w:rPr>
      </w:pPr>
      <w:r>
        <w:rPr>
          <w:rFonts w:hint="default" w:ascii="Times New Roman" w:hAnsi="Times New Roman" w:cs="Times New Roman"/>
        </w:rPr>
        <w:drawing>
          <wp:inline distT="0" distB="0" distL="114300" distR="114300">
            <wp:extent cx="4572000" cy="2283460"/>
            <wp:effectExtent l="4445" t="4445" r="14605" b="1714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color w:val="auto"/>
          <w:sz w:val="32"/>
          <w:szCs w:val="32"/>
          <w:highlight w:val="none"/>
        </w:rPr>
        <w:t>图4：财政拨款收、支决算总计变动情况</w:t>
      </w:r>
    </w:p>
    <w:p>
      <w:pPr>
        <w:spacing w:line="600" w:lineRule="exact"/>
        <w:ind w:firstLine="640" w:firstLineChars="200"/>
        <w:outlineLvl w:val="1"/>
        <w:rPr>
          <w:rStyle w:val="30"/>
          <w:rFonts w:hint="default" w:ascii="Times New Roman" w:hAnsi="Times New Roman" w:eastAsia="黑体" w:cs="Times New Roman"/>
          <w:b w:val="0"/>
          <w:color w:val="auto"/>
          <w:highlight w:val="none"/>
        </w:rPr>
      </w:pPr>
      <w:bookmarkStart w:id="22" w:name="_Toc15396607"/>
      <w:bookmarkStart w:id="23" w:name="_Toc15377209"/>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0"/>
          <w:rFonts w:hint="default" w:ascii="Times New Roman" w:hAnsi="Times New Roman" w:eastAsia="黑体" w:cs="Times New Roman"/>
          <w:b w:val="0"/>
          <w:color w:val="auto"/>
          <w:highlight w:val="none"/>
        </w:rPr>
        <w:t>般公共预算财政拨款支出决算情况说明</w:t>
      </w:r>
      <w:bookmarkEnd w:id="22"/>
      <w:bookmarkEnd w:id="23"/>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bookmarkStart w:id="24" w:name="_Toc15377210"/>
      <w:r>
        <w:rPr>
          <w:rFonts w:hint="default" w:ascii="Times New Roman" w:hAnsi="Times New Roman" w:eastAsia="仿宋" w:cs="Times New Roman"/>
          <w:b/>
          <w:color w:val="auto"/>
          <w:sz w:val="32"/>
          <w:szCs w:val="32"/>
          <w:highlight w:val="none"/>
        </w:rPr>
        <w:t>（一）一般公共预算财政拨款支出决算总体情况</w:t>
      </w:r>
      <w:bookmarkEnd w:id="24"/>
    </w:p>
    <w:p>
      <w:pPr>
        <w:spacing w:line="600" w:lineRule="exact"/>
        <w:ind w:firstLine="640" w:firstLineChars="200"/>
        <w:rPr>
          <w:rFonts w:hint="default" w:ascii="Times New Roman" w:hAnsi="Times New Roman" w:cs="Times New Roman"/>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年一般公共预算财政拨款支出1705.87万元，占本年支出合计的98.67%。与20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年相比，一般公共预算财政拨款</w:t>
      </w:r>
      <w:r>
        <w:rPr>
          <w:rFonts w:hint="default" w:ascii="Times New Roman" w:hAnsi="Times New Roman" w:eastAsia="仿宋" w:cs="Times New Roman"/>
          <w:color w:val="auto"/>
          <w:sz w:val="32"/>
          <w:szCs w:val="32"/>
          <w:highlight w:val="none"/>
          <w:lang w:eastAsia="zh-CN"/>
        </w:rPr>
        <w:t>支出</w:t>
      </w:r>
      <w:r>
        <w:rPr>
          <w:rFonts w:hint="default" w:ascii="Times New Roman" w:hAnsi="Times New Roman" w:eastAsia="仿宋" w:cs="Times New Roman"/>
          <w:color w:val="auto"/>
          <w:sz w:val="32"/>
          <w:szCs w:val="32"/>
          <w:highlight w:val="none"/>
        </w:rPr>
        <w:t>增加95.53万元，增长5.93%。主要变动原因是编制划转及人员增加，人员经费及公用经费都所有增加</w:t>
      </w:r>
      <w:r>
        <w:rPr>
          <w:rFonts w:hint="default" w:ascii="Times New Roman" w:hAnsi="Times New Roman" w:eastAsia="仿宋" w:cs="Times New Roman"/>
          <w:color w:val="auto"/>
          <w:sz w:val="32"/>
          <w:szCs w:val="32"/>
          <w:highlight w:val="none"/>
          <w:lang w:eastAsia="zh-CN"/>
        </w:rPr>
        <w:t>。</w:t>
      </w:r>
    </w:p>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572000" cy="2326005"/>
            <wp:effectExtent l="4445" t="4445" r="14605" b="1270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图5：一般公共预算财政拨款支出决算变动情况</w:t>
      </w:r>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bookmarkStart w:id="25" w:name="_Toc15377211"/>
      <w:r>
        <w:rPr>
          <w:rFonts w:hint="default" w:ascii="Times New Roman" w:hAnsi="Times New Roman" w:eastAsia="仿宋" w:cs="Times New Roman"/>
          <w:b/>
          <w:color w:val="auto"/>
          <w:sz w:val="32"/>
          <w:szCs w:val="32"/>
          <w:highlight w:val="none"/>
        </w:rPr>
        <w:t>（二）一般公共预算财政拨款支出决算结构情况</w:t>
      </w:r>
      <w:bookmarkEnd w:id="25"/>
    </w:p>
    <w:p>
      <w:pPr>
        <w:spacing w:line="600" w:lineRule="exact"/>
        <w:ind w:firstLine="640"/>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20</w:t>
      </w:r>
      <w:r>
        <w:rPr>
          <w:rFonts w:hint="default" w:ascii="Times New Roman" w:hAnsi="Times New Roman" w:eastAsia="仿宋" w:cs="Times New Roman"/>
          <w:b w:val="0"/>
          <w:bCs w:val="0"/>
          <w:color w:val="auto"/>
          <w:sz w:val="32"/>
          <w:szCs w:val="32"/>
          <w:highlight w:val="none"/>
          <w:lang w:val="en-US" w:eastAsia="zh-CN"/>
        </w:rPr>
        <w:t>22</w:t>
      </w:r>
      <w:r>
        <w:rPr>
          <w:rFonts w:hint="default" w:ascii="Times New Roman" w:hAnsi="Times New Roman" w:eastAsia="仿宋" w:cs="Times New Roman"/>
          <w:b w:val="0"/>
          <w:bCs w:val="0"/>
          <w:color w:val="auto"/>
          <w:sz w:val="32"/>
          <w:szCs w:val="32"/>
          <w:highlight w:val="none"/>
        </w:rPr>
        <w:t>年一般公共预算财政拨款支出1705.87万元，主要用于以下方面:一般公共服务支出1470.36万元，占86.19%；社会保障和就业支出81.15万元，占4.76%；卫生健康支出53.61万元，占3.14%；住房保障支出100.75万元，占5.91%。</w:t>
      </w:r>
    </w:p>
    <w:p>
      <w:pPr>
        <w:pStyle w:val="19"/>
        <w:rPr>
          <w:rFonts w:hint="default" w:ascii="Times New Roman" w:hAnsi="Times New Roman" w:cs="Times New Roman"/>
        </w:rPr>
      </w:pPr>
      <w:r>
        <w:rPr>
          <w:rFonts w:hint="default" w:ascii="Times New Roman" w:hAnsi="Times New Roman" w:cs="Times New Roman"/>
        </w:rPr>
        <w:drawing>
          <wp:inline distT="0" distB="0" distL="114300" distR="114300">
            <wp:extent cx="4572000" cy="2814320"/>
            <wp:effectExtent l="4445" t="4445" r="14605" b="1968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图6：一般公共预算财政拨款支出决算结构</w:t>
      </w:r>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bookmarkStart w:id="26" w:name="_Toc15377212"/>
      <w:r>
        <w:rPr>
          <w:rFonts w:hint="default" w:ascii="Times New Roman" w:hAnsi="Times New Roman" w:eastAsia="仿宋" w:cs="Times New Roman"/>
          <w:b/>
          <w:color w:val="auto"/>
          <w:sz w:val="32"/>
          <w:szCs w:val="32"/>
          <w:highlight w:val="none"/>
        </w:rPr>
        <w:t>（三）一般公共预算财政拨款支出决算具体情况</w:t>
      </w:r>
      <w:bookmarkEnd w:id="26"/>
    </w:p>
    <w:p>
      <w:pPr>
        <w:spacing w:line="600" w:lineRule="exact"/>
        <w:ind w:firstLine="640" w:firstLineChars="200"/>
        <w:outlineLvl w:val="2"/>
        <w:rPr>
          <w:rStyle w:val="16"/>
          <w:rFonts w:hint="default" w:ascii="Times New Roman" w:hAnsi="Times New Roman" w:eastAsia="仿宋" w:cs="Times New Roman"/>
          <w:b w:val="0"/>
          <w:bCs/>
          <w:color w:val="auto"/>
          <w:sz w:val="32"/>
          <w:szCs w:val="32"/>
          <w:highlight w:val="none"/>
        </w:rPr>
      </w:pPr>
      <w:bookmarkStart w:id="27" w:name="_Toc15377444"/>
      <w:bookmarkStart w:id="28" w:name="_Toc15378460"/>
      <w:bookmarkStart w:id="29" w:name="_Toc15377213"/>
      <w:r>
        <w:rPr>
          <w:rFonts w:hint="default" w:ascii="Times New Roman" w:hAnsi="Times New Roman" w:eastAsia="仿宋" w:cs="Times New Roman"/>
          <w:b w:val="0"/>
          <w:bCs/>
          <w:color w:val="auto"/>
          <w:sz w:val="32"/>
          <w:szCs w:val="32"/>
          <w:highlight w:val="none"/>
        </w:rPr>
        <w:t>20</w:t>
      </w:r>
      <w:r>
        <w:rPr>
          <w:rFonts w:hint="default" w:ascii="Times New Roman" w:hAnsi="Times New Roman" w:eastAsia="仿宋" w:cs="Times New Roman"/>
          <w:b w:val="0"/>
          <w:bCs/>
          <w:color w:val="auto"/>
          <w:sz w:val="32"/>
          <w:szCs w:val="32"/>
          <w:highlight w:val="none"/>
          <w:lang w:val="en-US" w:eastAsia="zh-CN"/>
        </w:rPr>
        <w:t>22</w:t>
      </w:r>
      <w:r>
        <w:rPr>
          <w:rFonts w:hint="default" w:ascii="Times New Roman" w:hAnsi="Times New Roman" w:eastAsia="仿宋" w:cs="Times New Roman"/>
          <w:b w:val="0"/>
          <w:bCs/>
          <w:color w:val="auto"/>
          <w:sz w:val="32"/>
          <w:szCs w:val="32"/>
          <w:highlight w:val="none"/>
        </w:rPr>
        <w:t>年</w:t>
      </w:r>
      <w:r>
        <w:rPr>
          <w:rFonts w:hint="default" w:ascii="Times New Roman" w:hAnsi="Times New Roman" w:eastAsia="仿宋" w:cs="Times New Roman"/>
          <w:b w:val="0"/>
          <w:bCs/>
          <w:color w:val="auto"/>
          <w:sz w:val="32"/>
          <w:szCs w:val="32"/>
          <w:highlight w:val="none"/>
          <w:lang w:eastAsia="zh-CN"/>
        </w:rPr>
        <w:t>一</w:t>
      </w:r>
      <w:r>
        <w:rPr>
          <w:rFonts w:hint="default" w:ascii="Times New Roman" w:hAnsi="Times New Roman" w:eastAsia="仿宋" w:cs="Times New Roman"/>
          <w:b w:val="0"/>
          <w:bCs/>
          <w:color w:val="auto"/>
          <w:sz w:val="32"/>
          <w:szCs w:val="32"/>
          <w:highlight w:val="none"/>
        </w:rPr>
        <w:t>般公共预算支出决算数为1705.87，</w:t>
      </w:r>
      <w:r>
        <w:rPr>
          <w:rStyle w:val="16"/>
          <w:rFonts w:hint="default" w:ascii="Times New Roman" w:hAnsi="Times New Roman" w:eastAsia="仿宋" w:cs="Times New Roman"/>
          <w:b w:val="0"/>
          <w:bCs/>
          <w:color w:val="auto"/>
          <w:sz w:val="32"/>
          <w:szCs w:val="32"/>
          <w:highlight w:val="none"/>
        </w:rPr>
        <w:t>完成预算</w:t>
      </w:r>
      <w:r>
        <w:rPr>
          <w:rStyle w:val="16"/>
          <w:rFonts w:hint="default" w:ascii="Times New Roman" w:hAnsi="Times New Roman" w:eastAsia="仿宋" w:cs="Times New Roman"/>
          <w:b w:val="0"/>
          <w:bCs/>
          <w:color w:val="auto"/>
          <w:sz w:val="32"/>
          <w:szCs w:val="32"/>
          <w:highlight w:val="none"/>
          <w:lang w:val="en-US" w:eastAsia="zh-CN"/>
        </w:rPr>
        <w:t>97</w:t>
      </w:r>
      <w:r>
        <w:rPr>
          <w:rStyle w:val="16"/>
          <w:rFonts w:hint="default" w:ascii="Times New Roman" w:hAnsi="Times New Roman" w:eastAsia="仿宋" w:cs="Times New Roman"/>
          <w:b w:val="0"/>
          <w:bCs/>
          <w:color w:val="auto"/>
          <w:sz w:val="32"/>
          <w:szCs w:val="32"/>
          <w:highlight w:val="none"/>
        </w:rPr>
        <w:t>%。其中：</w:t>
      </w:r>
      <w:bookmarkEnd w:id="27"/>
      <w:bookmarkEnd w:id="28"/>
      <w:bookmarkEnd w:id="29"/>
    </w:p>
    <w:p>
      <w:pPr>
        <w:spacing w:line="600" w:lineRule="exact"/>
        <w:ind w:firstLine="643" w:firstLineChars="200"/>
        <w:rPr>
          <w:rFonts w:hint="default" w:ascii="Times New Roman" w:hAnsi="Times New Roman" w:eastAsia="仿宋" w:cs="Times New Roman"/>
          <w:b w:val="0"/>
          <w:bCs w:val="0"/>
          <w:color w:val="auto"/>
          <w:sz w:val="32"/>
          <w:szCs w:val="32"/>
          <w:highlight w:val="yellow"/>
        </w:rPr>
      </w:pPr>
      <w:r>
        <w:rPr>
          <w:rStyle w:val="16"/>
          <w:rFonts w:hint="default" w:ascii="Times New Roman" w:hAnsi="Times New Roman" w:eastAsia="仿宋" w:cs="Times New Roman"/>
          <w:b/>
          <w:bCs/>
          <w:color w:val="auto"/>
          <w:sz w:val="32"/>
          <w:szCs w:val="32"/>
          <w:highlight w:val="none"/>
        </w:rPr>
        <w:t>1.一般公共服务（类）</w:t>
      </w:r>
      <w:r>
        <w:rPr>
          <w:rFonts w:hint="default" w:ascii="Times New Roman" w:hAnsi="Times New Roman" w:eastAsia="仿宋" w:cs="Times New Roman"/>
          <w:b/>
          <w:bCs/>
          <w:color w:val="auto"/>
          <w:sz w:val="32"/>
          <w:szCs w:val="32"/>
          <w:highlight w:val="none"/>
        </w:rPr>
        <w:t>纪检监察事务</w:t>
      </w:r>
      <w:r>
        <w:rPr>
          <w:rStyle w:val="16"/>
          <w:rFonts w:hint="default" w:ascii="Times New Roman" w:hAnsi="Times New Roman" w:eastAsia="仿宋" w:cs="Times New Roman"/>
          <w:b/>
          <w:bCs/>
          <w:color w:val="auto"/>
          <w:sz w:val="32"/>
          <w:szCs w:val="32"/>
          <w:highlight w:val="none"/>
        </w:rPr>
        <w:t>（款）行政运行（项）:</w:t>
      </w:r>
      <w:r>
        <w:rPr>
          <w:rStyle w:val="16"/>
          <w:rFonts w:hint="default" w:ascii="Times New Roman" w:hAnsi="Times New Roman" w:eastAsia="仿宋" w:cs="Times New Roman"/>
          <w:b w:val="0"/>
          <w:bCs w:val="0"/>
          <w:color w:val="auto"/>
          <w:sz w:val="32"/>
          <w:szCs w:val="32"/>
          <w:highlight w:val="none"/>
        </w:rPr>
        <w:t>支出决算为1152.45万元，完成预算</w:t>
      </w:r>
      <w:r>
        <w:rPr>
          <w:rStyle w:val="16"/>
          <w:rFonts w:hint="default" w:ascii="Times New Roman" w:hAnsi="Times New Roman" w:eastAsia="仿宋" w:cs="Times New Roman"/>
          <w:b w:val="0"/>
          <w:bCs w:val="0"/>
          <w:color w:val="auto"/>
          <w:sz w:val="32"/>
          <w:szCs w:val="32"/>
          <w:highlight w:val="none"/>
          <w:lang w:val="en-US" w:eastAsia="zh-CN"/>
        </w:rPr>
        <w:t>100</w:t>
      </w:r>
      <w:r>
        <w:rPr>
          <w:rStyle w:val="16"/>
          <w:rFonts w:hint="default" w:ascii="Times New Roman" w:hAnsi="Times New Roman" w:eastAsia="仿宋" w:cs="Times New Roman"/>
          <w:b w:val="0"/>
          <w:bCs w:val="0"/>
          <w:color w:val="auto"/>
          <w:sz w:val="32"/>
          <w:szCs w:val="32"/>
          <w:highlight w:val="none"/>
        </w:rPr>
        <w:t>%，决算数等于预算数。</w:t>
      </w:r>
    </w:p>
    <w:p>
      <w:pPr>
        <w:spacing w:line="600" w:lineRule="exact"/>
        <w:ind w:firstLine="643" w:firstLineChars="200"/>
        <w:outlineLvl w:val="2"/>
        <w:rPr>
          <w:rFonts w:hint="default" w:ascii="Times New Roman" w:hAnsi="Times New Roman" w:eastAsia="仿宋" w:cs="Times New Roman"/>
          <w:b w:val="0"/>
          <w:bCs w:val="0"/>
          <w:color w:val="auto"/>
          <w:sz w:val="32"/>
          <w:szCs w:val="32"/>
          <w:highlight w:val="none"/>
        </w:rPr>
      </w:pPr>
      <w:r>
        <w:rPr>
          <w:rStyle w:val="16"/>
          <w:rFonts w:hint="default" w:ascii="Times New Roman" w:hAnsi="Times New Roman" w:eastAsia="仿宋" w:cs="Times New Roman"/>
          <w:b/>
          <w:bCs/>
          <w:color w:val="auto"/>
          <w:sz w:val="32"/>
          <w:szCs w:val="32"/>
          <w:highlight w:val="none"/>
        </w:rPr>
        <w:t>2.一般公共服务（类）</w:t>
      </w:r>
      <w:r>
        <w:rPr>
          <w:rFonts w:hint="default" w:ascii="Times New Roman" w:hAnsi="Times New Roman" w:eastAsia="仿宋" w:cs="Times New Roman"/>
          <w:b/>
          <w:bCs/>
          <w:color w:val="auto"/>
          <w:sz w:val="32"/>
          <w:szCs w:val="32"/>
          <w:highlight w:val="none"/>
        </w:rPr>
        <w:t>纪检监察事务</w:t>
      </w:r>
      <w:r>
        <w:rPr>
          <w:rStyle w:val="16"/>
          <w:rFonts w:hint="default" w:ascii="Times New Roman" w:hAnsi="Times New Roman" w:eastAsia="仿宋" w:cs="Times New Roman"/>
          <w:b/>
          <w:bCs/>
          <w:color w:val="auto"/>
          <w:sz w:val="32"/>
          <w:szCs w:val="32"/>
          <w:highlight w:val="none"/>
        </w:rPr>
        <w:t>（款）一般行政管理事务（项）:</w:t>
      </w:r>
      <w:r>
        <w:rPr>
          <w:rStyle w:val="16"/>
          <w:rFonts w:hint="default" w:ascii="Times New Roman" w:hAnsi="Times New Roman" w:eastAsia="仿宋" w:cs="Times New Roman"/>
          <w:b w:val="0"/>
          <w:bCs w:val="0"/>
          <w:color w:val="auto"/>
          <w:sz w:val="32"/>
          <w:szCs w:val="32"/>
          <w:highlight w:val="none"/>
        </w:rPr>
        <w:t>支出决算为0.31万元，完成预算</w:t>
      </w:r>
      <w:r>
        <w:rPr>
          <w:rStyle w:val="16"/>
          <w:rFonts w:hint="default" w:ascii="Times New Roman" w:hAnsi="Times New Roman" w:eastAsia="仿宋" w:cs="Times New Roman"/>
          <w:b w:val="0"/>
          <w:bCs w:val="0"/>
          <w:color w:val="auto"/>
          <w:sz w:val="32"/>
          <w:szCs w:val="32"/>
          <w:highlight w:val="none"/>
          <w:lang w:val="en-US" w:eastAsia="zh-CN"/>
        </w:rPr>
        <w:t>100</w:t>
      </w:r>
      <w:r>
        <w:rPr>
          <w:rStyle w:val="16"/>
          <w:rFonts w:hint="default" w:ascii="Times New Roman" w:hAnsi="Times New Roman" w:eastAsia="仿宋" w:cs="Times New Roman"/>
          <w:b w:val="0"/>
          <w:bCs w:val="0"/>
          <w:color w:val="auto"/>
          <w:sz w:val="32"/>
          <w:szCs w:val="32"/>
          <w:highlight w:val="none"/>
        </w:rPr>
        <w:t>%，决算数等于预算数。</w:t>
      </w:r>
    </w:p>
    <w:p>
      <w:pPr>
        <w:spacing w:line="600" w:lineRule="exact"/>
        <w:ind w:firstLine="643" w:firstLineChars="200"/>
        <w:rPr>
          <w:rFonts w:hint="default" w:ascii="Times New Roman" w:hAnsi="Times New Roman" w:eastAsia="仿宋" w:cs="Times New Roman"/>
          <w:b w:val="0"/>
          <w:bCs w:val="0"/>
          <w:color w:val="auto"/>
          <w:sz w:val="32"/>
          <w:szCs w:val="32"/>
          <w:highlight w:val="none"/>
        </w:rPr>
      </w:pPr>
      <w:r>
        <w:rPr>
          <w:rStyle w:val="16"/>
          <w:rFonts w:hint="default" w:ascii="Times New Roman" w:hAnsi="Times New Roman" w:eastAsia="仿宋" w:cs="Times New Roman"/>
          <w:b/>
          <w:bCs/>
          <w:color w:val="auto"/>
          <w:sz w:val="32"/>
          <w:szCs w:val="32"/>
          <w:highlight w:val="none"/>
        </w:rPr>
        <w:t>3.科一般公共服务（类）</w:t>
      </w:r>
      <w:r>
        <w:rPr>
          <w:rFonts w:hint="default" w:ascii="Times New Roman" w:hAnsi="Times New Roman" w:eastAsia="仿宋" w:cs="Times New Roman"/>
          <w:b/>
          <w:bCs/>
          <w:color w:val="auto"/>
          <w:sz w:val="32"/>
          <w:szCs w:val="32"/>
          <w:highlight w:val="none"/>
        </w:rPr>
        <w:t>纪检监察事务</w:t>
      </w:r>
      <w:r>
        <w:rPr>
          <w:rStyle w:val="16"/>
          <w:rFonts w:hint="default" w:ascii="Times New Roman" w:hAnsi="Times New Roman" w:eastAsia="仿宋" w:cs="Times New Roman"/>
          <w:b/>
          <w:bCs/>
          <w:color w:val="auto"/>
          <w:sz w:val="32"/>
          <w:szCs w:val="32"/>
          <w:highlight w:val="none"/>
        </w:rPr>
        <w:t>（款）大案要案查处（项）:</w:t>
      </w:r>
      <w:r>
        <w:rPr>
          <w:rStyle w:val="16"/>
          <w:rFonts w:hint="default" w:ascii="Times New Roman" w:hAnsi="Times New Roman" w:eastAsia="仿宋" w:cs="Times New Roman"/>
          <w:b w:val="0"/>
          <w:bCs w:val="0"/>
          <w:color w:val="auto"/>
          <w:sz w:val="32"/>
          <w:szCs w:val="32"/>
          <w:highlight w:val="none"/>
        </w:rPr>
        <w:t>支出决算为221.98万元，完成预算73.99%，决算数小于预算数的主要原因是</w:t>
      </w:r>
      <w:r>
        <w:rPr>
          <w:rStyle w:val="16"/>
          <w:rFonts w:hint="default" w:ascii="Times New Roman" w:hAnsi="Times New Roman" w:eastAsia="仿宋" w:cs="Times New Roman"/>
          <w:b w:val="0"/>
          <w:bCs w:val="0"/>
          <w:color w:val="auto"/>
          <w:sz w:val="32"/>
          <w:szCs w:val="32"/>
          <w:highlight w:val="none"/>
          <w:lang w:eastAsia="zh-CN"/>
        </w:rPr>
        <w:t>受</w:t>
      </w:r>
      <w:r>
        <w:rPr>
          <w:rStyle w:val="16"/>
          <w:rFonts w:hint="default" w:ascii="Times New Roman" w:hAnsi="Times New Roman" w:eastAsia="仿宋" w:cs="Times New Roman"/>
          <w:b w:val="0"/>
          <w:bCs w:val="0"/>
          <w:color w:val="auto"/>
          <w:sz w:val="32"/>
          <w:szCs w:val="32"/>
          <w:highlight w:val="none"/>
        </w:rPr>
        <w:t>办案周期</w:t>
      </w:r>
      <w:r>
        <w:rPr>
          <w:rStyle w:val="16"/>
          <w:rFonts w:hint="default" w:ascii="Times New Roman" w:hAnsi="Times New Roman" w:eastAsia="仿宋" w:cs="Times New Roman"/>
          <w:b w:val="0"/>
          <w:bCs w:val="0"/>
          <w:color w:val="auto"/>
          <w:sz w:val="32"/>
          <w:szCs w:val="32"/>
          <w:highlight w:val="none"/>
          <w:lang w:eastAsia="zh-CN"/>
        </w:rPr>
        <w:t>因素影响</w:t>
      </w:r>
      <w:r>
        <w:rPr>
          <w:rStyle w:val="16"/>
          <w:rFonts w:hint="default" w:ascii="Times New Roman" w:hAnsi="Times New Roman" w:eastAsia="仿宋" w:cs="Times New Roman"/>
          <w:b w:val="0"/>
          <w:bCs w:val="0"/>
          <w:color w:val="auto"/>
          <w:sz w:val="32"/>
          <w:szCs w:val="32"/>
          <w:highlight w:val="none"/>
        </w:rPr>
        <w:t>，部分案件费用于次年完成支付。</w:t>
      </w:r>
    </w:p>
    <w:p>
      <w:pPr>
        <w:spacing w:line="600" w:lineRule="exact"/>
        <w:ind w:firstLine="643" w:firstLineChars="200"/>
        <w:rPr>
          <w:rFonts w:hint="default" w:ascii="Times New Roman" w:hAnsi="Times New Roman" w:eastAsia="仿宋" w:cs="Times New Roman"/>
          <w:b w:val="0"/>
          <w:bCs w:val="0"/>
          <w:color w:val="auto"/>
          <w:sz w:val="32"/>
          <w:szCs w:val="32"/>
          <w:highlight w:val="none"/>
        </w:rPr>
      </w:pPr>
      <w:r>
        <w:rPr>
          <w:rStyle w:val="16"/>
          <w:rFonts w:hint="default" w:ascii="Times New Roman" w:hAnsi="Times New Roman" w:eastAsia="仿宋" w:cs="Times New Roman"/>
          <w:b/>
          <w:bCs/>
          <w:color w:val="auto"/>
          <w:sz w:val="32"/>
          <w:szCs w:val="32"/>
          <w:highlight w:val="none"/>
        </w:rPr>
        <w:t>4.文一般公共服务（类）</w:t>
      </w:r>
      <w:r>
        <w:rPr>
          <w:rFonts w:hint="default" w:ascii="Times New Roman" w:hAnsi="Times New Roman" w:eastAsia="仿宋" w:cs="Times New Roman"/>
          <w:b/>
          <w:bCs/>
          <w:color w:val="auto"/>
          <w:sz w:val="32"/>
          <w:szCs w:val="32"/>
          <w:highlight w:val="none"/>
        </w:rPr>
        <w:t>纪检监察事务</w:t>
      </w:r>
      <w:r>
        <w:rPr>
          <w:rStyle w:val="16"/>
          <w:rFonts w:hint="default" w:ascii="Times New Roman" w:hAnsi="Times New Roman" w:eastAsia="仿宋" w:cs="Times New Roman"/>
          <w:b/>
          <w:bCs/>
          <w:color w:val="auto"/>
          <w:sz w:val="32"/>
          <w:szCs w:val="32"/>
          <w:highlight w:val="none"/>
        </w:rPr>
        <w:t>（款）事业运行（项）:</w:t>
      </w:r>
      <w:r>
        <w:rPr>
          <w:rStyle w:val="16"/>
          <w:rFonts w:hint="default" w:ascii="Times New Roman" w:hAnsi="Times New Roman" w:eastAsia="仿宋" w:cs="Times New Roman"/>
          <w:b w:val="0"/>
          <w:bCs w:val="0"/>
          <w:color w:val="auto"/>
          <w:sz w:val="32"/>
          <w:szCs w:val="32"/>
          <w:highlight w:val="none"/>
        </w:rPr>
        <w:t>支出决算为7.76万元，完成预算</w:t>
      </w:r>
      <w:r>
        <w:rPr>
          <w:rStyle w:val="16"/>
          <w:rFonts w:hint="default" w:ascii="Times New Roman" w:hAnsi="Times New Roman" w:eastAsia="仿宋" w:cs="Times New Roman"/>
          <w:b w:val="0"/>
          <w:bCs w:val="0"/>
          <w:color w:val="auto"/>
          <w:sz w:val="32"/>
          <w:szCs w:val="32"/>
          <w:highlight w:val="none"/>
          <w:lang w:val="en-US" w:eastAsia="zh-CN"/>
        </w:rPr>
        <w:t>94.4</w:t>
      </w:r>
      <w:r>
        <w:rPr>
          <w:rStyle w:val="16"/>
          <w:rFonts w:hint="default" w:ascii="Times New Roman" w:hAnsi="Times New Roman" w:eastAsia="仿宋" w:cs="Times New Roman"/>
          <w:b w:val="0"/>
          <w:bCs w:val="0"/>
          <w:color w:val="auto"/>
          <w:sz w:val="32"/>
          <w:szCs w:val="32"/>
          <w:highlight w:val="none"/>
        </w:rPr>
        <w:t>%，决算数</w:t>
      </w:r>
      <w:r>
        <w:rPr>
          <w:rStyle w:val="16"/>
          <w:rFonts w:hint="default" w:ascii="Times New Roman" w:hAnsi="Times New Roman" w:eastAsia="仿宋" w:cs="Times New Roman"/>
          <w:b w:val="0"/>
          <w:bCs w:val="0"/>
          <w:color w:val="auto"/>
          <w:sz w:val="32"/>
          <w:szCs w:val="32"/>
          <w:highlight w:val="none"/>
          <w:lang w:eastAsia="zh-CN"/>
        </w:rPr>
        <w:t>小于</w:t>
      </w:r>
      <w:r>
        <w:rPr>
          <w:rStyle w:val="16"/>
          <w:rFonts w:hint="default" w:ascii="Times New Roman" w:hAnsi="Times New Roman" w:eastAsia="仿宋" w:cs="Times New Roman"/>
          <w:b w:val="0"/>
          <w:bCs w:val="0"/>
          <w:color w:val="auto"/>
          <w:sz w:val="32"/>
          <w:szCs w:val="32"/>
          <w:highlight w:val="none"/>
        </w:rPr>
        <w:t>预算数</w:t>
      </w:r>
      <w:r>
        <w:rPr>
          <w:rStyle w:val="16"/>
          <w:rFonts w:hint="default" w:ascii="Times New Roman" w:hAnsi="Times New Roman" w:eastAsia="仿宋" w:cs="Times New Roman"/>
          <w:b w:val="0"/>
          <w:bCs w:val="0"/>
          <w:color w:val="auto"/>
          <w:sz w:val="32"/>
          <w:szCs w:val="32"/>
          <w:highlight w:val="none"/>
          <w:lang w:eastAsia="zh-CN"/>
        </w:rPr>
        <w:t>的</w:t>
      </w:r>
      <w:r>
        <w:rPr>
          <w:rStyle w:val="16"/>
          <w:rFonts w:hint="default" w:ascii="Times New Roman" w:hAnsi="Times New Roman" w:eastAsia="仿宋" w:cs="Times New Roman"/>
          <w:b w:val="0"/>
          <w:bCs/>
          <w:color w:val="auto"/>
          <w:sz w:val="32"/>
          <w:szCs w:val="32"/>
          <w:highlight w:val="none"/>
        </w:rPr>
        <w:t>主要原因是</w:t>
      </w:r>
      <w:r>
        <w:rPr>
          <w:rFonts w:hint="default" w:ascii="Times New Roman" w:hAnsi="Times New Roman" w:eastAsia="仿宋" w:cs="Times New Roman"/>
          <w:color w:val="auto"/>
          <w:sz w:val="32"/>
          <w:szCs w:val="32"/>
          <w:highlight w:val="none"/>
        </w:rPr>
        <w:t>厉行节约</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减少不必要支出</w:t>
      </w:r>
      <w:r>
        <w:rPr>
          <w:rStyle w:val="16"/>
          <w:rFonts w:hint="default" w:ascii="Times New Roman" w:hAnsi="Times New Roman" w:eastAsia="仿宋" w:cs="Times New Roman"/>
          <w:b w:val="0"/>
          <w:bCs w:val="0"/>
          <w:color w:val="auto"/>
          <w:sz w:val="32"/>
          <w:szCs w:val="32"/>
          <w:highlight w:val="none"/>
        </w:rPr>
        <w:t>。</w:t>
      </w:r>
    </w:p>
    <w:p>
      <w:pPr>
        <w:spacing w:line="600" w:lineRule="exact"/>
        <w:ind w:firstLine="643" w:firstLineChars="200"/>
        <w:rPr>
          <w:rFonts w:hint="default" w:ascii="Times New Roman" w:hAnsi="Times New Roman" w:eastAsia="仿宋" w:cs="Times New Roman"/>
          <w:b w:val="0"/>
          <w:bCs w:val="0"/>
          <w:color w:val="auto"/>
          <w:sz w:val="32"/>
          <w:szCs w:val="32"/>
          <w:highlight w:val="none"/>
        </w:rPr>
      </w:pPr>
      <w:r>
        <w:rPr>
          <w:rStyle w:val="16"/>
          <w:rFonts w:hint="default" w:ascii="Times New Roman" w:hAnsi="Times New Roman" w:eastAsia="仿宋" w:cs="Times New Roman"/>
          <w:b/>
          <w:bCs/>
          <w:color w:val="auto"/>
          <w:sz w:val="32"/>
          <w:szCs w:val="32"/>
          <w:highlight w:val="none"/>
        </w:rPr>
        <w:t>5.一般公共服务（类）</w:t>
      </w:r>
      <w:r>
        <w:rPr>
          <w:rFonts w:hint="default" w:ascii="Times New Roman" w:hAnsi="Times New Roman" w:eastAsia="仿宋" w:cs="Times New Roman"/>
          <w:b/>
          <w:bCs/>
          <w:color w:val="auto"/>
          <w:sz w:val="32"/>
          <w:szCs w:val="32"/>
          <w:highlight w:val="none"/>
        </w:rPr>
        <w:t>纪检监察事务</w:t>
      </w:r>
      <w:r>
        <w:rPr>
          <w:rStyle w:val="16"/>
          <w:rFonts w:hint="default" w:ascii="Times New Roman" w:hAnsi="Times New Roman" w:eastAsia="仿宋" w:cs="Times New Roman"/>
          <w:b/>
          <w:bCs/>
          <w:color w:val="auto"/>
          <w:sz w:val="32"/>
          <w:szCs w:val="32"/>
          <w:highlight w:val="none"/>
        </w:rPr>
        <w:t>（款）其他纪检监察事务支出（项）:</w:t>
      </w:r>
      <w:r>
        <w:rPr>
          <w:rStyle w:val="16"/>
          <w:rFonts w:hint="default" w:ascii="Times New Roman" w:hAnsi="Times New Roman" w:eastAsia="仿宋" w:cs="Times New Roman"/>
          <w:b w:val="0"/>
          <w:bCs w:val="0"/>
          <w:color w:val="auto"/>
          <w:sz w:val="32"/>
          <w:szCs w:val="32"/>
          <w:highlight w:val="none"/>
        </w:rPr>
        <w:t>支出决算为87.87万元，完成预</w:t>
      </w:r>
      <w:r>
        <w:rPr>
          <w:rStyle w:val="16"/>
          <w:rFonts w:hint="default" w:ascii="Times New Roman" w:hAnsi="Times New Roman" w:eastAsia="仿宋" w:cs="Times New Roman"/>
          <w:b w:val="0"/>
          <w:bCs w:val="0"/>
          <w:color w:val="auto"/>
          <w:sz w:val="32"/>
          <w:szCs w:val="32"/>
          <w:highlight w:val="none"/>
          <w:lang w:val="en-US" w:eastAsia="zh-CN"/>
        </w:rPr>
        <w:t>100</w:t>
      </w:r>
      <w:r>
        <w:rPr>
          <w:rStyle w:val="16"/>
          <w:rFonts w:hint="default" w:ascii="Times New Roman" w:hAnsi="Times New Roman" w:eastAsia="仿宋" w:cs="Times New Roman"/>
          <w:b w:val="0"/>
          <w:bCs w:val="0"/>
          <w:color w:val="auto"/>
          <w:sz w:val="32"/>
          <w:szCs w:val="32"/>
          <w:highlight w:val="none"/>
        </w:rPr>
        <w:t>%，决算数等于预算数。</w:t>
      </w:r>
    </w:p>
    <w:p>
      <w:pPr>
        <w:spacing w:line="600" w:lineRule="exact"/>
        <w:ind w:firstLine="643" w:firstLineChars="200"/>
        <w:rPr>
          <w:rFonts w:hint="default" w:ascii="Times New Roman" w:hAnsi="Times New Roman" w:eastAsia="仿宋" w:cs="Times New Roman"/>
          <w:b w:val="0"/>
          <w:bCs w:val="0"/>
          <w:color w:val="auto"/>
          <w:sz w:val="32"/>
          <w:szCs w:val="32"/>
          <w:highlight w:val="none"/>
          <w:lang w:eastAsia="zh-CN"/>
        </w:rPr>
      </w:pPr>
      <w:r>
        <w:rPr>
          <w:rStyle w:val="16"/>
          <w:rFonts w:hint="default" w:ascii="Times New Roman" w:hAnsi="Times New Roman" w:eastAsia="仿宋" w:cs="Times New Roman"/>
          <w:b/>
          <w:bCs/>
          <w:color w:val="auto"/>
          <w:sz w:val="32"/>
          <w:szCs w:val="32"/>
          <w:highlight w:val="none"/>
        </w:rPr>
        <w:t>6.</w:t>
      </w:r>
      <w:r>
        <w:rPr>
          <w:rFonts w:hint="default" w:ascii="Times New Roman" w:hAnsi="Times New Roman" w:eastAsia="仿宋" w:cs="Times New Roman"/>
          <w:b/>
          <w:bCs/>
          <w:color w:val="auto"/>
          <w:sz w:val="32"/>
          <w:szCs w:val="32"/>
          <w:highlight w:val="none"/>
        </w:rPr>
        <w:t>社会保障和就业支出</w:t>
      </w:r>
      <w:r>
        <w:rPr>
          <w:rStyle w:val="16"/>
          <w:rFonts w:hint="default" w:ascii="Times New Roman" w:hAnsi="Times New Roman" w:eastAsia="仿宋" w:cs="Times New Roman"/>
          <w:b/>
          <w:bCs/>
          <w:color w:val="auto"/>
          <w:sz w:val="32"/>
          <w:szCs w:val="32"/>
          <w:highlight w:val="none"/>
        </w:rPr>
        <w:t>（类）行政事业单位养老支出（款）机关事业单位基本养老保险缴费支出（项）:</w:t>
      </w:r>
      <w:r>
        <w:rPr>
          <w:rStyle w:val="16"/>
          <w:rFonts w:hint="default" w:ascii="Times New Roman" w:hAnsi="Times New Roman" w:eastAsia="仿宋" w:cs="Times New Roman"/>
          <w:b w:val="0"/>
          <w:bCs w:val="0"/>
          <w:color w:val="auto"/>
          <w:sz w:val="32"/>
          <w:szCs w:val="32"/>
          <w:highlight w:val="none"/>
        </w:rPr>
        <w:t>支出决算为80.45万元，完成预算</w:t>
      </w:r>
      <w:r>
        <w:rPr>
          <w:rStyle w:val="16"/>
          <w:rFonts w:hint="default" w:ascii="Times New Roman" w:hAnsi="Times New Roman" w:eastAsia="仿宋" w:cs="Times New Roman"/>
          <w:b w:val="0"/>
          <w:bCs w:val="0"/>
          <w:color w:val="auto"/>
          <w:sz w:val="32"/>
          <w:szCs w:val="32"/>
          <w:highlight w:val="none"/>
          <w:lang w:val="en-US" w:eastAsia="zh-CN"/>
        </w:rPr>
        <w:t>100</w:t>
      </w:r>
      <w:r>
        <w:rPr>
          <w:rStyle w:val="16"/>
          <w:rFonts w:hint="default" w:ascii="Times New Roman" w:hAnsi="Times New Roman" w:eastAsia="仿宋" w:cs="Times New Roman"/>
          <w:b w:val="0"/>
          <w:bCs w:val="0"/>
          <w:color w:val="auto"/>
          <w:sz w:val="32"/>
          <w:szCs w:val="32"/>
          <w:highlight w:val="none"/>
        </w:rPr>
        <w:t>%，决算数等于预算数。</w:t>
      </w:r>
    </w:p>
    <w:p>
      <w:pPr>
        <w:spacing w:line="600" w:lineRule="exact"/>
        <w:ind w:firstLine="643" w:firstLineChars="200"/>
        <w:rPr>
          <w:rFonts w:hint="default" w:ascii="Times New Roman" w:hAnsi="Times New Roman" w:eastAsia="仿宋" w:cs="Times New Roman"/>
          <w:b w:val="0"/>
          <w:bCs w:val="0"/>
          <w:color w:val="auto"/>
          <w:sz w:val="32"/>
          <w:szCs w:val="32"/>
          <w:highlight w:val="none"/>
        </w:rPr>
      </w:pPr>
      <w:r>
        <w:rPr>
          <w:rStyle w:val="16"/>
          <w:rFonts w:hint="default" w:ascii="Times New Roman" w:hAnsi="Times New Roman" w:eastAsia="仿宋" w:cs="Times New Roman"/>
          <w:b/>
          <w:bCs/>
          <w:color w:val="auto"/>
          <w:sz w:val="32"/>
          <w:szCs w:val="32"/>
          <w:highlight w:val="none"/>
          <w:lang w:val="en-US" w:eastAsia="zh-CN"/>
        </w:rPr>
        <w:t>7</w:t>
      </w:r>
      <w:r>
        <w:rPr>
          <w:rStyle w:val="16"/>
          <w:rFonts w:hint="default" w:ascii="Times New Roman" w:hAnsi="Times New Roman" w:eastAsia="仿宋" w:cs="Times New Roman"/>
          <w:b/>
          <w:bCs/>
          <w:color w:val="auto"/>
          <w:sz w:val="32"/>
          <w:szCs w:val="32"/>
          <w:highlight w:val="none"/>
        </w:rPr>
        <w:t>.</w:t>
      </w:r>
      <w:r>
        <w:rPr>
          <w:rFonts w:hint="default" w:ascii="Times New Roman" w:hAnsi="Times New Roman" w:eastAsia="仿宋" w:cs="Times New Roman"/>
          <w:b/>
          <w:bCs/>
          <w:color w:val="auto"/>
          <w:sz w:val="32"/>
          <w:szCs w:val="32"/>
          <w:highlight w:val="none"/>
        </w:rPr>
        <w:t>社会保障和就业支出</w:t>
      </w:r>
      <w:r>
        <w:rPr>
          <w:rStyle w:val="16"/>
          <w:rFonts w:hint="default" w:ascii="Times New Roman" w:hAnsi="Times New Roman" w:eastAsia="仿宋" w:cs="Times New Roman"/>
          <w:b/>
          <w:bCs/>
          <w:color w:val="auto"/>
          <w:sz w:val="32"/>
          <w:szCs w:val="32"/>
          <w:highlight w:val="none"/>
        </w:rPr>
        <w:t>（类）其他社会保障和就业支出（款）其他社会保障和就业支出（项）:</w:t>
      </w:r>
      <w:r>
        <w:rPr>
          <w:rStyle w:val="16"/>
          <w:rFonts w:hint="default" w:ascii="Times New Roman" w:hAnsi="Times New Roman" w:eastAsia="仿宋" w:cs="Times New Roman"/>
          <w:b w:val="0"/>
          <w:bCs w:val="0"/>
          <w:color w:val="auto"/>
          <w:sz w:val="32"/>
          <w:szCs w:val="32"/>
          <w:highlight w:val="none"/>
        </w:rPr>
        <w:t>支出决算为0.7万元，完成预算</w:t>
      </w:r>
      <w:r>
        <w:rPr>
          <w:rStyle w:val="16"/>
          <w:rFonts w:hint="default" w:ascii="Times New Roman" w:hAnsi="Times New Roman" w:eastAsia="仿宋" w:cs="Times New Roman"/>
          <w:b w:val="0"/>
          <w:bCs w:val="0"/>
          <w:color w:val="auto"/>
          <w:sz w:val="32"/>
          <w:szCs w:val="32"/>
          <w:highlight w:val="none"/>
          <w:lang w:val="en-US" w:eastAsia="zh-CN"/>
        </w:rPr>
        <w:t>100</w:t>
      </w:r>
      <w:r>
        <w:rPr>
          <w:rStyle w:val="16"/>
          <w:rFonts w:hint="default" w:ascii="Times New Roman" w:hAnsi="Times New Roman" w:eastAsia="仿宋" w:cs="Times New Roman"/>
          <w:b w:val="0"/>
          <w:bCs w:val="0"/>
          <w:color w:val="auto"/>
          <w:sz w:val="32"/>
          <w:szCs w:val="32"/>
          <w:highlight w:val="none"/>
        </w:rPr>
        <w:t>%，决算数等于预算数。</w:t>
      </w:r>
    </w:p>
    <w:p>
      <w:pPr>
        <w:spacing w:line="600" w:lineRule="exact"/>
        <w:ind w:firstLine="643" w:firstLineChars="200"/>
        <w:rPr>
          <w:rFonts w:hint="default" w:ascii="Times New Roman" w:hAnsi="Times New Roman" w:eastAsia="仿宋" w:cs="Times New Roman"/>
          <w:b w:val="0"/>
          <w:bCs w:val="0"/>
          <w:color w:val="auto"/>
          <w:sz w:val="32"/>
          <w:szCs w:val="32"/>
          <w:highlight w:val="none"/>
        </w:rPr>
      </w:pPr>
      <w:r>
        <w:rPr>
          <w:rStyle w:val="16"/>
          <w:rFonts w:hint="default" w:ascii="Times New Roman" w:hAnsi="Times New Roman" w:eastAsia="仿宋" w:cs="Times New Roman"/>
          <w:b/>
          <w:bCs/>
          <w:color w:val="auto"/>
          <w:sz w:val="32"/>
          <w:szCs w:val="32"/>
          <w:highlight w:val="none"/>
          <w:lang w:val="en-US" w:eastAsia="zh-CN"/>
        </w:rPr>
        <w:t>8</w:t>
      </w:r>
      <w:r>
        <w:rPr>
          <w:rStyle w:val="16"/>
          <w:rFonts w:hint="default" w:ascii="Times New Roman" w:hAnsi="Times New Roman" w:eastAsia="仿宋" w:cs="Times New Roman"/>
          <w:b/>
          <w:bCs/>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Style w:val="16"/>
          <w:rFonts w:hint="default" w:ascii="Times New Roman" w:hAnsi="Times New Roman" w:eastAsia="仿宋" w:cs="Times New Roman"/>
          <w:b/>
          <w:bCs/>
          <w:color w:val="auto"/>
          <w:sz w:val="32"/>
          <w:szCs w:val="32"/>
          <w:highlight w:val="none"/>
        </w:rPr>
        <w:t>（类）行政事业单位医疗（款）行政单位医疗（项）:</w:t>
      </w:r>
      <w:r>
        <w:rPr>
          <w:rStyle w:val="16"/>
          <w:rFonts w:hint="default" w:ascii="Times New Roman" w:hAnsi="Times New Roman" w:eastAsia="仿宋" w:cs="Times New Roman"/>
          <w:b w:val="0"/>
          <w:bCs w:val="0"/>
          <w:color w:val="auto"/>
          <w:sz w:val="32"/>
          <w:szCs w:val="32"/>
          <w:highlight w:val="none"/>
        </w:rPr>
        <w:t>支出决算为41.4万元，完成预算</w:t>
      </w:r>
      <w:r>
        <w:rPr>
          <w:rStyle w:val="16"/>
          <w:rFonts w:hint="default" w:ascii="Times New Roman" w:hAnsi="Times New Roman" w:eastAsia="仿宋" w:cs="Times New Roman"/>
          <w:b w:val="0"/>
          <w:bCs w:val="0"/>
          <w:color w:val="auto"/>
          <w:sz w:val="32"/>
          <w:szCs w:val="32"/>
          <w:highlight w:val="none"/>
          <w:lang w:val="en-US" w:eastAsia="zh-CN"/>
        </w:rPr>
        <w:t>100</w:t>
      </w:r>
      <w:r>
        <w:rPr>
          <w:rStyle w:val="16"/>
          <w:rFonts w:hint="default" w:ascii="Times New Roman" w:hAnsi="Times New Roman" w:eastAsia="仿宋" w:cs="Times New Roman"/>
          <w:b w:val="0"/>
          <w:bCs w:val="0"/>
          <w:color w:val="auto"/>
          <w:sz w:val="32"/>
          <w:szCs w:val="32"/>
          <w:highlight w:val="none"/>
        </w:rPr>
        <w:t>%，决算数等于预算数。</w:t>
      </w:r>
    </w:p>
    <w:p>
      <w:pPr>
        <w:spacing w:line="600" w:lineRule="exact"/>
        <w:ind w:firstLine="643" w:firstLineChars="200"/>
        <w:rPr>
          <w:rFonts w:hint="default" w:ascii="Times New Roman" w:hAnsi="Times New Roman" w:eastAsia="仿宋" w:cs="Times New Roman"/>
          <w:b w:val="0"/>
          <w:bCs w:val="0"/>
          <w:color w:val="auto"/>
          <w:sz w:val="32"/>
          <w:szCs w:val="32"/>
          <w:highlight w:val="none"/>
        </w:rPr>
      </w:pPr>
      <w:r>
        <w:rPr>
          <w:rStyle w:val="16"/>
          <w:rFonts w:hint="default" w:ascii="Times New Roman" w:hAnsi="Times New Roman" w:eastAsia="仿宋" w:cs="Times New Roman"/>
          <w:b/>
          <w:bCs/>
          <w:color w:val="auto"/>
          <w:sz w:val="32"/>
          <w:szCs w:val="32"/>
          <w:highlight w:val="none"/>
          <w:lang w:val="en-US" w:eastAsia="zh-CN"/>
        </w:rPr>
        <w:t>9</w:t>
      </w:r>
      <w:r>
        <w:rPr>
          <w:rStyle w:val="16"/>
          <w:rFonts w:hint="default" w:ascii="Times New Roman" w:hAnsi="Times New Roman" w:eastAsia="仿宋" w:cs="Times New Roman"/>
          <w:b/>
          <w:bCs/>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Style w:val="16"/>
          <w:rFonts w:hint="default" w:ascii="Times New Roman" w:hAnsi="Times New Roman" w:eastAsia="仿宋" w:cs="Times New Roman"/>
          <w:b/>
          <w:bCs/>
          <w:color w:val="auto"/>
          <w:sz w:val="32"/>
          <w:szCs w:val="32"/>
          <w:highlight w:val="none"/>
        </w:rPr>
        <w:t>（类）行政事业单位医疗（款）事业单位医疗（项）:</w:t>
      </w:r>
      <w:r>
        <w:rPr>
          <w:rStyle w:val="16"/>
          <w:rFonts w:hint="default" w:ascii="Times New Roman" w:hAnsi="Times New Roman" w:eastAsia="仿宋" w:cs="Times New Roman"/>
          <w:b w:val="0"/>
          <w:bCs w:val="0"/>
          <w:color w:val="auto"/>
          <w:sz w:val="32"/>
          <w:szCs w:val="32"/>
          <w:highlight w:val="none"/>
        </w:rPr>
        <w:t>支出决算为0.56万元，完成预算</w:t>
      </w:r>
      <w:r>
        <w:rPr>
          <w:rStyle w:val="16"/>
          <w:rFonts w:hint="default" w:ascii="Times New Roman" w:hAnsi="Times New Roman" w:eastAsia="仿宋" w:cs="Times New Roman"/>
          <w:b w:val="0"/>
          <w:bCs w:val="0"/>
          <w:color w:val="auto"/>
          <w:sz w:val="32"/>
          <w:szCs w:val="32"/>
          <w:highlight w:val="none"/>
          <w:lang w:val="en-US" w:eastAsia="zh-CN"/>
        </w:rPr>
        <w:t>100</w:t>
      </w:r>
      <w:r>
        <w:rPr>
          <w:rStyle w:val="16"/>
          <w:rFonts w:hint="default" w:ascii="Times New Roman" w:hAnsi="Times New Roman" w:eastAsia="仿宋" w:cs="Times New Roman"/>
          <w:b w:val="0"/>
          <w:bCs w:val="0"/>
          <w:color w:val="auto"/>
          <w:sz w:val="32"/>
          <w:szCs w:val="32"/>
          <w:highlight w:val="none"/>
        </w:rPr>
        <w:t>%，决算数等于预算数。</w:t>
      </w:r>
    </w:p>
    <w:p>
      <w:pPr>
        <w:spacing w:line="600" w:lineRule="exact"/>
        <w:ind w:firstLine="643" w:firstLineChars="200"/>
        <w:rPr>
          <w:rFonts w:hint="default" w:ascii="Times New Roman" w:hAnsi="Times New Roman" w:eastAsia="仿宋" w:cs="Times New Roman"/>
          <w:b w:val="0"/>
          <w:bCs w:val="0"/>
          <w:color w:val="auto"/>
          <w:sz w:val="32"/>
          <w:szCs w:val="32"/>
          <w:highlight w:val="none"/>
        </w:rPr>
      </w:pPr>
      <w:r>
        <w:rPr>
          <w:rStyle w:val="16"/>
          <w:rFonts w:hint="default" w:ascii="Times New Roman" w:hAnsi="Times New Roman" w:eastAsia="仿宋" w:cs="Times New Roman"/>
          <w:b/>
          <w:bCs/>
          <w:color w:val="auto"/>
          <w:sz w:val="32"/>
          <w:szCs w:val="32"/>
          <w:highlight w:val="none"/>
          <w:lang w:val="en-US" w:eastAsia="zh-CN"/>
        </w:rPr>
        <w:t>10</w:t>
      </w:r>
      <w:r>
        <w:rPr>
          <w:rStyle w:val="16"/>
          <w:rFonts w:hint="default" w:ascii="Times New Roman" w:hAnsi="Times New Roman" w:eastAsia="仿宋" w:cs="Times New Roman"/>
          <w:b/>
          <w:bCs/>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Style w:val="16"/>
          <w:rFonts w:hint="default" w:ascii="Times New Roman" w:hAnsi="Times New Roman" w:eastAsia="仿宋" w:cs="Times New Roman"/>
          <w:b/>
          <w:bCs/>
          <w:color w:val="auto"/>
          <w:sz w:val="32"/>
          <w:szCs w:val="32"/>
          <w:highlight w:val="none"/>
        </w:rPr>
        <w:t>（类）行政事业单位医疗（款）公务员医疗补助（项）:</w:t>
      </w:r>
      <w:r>
        <w:rPr>
          <w:rStyle w:val="16"/>
          <w:rFonts w:hint="default" w:ascii="Times New Roman" w:hAnsi="Times New Roman" w:eastAsia="仿宋" w:cs="Times New Roman"/>
          <w:b w:val="0"/>
          <w:bCs w:val="0"/>
          <w:color w:val="auto"/>
          <w:sz w:val="32"/>
          <w:szCs w:val="32"/>
          <w:highlight w:val="none"/>
        </w:rPr>
        <w:t>支出决算为11.64万元，完成预算</w:t>
      </w:r>
      <w:r>
        <w:rPr>
          <w:rStyle w:val="16"/>
          <w:rFonts w:hint="default" w:ascii="Times New Roman" w:hAnsi="Times New Roman" w:eastAsia="仿宋" w:cs="Times New Roman"/>
          <w:b w:val="0"/>
          <w:bCs w:val="0"/>
          <w:color w:val="auto"/>
          <w:sz w:val="32"/>
          <w:szCs w:val="32"/>
          <w:highlight w:val="none"/>
          <w:lang w:val="en-US" w:eastAsia="zh-CN"/>
        </w:rPr>
        <w:t>100</w:t>
      </w:r>
      <w:r>
        <w:rPr>
          <w:rStyle w:val="16"/>
          <w:rFonts w:hint="default" w:ascii="Times New Roman" w:hAnsi="Times New Roman" w:eastAsia="仿宋" w:cs="Times New Roman"/>
          <w:b w:val="0"/>
          <w:bCs w:val="0"/>
          <w:color w:val="auto"/>
          <w:sz w:val="32"/>
          <w:szCs w:val="32"/>
          <w:highlight w:val="none"/>
        </w:rPr>
        <w:t>%，决算数等于预算数。</w:t>
      </w:r>
    </w:p>
    <w:p>
      <w:pPr>
        <w:spacing w:line="600" w:lineRule="exact"/>
        <w:ind w:firstLine="643" w:firstLineChars="200"/>
        <w:rPr>
          <w:rFonts w:hint="default" w:ascii="Times New Roman" w:hAnsi="Times New Roman" w:eastAsia="仿宋" w:cs="Times New Roman"/>
          <w:b w:val="0"/>
          <w:bCs w:val="0"/>
          <w:color w:val="auto"/>
          <w:sz w:val="32"/>
          <w:szCs w:val="32"/>
          <w:highlight w:val="none"/>
        </w:rPr>
      </w:pPr>
      <w:r>
        <w:rPr>
          <w:rStyle w:val="16"/>
          <w:rFonts w:hint="default" w:ascii="Times New Roman" w:hAnsi="Times New Roman" w:eastAsia="仿宋" w:cs="Times New Roman"/>
          <w:b/>
          <w:bCs/>
          <w:color w:val="auto"/>
          <w:sz w:val="32"/>
          <w:szCs w:val="32"/>
          <w:highlight w:val="none"/>
          <w:lang w:val="en-US" w:eastAsia="zh-CN"/>
        </w:rPr>
        <w:t>11</w:t>
      </w:r>
      <w:r>
        <w:rPr>
          <w:rStyle w:val="16"/>
          <w:rFonts w:hint="default" w:ascii="Times New Roman" w:hAnsi="Times New Roman" w:eastAsia="仿宋" w:cs="Times New Roman"/>
          <w:b/>
          <w:bCs/>
          <w:color w:val="auto"/>
          <w:sz w:val="32"/>
          <w:szCs w:val="32"/>
          <w:highlight w:val="none"/>
        </w:rPr>
        <w:t>.</w:t>
      </w:r>
      <w:r>
        <w:rPr>
          <w:rFonts w:hint="default" w:ascii="Times New Roman" w:hAnsi="Times New Roman" w:eastAsia="仿宋" w:cs="Times New Roman"/>
          <w:b/>
          <w:bCs/>
          <w:color w:val="auto"/>
          <w:sz w:val="32"/>
          <w:szCs w:val="32"/>
          <w:highlight w:val="none"/>
        </w:rPr>
        <w:t>住房保障支出</w:t>
      </w:r>
      <w:r>
        <w:rPr>
          <w:rStyle w:val="16"/>
          <w:rFonts w:hint="default" w:ascii="Times New Roman" w:hAnsi="Times New Roman" w:eastAsia="仿宋" w:cs="Times New Roman"/>
          <w:b/>
          <w:bCs/>
          <w:color w:val="auto"/>
          <w:sz w:val="32"/>
          <w:szCs w:val="32"/>
          <w:highlight w:val="none"/>
        </w:rPr>
        <w:t>（类）住房改革支出（款）住房公积金（项）:</w:t>
      </w:r>
      <w:r>
        <w:rPr>
          <w:rStyle w:val="16"/>
          <w:rFonts w:hint="default" w:ascii="Times New Roman" w:hAnsi="Times New Roman" w:eastAsia="仿宋" w:cs="Times New Roman"/>
          <w:b w:val="0"/>
          <w:bCs w:val="0"/>
          <w:color w:val="auto"/>
          <w:sz w:val="32"/>
          <w:szCs w:val="32"/>
          <w:highlight w:val="none"/>
        </w:rPr>
        <w:t>支出决算为100.75万元，完成预算</w:t>
      </w:r>
      <w:r>
        <w:rPr>
          <w:rStyle w:val="16"/>
          <w:rFonts w:hint="default" w:ascii="Times New Roman" w:hAnsi="Times New Roman" w:eastAsia="仿宋" w:cs="Times New Roman"/>
          <w:b w:val="0"/>
          <w:bCs w:val="0"/>
          <w:color w:val="auto"/>
          <w:sz w:val="32"/>
          <w:szCs w:val="32"/>
          <w:highlight w:val="none"/>
          <w:lang w:val="en-US" w:eastAsia="zh-CN"/>
        </w:rPr>
        <w:t>100</w:t>
      </w:r>
      <w:r>
        <w:rPr>
          <w:rStyle w:val="16"/>
          <w:rFonts w:hint="default" w:ascii="Times New Roman" w:hAnsi="Times New Roman" w:eastAsia="仿宋" w:cs="Times New Roman"/>
          <w:b w:val="0"/>
          <w:bCs w:val="0"/>
          <w:color w:val="auto"/>
          <w:sz w:val="32"/>
          <w:szCs w:val="32"/>
          <w:highlight w:val="none"/>
        </w:rPr>
        <w:t>%，决算数等于预算数。</w:t>
      </w:r>
    </w:p>
    <w:p>
      <w:pPr>
        <w:tabs>
          <w:tab w:val="right" w:pos="8306"/>
        </w:tabs>
        <w:spacing w:line="600" w:lineRule="exact"/>
        <w:ind w:firstLine="640"/>
        <w:outlineLvl w:val="1"/>
        <w:rPr>
          <w:rStyle w:val="30"/>
          <w:rFonts w:hint="default" w:ascii="Times New Roman" w:hAnsi="Times New Roman" w:cs="Times New Roman"/>
          <w:color w:val="auto"/>
          <w:highlight w:val="none"/>
        </w:rPr>
      </w:pPr>
      <w:bookmarkStart w:id="30" w:name="_Toc15396608"/>
      <w:bookmarkStart w:id="31" w:name="_Toc15377214"/>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0"/>
          <w:rFonts w:hint="default" w:ascii="Times New Roman" w:hAnsi="Times New Roman" w:eastAsia="黑体" w:cs="Times New Roman"/>
          <w:b w:val="0"/>
          <w:color w:val="auto"/>
          <w:highlight w:val="none"/>
        </w:rPr>
        <w:t>般公共预算财政拨款基本支出决算情况说明</w:t>
      </w:r>
      <w:bookmarkEnd w:id="30"/>
      <w:bookmarkEnd w:id="31"/>
      <w:r>
        <w:rPr>
          <w:rStyle w:val="30"/>
          <w:rFonts w:hint="default" w:ascii="Times New Roman" w:hAnsi="Times New Roman" w:eastAsia="黑体" w:cs="Times New Roman"/>
          <w:b w:val="0"/>
          <w:color w:val="auto"/>
          <w:highlight w:val="none"/>
        </w:rPr>
        <w:tab/>
      </w:r>
    </w:p>
    <w:p>
      <w:pPr>
        <w:spacing w:line="600" w:lineRule="exact"/>
        <w:ind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年一般公共预算财政拨款基本支出1395.71万元，其中：</w:t>
      </w:r>
    </w:p>
    <w:p>
      <w:pPr>
        <w:spacing w:line="600" w:lineRule="exact"/>
        <w:ind w:firstLine="645"/>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人员经费1164.3</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万元，主要包括：基本工资、津贴补贴、奖金、绩效工资、机关事业单位基本养老保险缴费、其他社会保障缴费、职工基本医疗保险缴费</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公务员医疗补助缴费</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其他社会保障缴费</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住房公积金</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其他工资福利支出</w:t>
      </w:r>
      <w:r>
        <w:rPr>
          <w:rFonts w:hint="default" w:ascii="Times New Roman" w:hAnsi="Times New Roman" w:eastAsia="仿宋" w:cs="Times New Roman"/>
          <w:color w:val="auto"/>
          <w:sz w:val="32"/>
          <w:szCs w:val="32"/>
          <w:highlight w:val="none"/>
          <w:lang w:eastAsia="zh-CN"/>
        </w:rPr>
        <w:t>、其他对个人和家庭的补助等。</w:t>
      </w:r>
    </w:p>
    <w:p>
      <w:pPr>
        <w:spacing w:line="600" w:lineRule="exact"/>
        <w:ind w:firstLine="645"/>
        <w:rPr>
          <w:rFonts w:hint="default" w:ascii="Times New Roman" w:hAnsi="Times New Roman" w:eastAsia="仿宋" w:cs="Times New Roman"/>
          <w:b/>
          <w:color w:val="auto"/>
          <w:sz w:val="32"/>
          <w:szCs w:val="32"/>
          <w:highlight w:val="none"/>
          <w:lang w:val="en-US" w:eastAsia="zh-CN"/>
        </w:rPr>
      </w:pPr>
      <w:r>
        <w:rPr>
          <w:rFonts w:hint="default" w:ascii="Times New Roman" w:hAnsi="Times New Roman" w:eastAsia="仿宋" w:cs="Times New Roman"/>
          <w:color w:val="auto"/>
          <w:sz w:val="32"/>
          <w:szCs w:val="32"/>
          <w:highlight w:val="none"/>
        </w:rPr>
        <w:t>公用经费231</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万元，主要包括：办公费、印刷费、手续费</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水费、电费、邮电费、物业管理费、差旅费、维修（护）费、租赁费、公务接待费、劳务费、委托业务费、工会经费、福利费、公务用车运行维护费、其他交通费、其他商品和服务支出</w:t>
      </w:r>
      <w:r>
        <w:rPr>
          <w:rFonts w:hint="default" w:ascii="Times New Roman" w:hAnsi="Times New Roman" w:eastAsia="仿宋" w:cs="Times New Roman"/>
          <w:color w:val="auto"/>
          <w:sz w:val="32"/>
          <w:szCs w:val="32"/>
          <w:highlight w:val="none"/>
          <w:lang w:eastAsia="zh-CN"/>
        </w:rPr>
        <w:t>等</w:t>
      </w:r>
      <w:r>
        <w:rPr>
          <w:rFonts w:hint="default" w:ascii="Times New Roman" w:hAnsi="Times New Roman" w:eastAsia="仿宋" w:cs="Times New Roman"/>
          <w:color w:val="auto"/>
          <w:sz w:val="32"/>
          <w:szCs w:val="32"/>
          <w:highlight w:val="none"/>
        </w:rPr>
        <w:t>。</w:t>
      </w:r>
    </w:p>
    <w:p>
      <w:pPr>
        <w:spacing w:line="600" w:lineRule="exact"/>
        <w:ind w:firstLine="640"/>
        <w:outlineLvl w:val="1"/>
        <w:rPr>
          <w:rStyle w:val="30"/>
          <w:rFonts w:hint="default" w:ascii="Times New Roman" w:hAnsi="Times New Roman" w:eastAsia="黑体" w:cs="Times New Roman"/>
          <w:b w:val="0"/>
          <w:color w:val="auto"/>
          <w:highlight w:val="none"/>
        </w:rPr>
      </w:pPr>
      <w:bookmarkStart w:id="32" w:name="_Toc15396609"/>
      <w:bookmarkStart w:id="33" w:name="_Toc15377215"/>
      <w:r>
        <w:rPr>
          <w:rFonts w:hint="default" w:ascii="Times New Roman" w:hAnsi="Times New Roman" w:eastAsia="黑体" w:cs="Times New Roman"/>
          <w:color w:val="auto"/>
          <w:sz w:val="32"/>
          <w:szCs w:val="32"/>
          <w:highlight w:val="none"/>
        </w:rPr>
        <w:t>七、</w:t>
      </w:r>
      <w:r>
        <w:rPr>
          <w:rStyle w:val="30"/>
          <w:rFonts w:hint="default" w:ascii="Times New Roman" w:hAnsi="Times New Roman" w:eastAsia="黑体" w:cs="Times New Roman"/>
          <w:b w:val="0"/>
          <w:color w:val="auto"/>
          <w:highlight w:val="none"/>
        </w:rPr>
        <w:t>财政拨款</w:t>
      </w:r>
      <w:r>
        <w:rPr>
          <w:rStyle w:val="30"/>
          <w:rFonts w:hint="default" w:ascii="Times New Roman" w:hAnsi="Times New Roman" w:eastAsia="黑体" w:cs="Times New Roman"/>
          <w:color w:val="auto"/>
          <w:highlight w:val="none"/>
        </w:rPr>
        <w:t>“</w:t>
      </w:r>
      <w:r>
        <w:rPr>
          <w:rStyle w:val="30"/>
          <w:rFonts w:hint="default" w:ascii="Times New Roman" w:hAnsi="Times New Roman" w:eastAsia="黑体" w:cs="Times New Roman"/>
          <w:b w:val="0"/>
          <w:color w:val="auto"/>
          <w:highlight w:val="none"/>
        </w:rPr>
        <w:t>三公”经费支出决算情况说明</w:t>
      </w:r>
      <w:bookmarkEnd w:id="32"/>
      <w:bookmarkEnd w:id="33"/>
    </w:p>
    <w:p>
      <w:pPr>
        <w:spacing w:line="600" w:lineRule="exact"/>
        <w:ind w:firstLine="640"/>
        <w:outlineLvl w:val="2"/>
        <w:rPr>
          <w:rFonts w:hint="default" w:ascii="Times New Roman" w:hAnsi="Times New Roman" w:eastAsia="仿宋" w:cs="Times New Roman"/>
          <w:b/>
          <w:color w:val="auto"/>
          <w:sz w:val="32"/>
          <w:szCs w:val="32"/>
          <w:highlight w:val="none"/>
        </w:rPr>
      </w:pPr>
      <w:bookmarkStart w:id="34" w:name="_Toc15377216"/>
      <w:r>
        <w:rPr>
          <w:rFonts w:hint="default" w:ascii="Times New Roman" w:hAnsi="Times New Roman" w:eastAsia="仿宋" w:cs="Times New Roman"/>
          <w:b/>
          <w:color w:val="auto"/>
          <w:sz w:val="32"/>
          <w:szCs w:val="32"/>
          <w:highlight w:val="none"/>
        </w:rPr>
        <w:t>（一）“三公”经费财政拨款支出决算总体情况说明</w:t>
      </w:r>
      <w:bookmarkEnd w:id="34"/>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年“三公”经费财政拨款支出决算为12.76万元，完成预算85.07%，</w:t>
      </w:r>
      <w:r>
        <w:rPr>
          <w:rFonts w:hint="default" w:ascii="Times New Roman" w:hAnsi="Times New Roman" w:eastAsia="仿宋" w:cs="Times New Roman"/>
          <w:color w:val="auto"/>
          <w:sz w:val="32"/>
          <w:szCs w:val="32"/>
          <w:highlight w:val="none"/>
          <w:lang w:eastAsia="zh-CN"/>
        </w:rPr>
        <w:t>较上年</w:t>
      </w:r>
      <w:r>
        <w:rPr>
          <w:rFonts w:hint="default" w:ascii="Times New Roman" w:hAnsi="Times New Roman" w:eastAsia="仿宋" w:cs="Times New Roman"/>
          <w:color w:val="auto"/>
          <w:sz w:val="32"/>
          <w:szCs w:val="32"/>
          <w:highlight w:val="none"/>
          <w:lang w:val="en-US" w:eastAsia="zh-CN"/>
        </w:rPr>
        <w:t>减少0.01万元，下降0.08%。</w:t>
      </w:r>
      <w:r>
        <w:rPr>
          <w:rFonts w:hint="default" w:ascii="Times New Roman" w:hAnsi="Times New Roman" w:eastAsia="仿宋" w:cs="Times New Roman"/>
          <w:color w:val="auto"/>
          <w:sz w:val="32"/>
          <w:szCs w:val="32"/>
          <w:highlight w:val="none"/>
        </w:rPr>
        <w:t>决算数小于预算数的主要原因是</w:t>
      </w:r>
      <w:r>
        <w:rPr>
          <w:rFonts w:hint="default" w:ascii="Times New Roman" w:hAnsi="Times New Roman" w:eastAsia="仿宋" w:cs="Times New Roman"/>
          <w:color w:val="auto"/>
          <w:sz w:val="32"/>
          <w:szCs w:val="32"/>
          <w:highlight w:val="none"/>
          <w:lang w:eastAsia="zh-CN"/>
        </w:rPr>
        <w:t>严格</w:t>
      </w:r>
      <w:r>
        <w:rPr>
          <w:rFonts w:hint="default" w:ascii="Times New Roman" w:hAnsi="Times New Roman" w:eastAsia="仿宋" w:cs="Times New Roman"/>
          <w:color w:val="auto"/>
          <w:sz w:val="32"/>
          <w:szCs w:val="32"/>
          <w:highlight w:val="none"/>
        </w:rPr>
        <w:t>落实政府过“紧日子”要求，厉行节约</w:t>
      </w:r>
      <w:r>
        <w:rPr>
          <w:rFonts w:hint="default" w:ascii="Times New Roman" w:hAnsi="Times New Roman" w:eastAsia="仿宋" w:cs="Times New Roman"/>
          <w:color w:val="auto"/>
          <w:sz w:val="32"/>
          <w:szCs w:val="32"/>
          <w:highlight w:val="none"/>
          <w:lang w:eastAsia="zh-CN"/>
        </w:rPr>
        <w:t>，减少不必要的开支</w:t>
      </w:r>
      <w:r>
        <w:rPr>
          <w:rFonts w:hint="default" w:ascii="Times New Roman" w:hAnsi="Times New Roman" w:eastAsia="仿宋" w:cs="Times New Roman"/>
          <w:color w:val="auto"/>
          <w:sz w:val="32"/>
          <w:szCs w:val="32"/>
          <w:highlight w:val="none"/>
        </w:rPr>
        <w:t>。</w:t>
      </w:r>
    </w:p>
    <w:p>
      <w:pPr>
        <w:spacing w:line="600" w:lineRule="exact"/>
        <w:ind w:firstLine="640"/>
        <w:outlineLvl w:val="2"/>
        <w:rPr>
          <w:rFonts w:hint="default" w:ascii="Times New Roman" w:hAnsi="Times New Roman" w:eastAsia="仿宋" w:cs="Times New Roman"/>
          <w:b/>
          <w:color w:val="auto"/>
          <w:sz w:val="32"/>
          <w:szCs w:val="32"/>
          <w:highlight w:val="none"/>
        </w:rPr>
      </w:pPr>
      <w:bookmarkStart w:id="35" w:name="_Toc15377217"/>
      <w:r>
        <w:rPr>
          <w:rFonts w:hint="default" w:ascii="Times New Roman" w:hAnsi="Times New Roman" w:eastAsia="仿宋" w:cs="Times New Roman"/>
          <w:b/>
          <w:color w:val="auto"/>
          <w:sz w:val="32"/>
          <w:szCs w:val="32"/>
          <w:highlight w:val="none"/>
        </w:rPr>
        <w:t>（二）“三公”经费财政拨款支出决算具体情况说明</w:t>
      </w:r>
      <w:bookmarkEnd w:id="35"/>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年“三公”经费财政拨款支出决算中，因公出国（境）费支出决算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%；公务用车购置及运行维护费支出决算</w:t>
      </w:r>
      <w:r>
        <w:rPr>
          <w:rFonts w:hint="default" w:ascii="Times New Roman" w:hAnsi="Times New Roman" w:eastAsia="仿宋" w:cs="Times New Roman"/>
          <w:color w:val="auto"/>
          <w:sz w:val="32"/>
          <w:szCs w:val="32"/>
          <w:highlight w:val="none"/>
          <w:lang w:val="en-US" w:eastAsia="zh-CN"/>
        </w:rPr>
        <w:t>12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94.04</w:t>
      </w:r>
      <w:r>
        <w:rPr>
          <w:rFonts w:hint="default" w:ascii="Times New Roman" w:hAnsi="Times New Roman" w:eastAsia="仿宋" w:cs="Times New Roman"/>
          <w:color w:val="auto"/>
          <w:sz w:val="32"/>
          <w:szCs w:val="32"/>
          <w:highlight w:val="none"/>
        </w:rPr>
        <w:t>%；公务接待费支出决算0.76万元，占5.96%。具体情况如下：</w:t>
      </w:r>
    </w:p>
    <w:p>
      <w:pPr>
        <w:pStyle w:val="19"/>
        <w:rPr>
          <w:rFonts w:hint="default" w:ascii="Times New Roman" w:hAnsi="Times New Roman" w:cs="Times New Roman"/>
        </w:rPr>
      </w:pPr>
      <w:r>
        <w:rPr>
          <w:rFonts w:hint="default" w:ascii="Times New Roman" w:hAnsi="Times New Roman" w:cs="Times New Roman"/>
        </w:rPr>
        <w:drawing>
          <wp:inline distT="0" distB="0" distL="114300" distR="114300">
            <wp:extent cx="3952875" cy="2414270"/>
            <wp:effectExtent l="4445" t="5080" r="5080" b="19050"/>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图7：“三公”经费财政拨款支出结构</w:t>
      </w:r>
    </w:p>
    <w:p>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1.因公出国（境）经费支出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6"/>
          <w:rFonts w:hint="default" w:ascii="Times New Roman" w:hAnsi="Times New Roman" w:eastAsia="仿宋" w:cs="Times New Roman"/>
          <w:b w:val="0"/>
          <w:bCs/>
          <w:color w:val="auto"/>
          <w:sz w:val="32"/>
          <w:szCs w:val="32"/>
          <w:highlight w:val="none"/>
        </w:rPr>
        <w:t>完成预算</w:t>
      </w:r>
      <w:r>
        <w:rPr>
          <w:rStyle w:val="16"/>
          <w:rFonts w:hint="default" w:ascii="Times New Roman" w:hAnsi="Times New Roman" w:eastAsia="仿宋" w:cs="Times New Roman"/>
          <w:b w:val="0"/>
          <w:bCs/>
          <w:color w:val="auto"/>
          <w:sz w:val="32"/>
          <w:szCs w:val="32"/>
          <w:highlight w:val="none"/>
          <w:lang w:val="en-US" w:eastAsia="zh-CN"/>
        </w:rPr>
        <w:t>0</w:t>
      </w:r>
      <w:r>
        <w:rPr>
          <w:rStyle w:val="16"/>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全年安排因公出国（境）团组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次，出国（境）</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人。因公出国（境）支出决算比20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无增减变动</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无因公出国（境）需求</w:t>
      </w:r>
      <w:r>
        <w:rPr>
          <w:rFonts w:hint="default" w:ascii="Times New Roman" w:hAnsi="Times New Roman" w:eastAsia="仿宋_GB2312" w:cs="Times New Roman"/>
          <w:color w:val="auto"/>
          <w:sz w:val="32"/>
          <w:szCs w:val="32"/>
          <w:highlight w:val="none"/>
        </w:rPr>
        <w:t>。</w:t>
      </w:r>
    </w:p>
    <w:p>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万元,</w:t>
      </w:r>
      <w:r>
        <w:rPr>
          <w:rStyle w:val="16"/>
          <w:rFonts w:hint="default" w:ascii="Times New Roman" w:hAnsi="Times New Roman" w:eastAsia="仿宋" w:cs="Times New Roman"/>
          <w:b w:val="0"/>
          <w:bCs/>
          <w:color w:val="auto"/>
          <w:sz w:val="32"/>
          <w:szCs w:val="32"/>
          <w:highlight w:val="none"/>
        </w:rPr>
        <w:t>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公务用车购置及运行维护费支出决算比20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增加</w:t>
      </w:r>
      <w:r>
        <w:rPr>
          <w:rFonts w:hint="default" w:ascii="Times New Roman" w:hAnsi="Times New Roman" w:eastAsia="仿宋_GB2312" w:cs="Times New Roman"/>
          <w:color w:val="auto"/>
          <w:sz w:val="32"/>
          <w:szCs w:val="32"/>
          <w:highlight w:val="none"/>
          <w:lang w:val="en-US" w:eastAsia="zh-CN"/>
        </w:rPr>
        <w:t>0.02</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，增长</w:t>
      </w:r>
      <w:r>
        <w:rPr>
          <w:rFonts w:hint="default" w:ascii="Times New Roman" w:hAnsi="Times New Roman" w:eastAsia="仿宋_GB2312" w:cs="Times New Roman"/>
          <w:color w:val="auto"/>
          <w:sz w:val="32"/>
          <w:szCs w:val="32"/>
          <w:highlight w:val="none"/>
          <w:lang w:val="en-US" w:eastAsia="zh-CN"/>
        </w:rPr>
        <w:t>0.17</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s="Times New Roman"/>
          <w:color w:val="auto"/>
          <w:sz w:val="32"/>
          <w:szCs w:val="32"/>
          <w:highlight w:val="none"/>
          <w:lang w:val="en-US" w:eastAsia="zh-CN"/>
        </w:rPr>
        <w:t>落实政府过“紧日子”要求，厉行节约，努力降低能耗的前提下，因公务用车量大，里程长，车辆燃油费及维修维护费用有所浮动</w:t>
      </w:r>
      <w:r>
        <w:rPr>
          <w:rFonts w:hint="default" w:ascii="Times New Roman" w:hAnsi="Times New Roman" w:eastAsia="仿宋_GB2312" w:cs="Times New Roman"/>
          <w:color w:val="auto"/>
          <w:sz w:val="32"/>
          <w:szCs w:val="32"/>
          <w:highlight w:val="none"/>
        </w:rPr>
        <w:t>。</w:t>
      </w:r>
    </w:p>
    <w:p>
      <w:pPr>
        <w:spacing w:line="60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万元。全年按规定更新购置公务用车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万元。截至20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年12月底，单位共有公务用车</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辆、越野车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辆。需要说明的是其中1辆越野车归属区机关事务管理局管理。</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万元。主要用于日常检查督查、出差以及纪检监察办案工作等所需的公务用车燃油费、维修费、过路过桥费、保险费等支出。</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3.公务接待费支出</w:t>
      </w:r>
      <w:r>
        <w:rPr>
          <w:rFonts w:hint="default" w:ascii="Times New Roman" w:hAnsi="Times New Roman" w:eastAsia="仿宋_GB2312" w:cs="Times New Roman"/>
          <w:b w:val="0"/>
          <w:bCs/>
          <w:color w:val="auto"/>
          <w:sz w:val="32"/>
          <w:szCs w:val="32"/>
          <w:highlight w:val="none"/>
        </w:rPr>
        <w:t>0.76</w:t>
      </w:r>
      <w:r>
        <w:rPr>
          <w:rFonts w:hint="default" w:ascii="Times New Roman" w:hAnsi="Times New Roman" w:eastAsia="仿宋_GB2312" w:cs="Times New Roman"/>
          <w:color w:val="auto"/>
          <w:sz w:val="32"/>
          <w:szCs w:val="32"/>
          <w:highlight w:val="none"/>
        </w:rPr>
        <w:t>万元，</w:t>
      </w:r>
      <w:r>
        <w:rPr>
          <w:rStyle w:val="16"/>
          <w:rFonts w:hint="default" w:ascii="Times New Roman" w:hAnsi="Times New Roman" w:eastAsia="仿宋" w:cs="Times New Roman"/>
          <w:b w:val="0"/>
          <w:bCs/>
          <w:color w:val="auto"/>
          <w:sz w:val="32"/>
          <w:szCs w:val="32"/>
          <w:highlight w:val="none"/>
        </w:rPr>
        <w:t>完成预算25.33%。</w:t>
      </w:r>
      <w:r>
        <w:rPr>
          <w:rFonts w:hint="default" w:ascii="Times New Roman" w:hAnsi="Times New Roman" w:eastAsia="仿宋_GB2312" w:cs="Times New Roman"/>
          <w:color w:val="auto"/>
          <w:sz w:val="32"/>
          <w:szCs w:val="32"/>
          <w:highlight w:val="none"/>
        </w:rPr>
        <w:t>公务接待费支出决算比20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年减少</w:t>
      </w:r>
      <w:r>
        <w:rPr>
          <w:rFonts w:hint="default" w:ascii="Times New Roman" w:hAnsi="Times New Roman" w:eastAsia="仿宋_GB2312" w:cs="Times New Roman"/>
          <w:color w:val="auto"/>
          <w:sz w:val="32"/>
          <w:szCs w:val="32"/>
          <w:highlight w:val="none"/>
          <w:lang w:val="en-US" w:eastAsia="zh-CN"/>
        </w:rPr>
        <w:t>0.04</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严格</w:t>
      </w:r>
      <w:r>
        <w:rPr>
          <w:rFonts w:hint="default" w:ascii="Times New Roman" w:hAnsi="Times New Roman" w:eastAsia="仿宋_GB2312" w:cs="Times New Roman"/>
          <w:color w:val="auto"/>
          <w:sz w:val="32"/>
          <w:szCs w:val="32"/>
          <w:highlight w:val="none"/>
        </w:rPr>
        <w:t>落实政府过“紧日子”要求，厉行节约，减少公务接待次数，合理控制公务接待消费标准。其中：</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b/>
          <w:color w:val="auto"/>
          <w:sz w:val="32"/>
          <w:szCs w:val="32"/>
          <w:highlight w:val="none"/>
        </w:rPr>
        <w:t>国内公务接待支出</w:t>
      </w:r>
      <w:r>
        <w:rPr>
          <w:rFonts w:hint="default" w:ascii="Times New Roman" w:hAnsi="Times New Roman" w:eastAsia="仿宋_GB2312" w:cs="Times New Roman"/>
          <w:b w:val="0"/>
          <w:bCs/>
          <w:color w:val="auto"/>
          <w:sz w:val="32"/>
          <w:szCs w:val="32"/>
          <w:highlight w:val="none"/>
        </w:rPr>
        <w:t>0.76</w:t>
      </w:r>
      <w:r>
        <w:rPr>
          <w:rFonts w:hint="default" w:ascii="Times New Roman" w:hAnsi="Times New Roman" w:eastAsia="仿宋_GB2312" w:cs="Times New Roman"/>
          <w:color w:val="auto"/>
          <w:sz w:val="32"/>
          <w:szCs w:val="32"/>
          <w:highlight w:val="none"/>
        </w:rPr>
        <w:t>万元，主要用于因公务产生的接待用餐等。国内公务接待</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rPr>
        <w:t>人次（不包括陪同人员），共计支出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.76</w:t>
      </w:r>
      <w:r>
        <w:rPr>
          <w:rFonts w:hint="default" w:ascii="Times New Roman" w:hAnsi="Times New Roman" w:eastAsia="仿宋_GB2312" w:cs="Times New Roman"/>
          <w:color w:val="auto"/>
          <w:sz w:val="32"/>
          <w:szCs w:val="32"/>
          <w:highlight w:val="none"/>
        </w:rPr>
        <w:t>万元，具体内容包括</w:t>
      </w:r>
      <w:r>
        <w:rPr>
          <w:rFonts w:hint="default" w:ascii="Times New Roman" w:hAnsi="Times New Roman" w:eastAsia="仿宋_GB2312" w:cs="Times New Roman"/>
          <w:color w:val="auto"/>
          <w:sz w:val="32"/>
          <w:szCs w:val="32"/>
          <w:highlight w:val="none"/>
          <w:lang w:eastAsia="zh-CN"/>
        </w:rPr>
        <w:t>接待蓬溪县考察学习、市级监督检查、中国社科院调研等用餐支出</w:t>
      </w:r>
      <w:r>
        <w:rPr>
          <w:rFonts w:hint="default" w:ascii="Times New Roman" w:hAnsi="Times New Roman" w:eastAsia="仿宋_GB2312" w:cs="Times New Roman"/>
          <w:color w:val="auto"/>
          <w:sz w:val="32"/>
          <w:szCs w:val="32"/>
          <w:highlight w:val="none"/>
        </w:rPr>
        <w:t>。</w:t>
      </w:r>
    </w:p>
    <w:p>
      <w:pPr>
        <w:spacing w:line="600" w:lineRule="exact"/>
        <w:ind w:firstLine="643" w:firstLineChars="200"/>
        <w:rPr>
          <w:rFonts w:hint="default" w:ascii="Times New Roman" w:hAnsi="Times New Roman" w:eastAsia="黑体" w:cs="Times New Roman"/>
          <w:color w:val="auto"/>
          <w:sz w:val="32"/>
          <w:szCs w:val="32"/>
          <w:highlight w:val="none"/>
        </w:rPr>
      </w:pPr>
      <w:r>
        <w:rPr>
          <w:rFonts w:hint="default" w:ascii="Times New Roman" w:hAnsi="Times New Roman" w:eastAsia="仿宋" w:cs="Times New Roman"/>
          <w:b/>
          <w:color w:val="auto"/>
          <w:sz w:val="32"/>
          <w:szCs w:val="32"/>
          <w:highlight w:val="none"/>
        </w:rPr>
        <w:t>外事接待支出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外事接待</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次（不包括陪同人员）</w:t>
      </w:r>
      <w:r>
        <w:rPr>
          <w:rFonts w:hint="default" w:ascii="Times New Roman" w:hAnsi="Times New Roman" w:eastAsia="仿宋_GB2312" w:cs="Times New Roman"/>
          <w:color w:val="auto"/>
          <w:sz w:val="32"/>
          <w:szCs w:val="32"/>
          <w:highlight w:val="none"/>
        </w:rPr>
        <w:t>，共计支出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bookmarkStart w:id="36" w:name="_Toc15396610"/>
      <w:bookmarkStart w:id="37" w:name="_Toc15377218"/>
    </w:p>
    <w:p>
      <w:pPr>
        <w:spacing w:line="600" w:lineRule="exact"/>
        <w:ind w:firstLine="640"/>
        <w:outlineLvl w:val="1"/>
        <w:rPr>
          <w:rStyle w:val="30"/>
          <w:rFonts w:hint="default" w:ascii="Times New Roman" w:hAnsi="Times New Roman" w:eastAsia="黑体" w:cs="Times New Roman"/>
          <w:color w:val="auto"/>
          <w:highlight w:val="none"/>
        </w:rPr>
      </w:pPr>
      <w:r>
        <w:rPr>
          <w:rFonts w:hint="default" w:ascii="Times New Roman" w:hAnsi="Times New Roman" w:eastAsia="黑体" w:cs="Times New Roman"/>
          <w:color w:val="auto"/>
          <w:sz w:val="32"/>
          <w:szCs w:val="32"/>
          <w:highlight w:val="none"/>
        </w:rPr>
        <w:t>八、</w:t>
      </w:r>
      <w:r>
        <w:rPr>
          <w:rStyle w:val="30"/>
          <w:rFonts w:hint="default" w:ascii="Times New Roman" w:hAnsi="Times New Roman" w:eastAsia="黑体" w:cs="Times New Roman"/>
          <w:b w:val="0"/>
          <w:color w:val="auto"/>
          <w:highlight w:val="none"/>
        </w:rPr>
        <w:t>政府性基金预算支出决算情况说明</w:t>
      </w:r>
      <w:bookmarkEnd w:id="36"/>
      <w:bookmarkEnd w:id="37"/>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万元。</w:t>
      </w:r>
    </w:p>
    <w:p>
      <w:pPr>
        <w:numPr>
          <w:ilvl w:val="0"/>
          <w:numId w:val="2"/>
        </w:numPr>
        <w:spacing w:line="600" w:lineRule="exact"/>
        <w:ind w:firstLine="640"/>
        <w:outlineLvl w:val="1"/>
        <w:rPr>
          <w:rStyle w:val="30"/>
          <w:rFonts w:hint="default" w:ascii="Times New Roman" w:hAnsi="Times New Roman" w:eastAsia="黑体" w:cs="Times New Roman"/>
          <w:b w:val="0"/>
          <w:color w:val="auto"/>
          <w:highlight w:val="none"/>
        </w:rPr>
      </w:pPr>
      <w:bookmarkStart w:id="38" w:name="_Toc15396611"/>
      <w:bookmarkStart w:id="39" w:name="_Toc15377219"/>
      <w:r>
        <w:rPr>
          <w:rStyle w:val="30"/>
          <w:rFonts w:hint="default" w:ascii="Times New Roman" w:hAnsi="Times New Roman" w:eastAsia="黑体" w:cs="Times New Roman"/>
          <w:b w:val="0"/>
          <w:color w:val="auto"/>
          <w:highlight w:val="none"/>
        </w:rPr>
        <w:t>国有资本经营预算支出决算情况说明</w:t>
      </w:r>
      <w:bookmarkEnd w:id="38"/>
      <w:bookmarkEnd w:id="39"/>
    </w:p>
    <w:p>
      <w:pPr>
        <w:spacing w:line="600" w:lineRule="exact"/>
        <w:ind w:firstLine="640"/>
        <w:rPr>
          <w:rFonts w:hint="default" w:ascii="Times New Roman" w:hAnsi="Times New Roman" w:eastAsia="方正小标宋简体" w:cs="Times New Roman"/>
          <w:color w:val="auto"/>
          <w:sz w:val="44"/>
          <w:szCs w:val="44"/>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numPr>
          <w:ilvl w:val="0"/>
          <w:numId w:val="2"/>
        </w:numPr>
        <w:spacing w:line="600" w:lineRule="exact"/>
        <w:ind w:firstLine="640"/>
        <w:outlineLvl w:val="1"/>
        <w:rPr>
          <w:rStyle w:val="30"/>
          <w:rFonts w:hint="default" w:ascii="Times New Roman" w:hAnsi="Times New Roman" w:eastAsia="黑体" w:cs="Times New Roman"/>
          <w:b w:val="0"/>
          <w:color w:val="auto"/>
          <w:highlight w:val="none"/>
        </w:rPr>
      </w:pPr>
      <w:bookmarkStart w:id="40" w:name="_Toc15396612"/>
      <w:bookmarkStart w:id="41" w:name="_Toc15377221"/>
      <w:r>
        <w:rPr>
          <w:rStyle w:val="30"/>
          <w:rFonts w:hint="default" w:ascii="Times New Roman" w:hAnsi="Times New Roman" w:eastAsia="黑体" w:cs="Times New Roman"/>
          <w:b w:val="0"/>
          <w:color w:val="auto"/>
          <w:highlight w:val="none"/>
        </w:rPr>
        <w:t>其他重要事项的情况说明</w:t>
      </w:r>
      <w:bookmarkEnd w:id="40"/>
      <w:bookmarkEnd w:id="41"/>
    </w:p>
    <w:p>
      <w:pPr>
        <w:spacing w:line="600" w:lineRule="exact"/>
        <w:ind w:firstLine="643" w:firstLineChars="200"/>
        <w:outlineLvl w:val="2"/>
        <w:rPr>
          <w:rFonts w:hint="default" w:ascii="Times New Roman" w:hAnsi="Times New Roman" w:eastAsia="仿宋" w:cs="Times New Roman"/>
          <w:color w:val="auto"/>
          <w:sz w:val="32"/>
          <w:szCs w:val="32"/>
          <w:highlight w:val="none"/>
        </w:rPr>
      </w:pPr>
      <w:bookmarkStart w:id="42" w:name="_Toc15377222"/>
      <w:r>
        <w:rPr>
          <w:rFonts w:hint="default" w:ascii="Times New Roman" w:hAnsi="Times New Roman" w:eastAsia="仿宋" w:cs="Times New Roman"/>
          <w:b/>
          <w:color w:val="auto"/>
          <w:sz w:val="32"/>
          <w:szCs w:val="32"/>
          <w:highlight w:val="none"/>
        </w:rPr>
        <w:t>（一）机关运行经费支出情况</w:t>
      </w:r>
      <w:bookmarkEnd w:id="42"/>
    </w:p>
    <w:p>
      <w:pPr>
        <w:spacing w:line="60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安居区纪委监委</w:t>
      </w:r>
      <w:r>
        <w:rPr>
          <w:rFonts w:hint="default" w:ascii="Times New Roman" w:hAnsi="Times New Roman" w:eastAsia="仿宋_GB2312" w:cs="Times New Roman"/>
          <w:color w:val="auto"/>
          <w:sz w:val="32"/>
          <w:szCs w:val="32"/>
          <w:highlight w:val="none"/>
        </w:rPr>
        <w:t>机关运行经费支出231</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万元，比20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年增加</w:t>
      </w:r>
      <w:r>
        <w:rPr>
          <w:rFonts w:hint="default" w:ascii="Times New Roman" w:hAnsi="Times New Roman" w:eastAsia="仿宋_GB2312" w:cs="Times New Roman"/>
          <w:color w:val="auto"/>
          <w:sz w:val="32"/>
          <w:szCs w:val="32"/>
          <w:highlight w:val="none"/>
          <w:lang w:val="en-US" w:eastAsia="zh-CN"/>
        </w:rPr>
        <w:t>16.36</w:t>
      </w:r>
      <w:r>
        <w:rPr>
          <w:rFonts w:hint="default" w:ascii="Times New Roman" w:hAnsi="Times New Roman" w:eastAsia="仿宋_GB2312" w:cs="Times New Roman"/>
          <w:color w:val="auto"/>
          <w:sz w:val="32"/>
          <w:szCs w:val="32"/>
          <w:highlight w:val="none"/>
        </w:rPr>
        <w:t>万元，增长7.61%</w:t>
      </w:r>
      <w:r>
        <w:rPr>
          <w:rFonts w:hint="default" w:ascii="Times New Roman" w:hAnsi="Times New Roman" w:eastAsia="仿宋_GB2312" w:cs="Times New Roman"/>
          <w:color w:val="auto"/>
          <w:sz w:val="32"/>
          <w:szCs w:val="32"/>
          <w:highlight w:val="none"/>
          <w:lang w:eastAsia="zh-CN"/>
        </w:rPr>
        <w:t>。主要原因是人员增加，工作经费等有所增加。</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rPr>
      </w:pPr>
      <w:bookmarkStart w:id="43" w:name="_Toc15377223"/>
      <w:r>
        <w:rPr>
          <w:rFonts w:hint="default" w:ascii="Times New Roman" w:hAnsi="Times New Roman" w:eastAsia="仿宋" w:cs="Times New Roman"/>
          <w:b/>
          <w:color w:val="auto"/>
          <w:sz w:val="32"/>
          <w:szCs w:val="32"/>
          <w:highlight w:val="none"/>
        </w:rPr>
        <w:t>（二）政府采购支出情况</w:t>
      </w:r>
      <w:bookmarkEnd w:id="43"/>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安居区纪委监委</w:t>
      </w:r>
      <w:r>
        <w:rPr>
          <w:rFonts w:hint="default" w:ascii="Times New Roman" w:hAnsi="Times New Roman" w:eastAsia="仿宋_GB2312" w:cs="Times New Roman"/>
          <w:color w:val="auto"/>
          <w:sz w:val="32"/>
          <w:szCs w:val="32"/>
          <w:highlight w:val="none"/>
        </w:rPr>
        <w:t>政府采购支出总额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万元，其中：政府采购货物支出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万元。授予中小企业合同金额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%，其中：授予小微企业合同金额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rPr>
      </w:pPr>
      <w:bookmarkStart w:id="44" w:name="_Toc15377224"/>
      <w:r>
        <w:rPr>
          <w:rFonts w:hint="default" w:ascii="Times New Roman" w:hAnsi="Times New Roman" w:eastAsia="仿宋" w:cs="Times New Roman"/>
          <w:b/>
          <w:color w:val="auto"/>
          <w:sz w:val="32"/>
          <w:szCs w:val="32"/>
          <w:highlight w:val="none"/>
        </w:rPr>
        <w:t>（三）国有资产占有使用情况</w:t>
      </w:r>
      <w:bookmarkEnd w:id="44"/>
    </w:p>
    <w:p>
      <w:pPr>
        <w:autoSpaceDE w:val="0"/>
        <w:autoSpaceDN w:val="0"/>
        <w:adjustRightIn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截至20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color w:val="auto"/>
          <w:sz w:val="32"/>
          <w:szCs w:val="32"/>
          <w:highlight w:val="none"/>
          <w:lang w:eastAsia="zh-CN"/>
        </w:rPr>
        <w:t>安居区纪委监委</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其中：主要领导干部用车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辆、应急保障用车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辆、执法执勤用车3辆，</w:t>
      </w:r>
      <w:r>
        <w:rPr>
          <w:rFonts w:hint="default" w:ascii="Times New Roman" w:hAnsi="Times New Roman" w:eastAsia="仿宋_GB2312" w:cs="Times New Roman"/>
          <w:color w:val="auto"/>
          <w:sz w:val="32"/>
          <w:szCs w:val="32"/>
          <w:highlight w:val="none"/>
          <w:lang w:eastAsia="zh-CN"/>
        </w:rPr>
        <w:t>其他</w:t>
      </w:r>
      <w:r>
        <w:rPr>
          <w:rFonts w:hint="default" w:ascii="Times New Roman" w:hAnsi="Times New Roman" w:eastAsia="仿宋_GB2312" w:cs="Times New Roman"/>
          <w:color w:val="auto"/>
          <w:sz w:val="32"/>
          <w:szCs w:val="32"/>
          <w:highlight w:val="none"/>
        </w:rPr>
        <w:t>用车</w:t>
      </w:r>
      <w:r>
        <w:rPr>
          <w:rFonts w:hint="default" w:ascii="Times New Roman" w:hAnsi="Times New Roman" w:eastAsia="仿宋_GB2312" w:cs="Times New Roman"/>
          <w:color w:val="auto"/>
          <w:sz w:val="32"/>
          <w:szCs w:val="32"/>
          <w:highlight w:val="none"/>
          <w:lang w:eastAsia="zh-CN"/>
        </w:rPr>
        <w:t>（即公务用车）</w:t>
      </w:r>
      <w:r>
        <w:rPr>
          <w:rFonts w:hint="default" w:ascii="Times New Roman" w:hAnsi="Times New Roman" w:eastAsia="仿宋_GB2312" w:cs="Times New Roman"/>
          <w:color w:val="auto"/>
          <w:sz w:val="32"/>
          <w:szCs w:val="32"/>
          <w:highlight w:val="none"/>
        </w:rPr>
        <w:t>1辆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主要是用于</w:t>
      </w:r>
      <w:r>
        <w:rPr>
          <w:rFonts w:hint="default" w:ascii="Times New Roman" w:hAnsi="Times New Roman" w:eastAsia="仿宋_GB2312" w:cs="Times New Roman"/>
          <w:color w:val="auto"/>
          <w:sz w:val="32"/>
          <w:szCs w:val="32"/>
          <w:highlight w:val="none"/>
          <w:lang w:eastAsia="zh-CN"/>
        </w:rPr>
        <w:t>监督检查</w:t>
      </w:r>
      <w:r>
        <w:rPr>
          <w:rFonts w:hint="default" w:ascii="Times New Roman" w:hAnsi="Times New Roman" w:eastAsia="仿宋_GB2312" w:cs="Times New Roman"/>
          <w:color w:val="auto"/>
          <w:sz w:val="32"/>
          <w:szCs w:val="32"/>
          <w:highlight w:val="none"/>
        </w:rPr>
        <w:t>、公务出差、公务接待以及纪检监察办案等日常公务所需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单价100万元以上专用设备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（四）预算绩效管理情况</w:t>
      </w:r>
    </w:p>
    <w:p>
      <w:pPr>
        <w:widowControl/>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根据预算绩效管理要求，本部门在202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年度预算编制阶段，组织对车辆运行维护费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临聘人员经费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廉政文化建设及宣传经费、涉密网络运行及维护经费、大案要案经费等5个</w:t>
      </w:r>
      <w:r>
        <w:rPr>
          <w:rFonts w:hint="default" w:ascii="Times New Roman" w:hAnsi="Times New Roman" w:eastAsia="仿宋_GB2312" w:cs="Times New Roman"/>
          <w:color w:val="auto"/>
          <w:sz w:val="32"/>
          <w:szCs w:val="32"/>
          <w:highlight w:val="none"/>
        </w:rPr>
        <w:t>项目开展了预算事前绩效评估，对</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个项目编制了绩效目标，预算执行过程中，选取</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个项目开展绩效监控，年终执行完毕后，对</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个项目开展了绩效自评</w:t>
      </w:r>
      <w:r>
        <w:rPr>
          <w:rFonts w:hint="default" w:ascii="Times New Roman" w:hAnsi="Times New Roman" w:eastAsia="仿宋_GB2312" w:cs="Times New Roman"/>
          <w:color w:val="auto"/>
          <w:sz w:val="32"/>
          <w:szCs w:val="32"/>
          <w:highlight w:val="none"/>
          <w:lang w:eastAsia="zh-CN"/>
        </w:rPr>
        <w:t>。同时，</w:t>
      </w:r>
      <w:r>
        <w:rPr>
          <w:rFonts w:hint="default" w:ascii="Times New Roman" w:hAnsi="Times New Roman" w:eastAsia="仿宋_GB2312" w:cs="Times New Roman"/>
          <w:color w:val="auto"/>
          <w:sz w:val="32"/>
          <w:szCs w:val="32"/>
          <w:highlight w:val="none"/>
        </w:rPr>
        <w:t>本部门对20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年部门整体开展绩效自评，</w:t>
      </w:r>
      <w:r>
        <w:rPr>
          <w:rFonts w:hint="default" w:ascii="Times New Roman" w:hAnsi="Times New Roman" w:eastAsia="仿宋_GB2312" w:cs="Times New Roman"/>
          <w:color w:val="auto"/>
          <w:sz w:val="32"/>
          <w:szCs w:val="32"/>
          <w:highlight w:val="none"/>
          <w:lang w:val="en-US" w:eastAsia="zh-CN"/>
        </w:rPr>
        <w:t>并编写</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年部门整体绩效评价报告》见附件（</w:t>
      </w:r>
      <w:r>
        <w:rPr>
          <w:rFonts w:hint="default" w:ascii="Times New Roman" w:hAnsi="Times New Roman" w:eastAsia="仿宋_GB2312" w:cs="Times New Roman"/>
          <w:color w:val="auto"/>
          <w:sz w:val="32"/>
          <w:szCs w:val="32"/>
          <w:highlight w:val="none"/>
          <w:lang w:eastAsia="zh-CN"/>
        </w:rPr>
        <w:t>第四部分</w:t>
      </w:r>
      <w:r>
        <w:rPr>
          <w:rFonts w:hint="default" w:ascii="Times New Roman" w:hAnsi="Times New Roman" w:eastAsia="仿宋_GB2312" w:cs="Times New Roman"/>
          <w:color w:val="auto"/>
          <w:sz w:val="32"/>
          <w:szCs w:val="32"/>
          <w:highlight w:val="none"/>
        </w:rPr>
        <w:t>）。</w:t>
      </w:r>
    </w:p>
    <w:p>
      <w:pPr>
        <w:widowControl/>
        <w:ind w:firstLine="640" w:firstLineChars="20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组织对2022年度一般公共预算、政府性基金预算、国有资本经营预算、社会保险基金预算以及资本资产、债券资金等全面开展绩效自评，形成部门整体（含部门预算项目）绩效自评报告，其中，部门整体（含部门预算项目）绩效自评得分为</w:t>
      </w:r>
      <w:r>
        <w:rPr>
          <w:rFonts w:hint="default" w:ascii="Times New Roman" w:hAnsi="Times New Roman" w:eastAsia="仿宋_GB2312" w:cs="Times New Roman"/>
          <w:color w:val="auto"/>
          <w:sz w:val="32"/>
          <w:szCs w:val="32"/>
          <w:highlight w:val="none"/>
          <w:lang w:val="en-US" w:eastAsia="zh-CN"/>
        </w:rPr>
        <w:t>87</w:t>
      </w:r>
      <w:r>
        <w:rPr>
          <w:rFonts w:hint="default" w:ascii="Times New Roman" w:hAnsi="Times New Roman" w:eastAsia="仿宋_GB2312" w:cs="Times New Roman"/>
          <w:color w:val="auto"/>
          <w:sz w:val="32"/>
          <w:szCs w:val="32"/>
          <w:highlight w:val="none"/>
        </w:rPr>
        <w:t>分，采用定量分析和定性分析相结合的方法，从预算编制、预算执行、资金使用、资金监管、项目绩效结果运用以及审计监督等方面进行了综合打分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color w:val="auto"/>
          <w:sz w:val="32"/>
          <w:szCs w:val="32"/>
          <w:highlight w:val="none"/>
        </w:rPr>
        <w:br w:type="page"/>
      </w:r>
    </w:p>
    <w:p>
      <w:pPr>
        <w:numPr>
          <w:ilvl w:val="0"/>
          <w:numId w:val="3"/>
        </w:numPr>
        <w:spacing w:line="600" w:lineRule="exact"/>
        <w:ind w:firstLine="660" w:firstLineChars="150"/>
        <w:jc w:val="center"/>
        <w:outlineLvl w:val="0"/>
        <w:rPr>
          <w:rStyle w:val="29"/>
          <w:rFonts w:hint="default" w:ascii="Times New Roman" w:hAnsi="Times New Roman" w:eastAsia="黑体" w:cs="Times New Roman"/>
          <w:b w:val="0"/>
          <w:color w:val="auto"/>
          <w:highlight w:val="none"/>
        </w:rPr>
      </w:pPr>
      <w:bookmarkStart w:id="45" w:name="_Toc15396613"/>
      <w:bookmarkStart w:id="46" w:name="_Toc15377225"/>
      <w:r>
        <w:rPr>
          <w:rFonts w:hint="default" w:ascii="Times New Roman" w:hAnsi="Times New Roman" w:eastAsia="黑体" w:cs="Times New Roman"/>
          <w:color w:val="auto"/>
          <w:sz w:val="44"/>
          <w:szCs w:val="44"/>
          <w:highlight w:val="none"/>
        </w:rPr>
        <w:t>名</w:t>
      </w:r>
      <w:r>
        <w:rPr>
          <w:rStyle w:val="29"/>
          <w:rFonts w:hint="default" w:ascii="Times New Roman" w:hAnsi="Times New Roman" w:eastAsia="黑体" w:cs="Times New Roman"/>
          <w:b w:val="0"/>
          <w:color w:val="auto"/>
          <w:highlight w:val="none"/>
        </w:rPr>
        <w:t>词解释</w:t>
      </w:r>
      <w:bookmarkEnd w:id="45"/>
      <w:bookmarkEnd w:id="46"/>
    </w:p>
    <w:p>
      <w:pPr>
        <w:spacing w:line="600" w:lineRule="exact"/>
        <w:jc w:val="left"/>
        <w:rPr>
          <w:rFonts w:hint="default" w:ascii="Times New Roman" w:hAnsi="Times New Roman" w:cs="Times New Roman"/>
          <w:b/>
          <w:color w:val="auto"/>
          <w:sz w:val="44"/>
          <w:szCs w:val="44"/>
          <w:highlight w:val="none"/>
        </w:rPr>
      </w:pPr>
    </w:p>
    <w:p>
      <w:pPr>
        <w:pStyle w:val="27"/>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1.财政拨款收入：指单位从同级财政部门取得的财政预算资金。</w:t>
      </w:r>
    </w:p>
    <w:p>
      <w:pPr>
        <w:pStyle w:val="27"/>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2.事业收入：指事业单位开展专业业务活动及辅助活动取得的收入。如二级预算单位事业收入情况等。</w:t>
      </w:r>
    </w:p>
    <w:p>
      <w:pPr>
        <w:pStyle w:val="27"/>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3.经营收入：指事业单位在专业业务活动及其辅助活动之外开展非独立核算经营活动取得的收入。如二级预算单位经营收入情况等。</w:t>
      </w:r>
    </w:p>
    <w:p>
      <w:pPr>
        <w:pStyle w:val="27"/>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4.其他收入：指单位取得的除上述收入以外的各项收入。</w:t>
      </w:r>
    </w:p>
    <w:p>
      <w:pPr>
        <w:pStyle w:val="27"/>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lang w:eastAsia="zh-CN"/>
        </w:rPr>
        <w:t>使用非财政拨款结余</w:t>
      </w:r>
      <w:r>
        <w:rPr>
          <w:rFonts w:hint="default" w:ascii="Times New Roman" w:hAnsi="Times New Roman" w:eastAsia="仿宋_GB2312" w:cs="Times New Roman"/>
          <w:color w:val="auto"/>
          <w:sz w:val="32"/>
          <w:szCs w:val="32"/>
          <w:highlight w:val="none"/>
        </w:rPr>
        <w:t>：指事业单位</w:t>
      </w:r>
      <w:r>
        <w:rPr>
          <w:rFonts w:hint="default" w:ascii="Times New Roman" w:hAnsi="Times New Roman" w:eastAsia="仿宋_GB2312" w:cs="Times New Roman"/>
          <w:color w:val="auto"/>
          <w:sz w:val="32"/>
          <w:szCs w:val="32"/>
          <w:highlight w:val="none"/>
          <w:lang w:eastAsia="zh-CN"/>
        </w:rPr>
        <w:t>使用以前年度积累的非财政拨款结余弥补当年收支差额的金额。</w:t>
      </w:r>
      <w:r>
        <w:rPr>
          <w:rFonts w:hint="default" w:ascii="Times New Roman" w:hAnsi="Times New Roman" w:eastAsia="仿宋_GB2312" w:cs="Times New Roman"/>
          <w:color w:val="auto"/>
          <w:sz w:val="32"/>
          <w:szCs w:val="32"/>
          <w:highlight w:val="none"/>
        </w:rPr>
        <w:t xml:space="preserve"> </w:t>
      </w:r>
    </w:p>
    <w:p>
      <w:pPr>
        <w:pStyle w:val="27"/>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6.年初结转和结余：指以前年度尚未完成、结转到本年按有关规定继续使用的资金。 </w:t>
      </w:r>
    </w:p>
    <w:p>
      <w:pPr>
        <w:pStyle w:val="27"/>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7.结余分配：指事业单位按照会计制度规定</w:t>
      </w:r>
      <w:r>
        <w:rPr>
          <w:rFonts w:hint="default" w:ascii="Times New Roman" w:hAnsi="Times New Roman" w:eastAsia="仿宋_GB2312" w:cs="Times New Roman"/>
          <w:color w:val="auto"/>
          <w:sz w:val="32"/>
          <w:szCs w:val="32"/>
          <w:highlight w:val="none"/>
          <w:lang w:eastAsia="zh-CN"/>
        </w:rPr>
        <w:t>缴纳的所得税、提取的专用结余以及转入非财政拨款结余的金额</w:t>
      </w:r>
      <w:r>
        <w:rPr>
          <w:rFonts w:hint="default" w:ascii="Times New Roman" w:hAnsi="Times New Roman" w:eastAsia="仿宋_GB2312" w:cs="Times New Roman"/>
          <w:color w:val="auto"/>
          <w:sz w:val="32"/>
          <w:szCs w:val="32"/>
          <w:highlight w:val="none"/>
        </w:rPr>
        <w:t>等。</w:t>
      </w:r>
    </w:p>
    <w:p>
      <w:pPr>
        <w:pStyle w:val="27"/>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年末结转和结余：指单位按有关规定结转到下年或以后年度继续使用的资金。</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000000"/>
          <w:kern w:val="0"/>
          <w:sz w:val="32"/>
          <w:szCs w:val="32"/>
          <w:lang w:val="en-US" w:eastAsia="zh-CN" w:bidi="ar-SA"/>
        </w:rPr>
        <w:t>一般公共服务（类）纪检监察事务（款）行政运行（项）：指行政单位（包括实行公务员管理的事业单位）的基本支出。</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47" w:name="_Toc26008"/>
      <w:bookmarkStart w:id="48" w:name="_Toc1992"/>
      <w:bookmarkStart w:id="49" w:name="_Toc20921"/>
      <w:r>
        <w:rPr>
          <w:rFonts w:hint="default" w:ascii="Times New Roman" w:hAnsi="Times New Roman" w:eastAsia="仿宋_GB2312" w:cs="Times New Roman"/>
          <w:color w:val="auto"/>
          <w:sz w:val="32"/>
          <w:szCs w:val="32"/>
          <w:highlight w:val="none"/>
          <w:lang w:val="en-US" w:eastAsia="zh-CN"/>
        </w:rPr>
        <w:t>10.一般公共服务（类）纪检监察事务（款）一般行政管理事务（项）:指行政单位（包括实行公务员管理的事业单位）未单独设置项级科目的其他项目支出。</w:t>
      </w:r>
      <w:bookmarkEnd w:id="47"/>
      <w:bookmarkEnd w:id="48"/>
      <w:bookmarkEnd w:id="49"/>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50" w:name="_Toc1257"/>
      <w:bookmarkStart w:id="51" w:name="_Toc16697"/>
      <w:bookmarkStart w:id="52" w:name="_Toc28200"/>
      <w:r>
        <w:rPr>
          <w:rFonts w:hint="default" w:ascii="Times New Roman" w:hAnsi="Times New Roman" w:eastAsia="仿宋_GB2312" w:cs="Times New Roman"/>
          <w:color w:val="auto"/>
          <w:sz w:val="32"/>
          <w:szCs w:val="32"/>
          <w:highlight w:val="none"/>
          <w:lang w:val="en-US" w:eastAsia="zh-CN"/>
        </w:rPr>
        <w:t>11.一般公共服务（类）纪检监察事务（款）大案要案查处（项）：指查处大要（专）案的支出。</w:t>
      </w:r>
      <w:bookmarkEnd w:id="50"/>
      <w:bookmarkEnd w:id="51"/>
      <w:bookmarkEnd w:id="52"/>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53" w:name="_Toc17821"/>
      <w:bookmarkStart w:id="54" w:name="_Toc11669"/>
      <w:bookmarkStart w:id="55" w:name="_Toc10159"/>
      <w:r>
        <w:rPr>
          <w:rFonts w:hint="default" w:ascii="Times New Roman" w:hAnsi="Times New Roman" w:eastAsia="仿宋_GB2312" w:cs="Times New Roman"/>
          <w:color w:val="auto"/>
          <w:sz w:val="32"/>
          <w:szCs w:val="32"/>
          <w:highlight w:val="none"/>
          <w:lang w:val="en-US" w:eastAsia="zh-CN"/>
        </w:rPr>
        <w:t>12.一般公共服务（类）纪检监察事务（款）其他纪检监察事务支出（项）:指以上项目外其他纪检监察事务方面的支出。</w:t>
      </w:r>
      <w:bookmarkEnd w:id="53"/>
      <w:bookmarkEnd w:id="54"/>
      <w:bookmarkEnd w:id="55"/>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13.社会保障和就业（类）行政事业单位离退休（款）机关事业单位基本养老保险缴费支（项），主要用于：机关事业单位基本养老保险缴费。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14.社会保障和就业（类）社会福利（款）其他社会福利支出（项），主要用于：其他社会福利支出。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15.社会保障和就业（类）其他社会保障和就业支出（款） 其他社会保障和就业支出（项），主要用于：其他社会保障和就来支出。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16.卫生健康支出（类）行政事业单位医疗（款）行政单位医疗（项），主要用于：基本医疗保险缴费和其他社会保障缴费。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17.卫生健康支出（类）行政事业单位医疗（款）事业单位医疗（项），主要用于：基本医疗保险缴费和其他社会保障缴费。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18.卫生健康支出</w:t>
      </w:r>
      <w:bookmarkStart w:id="72" w:name="_GoBack"/>
      <w:bookmarkEnd w:id="72"/>
      <w:r>
        <w:rPr>
          <w:rFonts w:hint="default" w:ascii="Times New Roman" w:hAnsi="Times New Roman" w:eastAsia="仿宋_GB2312" w:cs="Times New Roman"/>
          <w:color w:val="000000"/>
          <w:sz w:val="32"/>
          <w:szCs w:val="32"/>
          <w:lang w:val="en-US" w:eastAsia="zh-CN" w:bidi="ar-SA"/>
        </w:rPr>
        <w:t>（类）行政事业单位医疗（款）公务员医疗补助（项），主要用于：公务员医疗补助缴费。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19.住房保障支出（类）住房改革支出（款）住房公积金（项），主要用于：缴纳住房公积金。</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20.其他支出（类）彩票公益金及对应专项债务收入安排的支出（款）用于残疾人事业的彩票公益金支出（项），主要用于：残疾人事业的彩票公益金支出。</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 xml:space="preserve">.项目支出：指在基本支出之外为完成特定行政任务和事业发展目标所发生的支出。 </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.经营支出：指事业单位在专业业务活动及其辅助活动之外开展非独立核算经营活动发生的支出。</w:t>
      </w:r>
    </w:p>
    <w:p>
      <w:pPr>
        <w:pStyle w:val="27"/>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9"/>
          <w:rFonts w:hint="default" w:ascii="Times New Roman" w:hAnsi="Times New Roman" w:eastAsia="黑体" w:cs="Times New Roman"/>
          <w:b w:val="0"/>
          <w:color w:val="auto"/>
          <w:highlight w:val="none"/>
          <w:lang w:eastAsia="zh-CN"/>
        </w:rPr>
      </w:pPr>
      <w:bookmarkStart w:id="56" w:name="_Toc15377226"/>
      <w:r>
        <w:rPr>
          <w:rFonts w:hint="default" w:ascii="Times New Roman" w:hAnsi="Times New Roman" w:cs="Times New Roman"/>
          <w:b/>
          <w:color w:val="auto"/>
          <w:sz w:val="44"/>
          <w:szCs w:val="44"/>
          <w:highlight w:val="none"/>
        </w:rPr>
        <w:br w:type="page"/>
      </w:r>
      <w:bookmarkStart w:id="57" w:name="_Toc15396614"/>
      <w:r>
        <w:rPr>
          <w:rFonts w:hint="default" w:ascii="Times New Roman" w:hAnsi="Times New Roman" w:eastAsia="黑体" w:cs="Times New Roman"/>
          <w:color w:val="auto"/>
          <w:sz w:val="44"/>
          <w:szCs w:val="44"/>
          <w:highlight w:val="none"/>
        </w:rPr>
        <w:t>第</w:t>
      </w:r>
      <w:r>
        <w:rPr>
          <w:rStyle w:val="29"/>
          <w:rFonts w:hint="default" w:ascii="Times New Roman" w:hAnsi="Times New Roman" w:eastAsia="黑体" w:cs="Times New Roman"/>
          <w:b w:val="0"/>
          <w:color w:val="auto"/>
          <w:highlight w:val="none"/>
        </w:rPr>
        <w:t>四部分 附件</w:t>
      </w:r>
      <w:bookmarkEnd w:id="57"/>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44"/>
          <w:szCs w:val="44"/>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1</w:t>
      </w:r>
    </w:p>
    <w:p>
      <w:pPr>
        <w:keepNext w:val="0"/>
        <w:keepLines w:val="0"/>
        <w:pageBreakBefore w:val="0"/>
        <w:widowControl/>
        <w:kinsoku/>
        <w:wordWrap/>
        <w:overflowPunct/>
        <w:topLinePunct w:val="0"/>
        <w:autoSpaceDE/>
        <w:autoSpaceDN/>
        <w:bidi w:val="0"/>
        <w:adjustRightInd/>
        <w:snapToGrid/>
        <w:spacing w:line="640" w:lineRule="exact"/>
        <w:contextualSpacing/>
        <w:jc w:val="center"/>
        <w:textAlignment w:val="auto"/>
        <w:rPr>
          <w:rFonts w:hint="default" w:ascii="Times New Roman" w:hAnsi="Times New Roman" w:eastAsia="方正小标宋简体" w:cs="Times New Roman"/>
          <w:b w:val="0"/>
          <w:bCs/>
          <w:color w:val="auto"/>
          <w:sz w:val="44"/>
          <w:szCs w:val="44"/>
          <w:highlight w:val="none"/>
          <w:shd w:val="clear" w:color="auto" w:fill="FFFFFF"/>
        </w:rPr>
      </w:pPr>
      <w:r>
        <w:rPr>
          <w:rFonts w:hint="default" w:ascii="Times New Roman" w:hAnsi="Times New Roman" w:eastAsia="方正小标宋简体" w:cs="Times New Roman"/>
          <w:b w:val="0"/>
          <w:bCs/>
          <w:color w:val="auto"/>
          <w:sz w:val="44"/>
          <w:szCs w:val="44"/>
          <w:highlight w:val="none"/>
          <w:shd w:val="clear" w:color="auto" w:fill="FFFFFF"/>
          <w:lang w:val="en-US" w:eastAsia="zh-CN"/>
        </w:rPr>
        <w:t>2022年</w:t>
      </w:r>
      <w:r>
        <w:rPr>
          <w:rFonts w:hint="default" w:ascii="Times New Roman" w:hAnsi="Times New Roman" w:eastAsia="方正小标宋简体" w:cs="Times New Roman"/>
          <w:b w:val="0"/>
          <w:bCs/>
          <w:color w:val="auto"/>
          <w:sz w:val="44"/>
          <w:szCs w:val="44"/>
          <w:highlight w:val="none"/>
          <w:shd w:val="clear" w:color="auto" w:fill="FFFFFF"/>
        </w:rPr>
        <w:t>部门整体绩效评价报告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auto"/>
          <w:kern w:val="0"/>
          <w:sz w:val="32"/>
          <w:szCs w:val="32"/>
          <w:highlight w:val="none"/>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仿宋_GB2312" w:cs="Times New Roman"/>
          <w:color w:val="auto"/>
          <w:kern w:val="0"/>
          <w:sz w:val="32"/>
          <w:szCs w:val="32"/>
          <w:highlight w:val="none"/>
          <w:shd w:val="clear" w:color="auto" w:fill="FFFFFF"/>
          <w:lang w:val="zh-CN"/>
        </w:rPr>
        <w:t>根据《遂宁市安居区财政局关于开展202</w:t>
      </w:r>
      <w:r>
        <w:rPr>
          <w:rFonts w:hint="default" w:ascii="Times New Roman" w:hAnsi="Times New Roman" w:eastAsia="仿宋_GB2312" w:cs="Times New Roman"/>
          <w:color w:val="auto"/>
          <w:kern w:val="0"/>
          <w:sz w:val="32"/>
          <w:szCs w:val="32"/>
          <w:highlight w:val="none"/>
          <w:shd w:val="clear" w:color="auto" w:fill="FFFFFF"/>
          <w:lang w:val="en-US" w:eastAsia="zh-CN"/>
        </w:rPr>
        <w:t>3</w:t>
      </w:r>
      <w:r>
        <w:rPr>
          <w:rFonts w:hint="default" w:ascii="Times New Roman" w:hAnsi="Times New Roman" w:eastAsia="仿宋_GB2312" w:cs="Times New Roman"/>
          <w:color w:val="auto"/>
          <w:kern w:val="0"/>
          <w:sz w:val="32"/>
          <w:szCs w:val="32"/>
          <w:highlight w:val="none"/>
          <w:shd w:val="clear" w:color="auto" w:fill="FFFFFF"/>
          <w:lang w:val="zh-CN"/>
        </w:rPr>
        <w:t>年部门、项目、政策支出绩效自评工作的通知》（遂安财监督〔202</w:t>
      </w:r>
      <w:r>
        <w:rPr>
          <w:rFonts w:hint="default" w:ascii="Times New Roman" w:hAnsi="Times New Roman" w:eastAsia="仿宋_GB2312" w:cs="Times New Roman"/>
          <w:color w:val="auto"/>
          <w:kern w:val="0"/>
          <w:sz w:val="32"/>
          <w:szCs w:val="32"/>
          <w:highlight w:val="none"/>
          <w:shd w:val="clear" w:color="auto" w:fill="FFFFFF"/>
          <w:lang w:val="en-US" w:eastAsia="zh-CN"/>
        </w:rPr>
        <w:t>3〕12</w:t>
      </w:r>
      <w:r>
        <w:rPr>
          <w:rFonts w:hint="default" w:ascii="Times New Roman" w:hAnsi="Times New Roman" w:eastAsia="仿宋_GB2312" w:cs="Times New Roman"/>
          <w:color w:val="auto"/>
          <w:kern w:val="0"/>
          <w:sz w:val="32"/>
          <w:szCs w:val="32"/>
          <w:highlight w:val="none"/>
          <w:shd w:val="clear" w:color="auto" w:fill="FFFFFF"/>
          <w:lang w:val="zh-CN"/>
        </w:rPr>
        <w:t>号）要求，我委对202</w:t>
      </w:r>
      <w:r>
        <w:rPr>
          <w:rFonts w:hint="default" w:ascii="Times New Roman" w:hAnsi="Times New Roman" w:eastAsia="仿宋_GB2312" w:cs="Times New Roman"/>
          <w:color w:val="auto"/>
          <w:kern w:val="0"/>
          <w:sz w:val="32"/>
          <w:szCs w:val="32"/>
          <w:highlight w:val="none"/>
          <w:shd w:val="clear" w:color="auto" w:fill="FFFFFF"/>
          <w:lang w:val="en-US" w:eastAsia="zh-CN"/>
        </w:rPr>
        <w:t>2</w:t>
      </w:r>
      <w:r>
        <w:rPr>
          <w:rFonts w:hint="default" w:ascii="Times New Roman" w:hAnsi="Times New Roman" w:eastAsia="仿宋_GB2312" w:cs="Times New Roman"/>
          <w:color w:val="auto"/>
          <w:kern w:val="0"/>
          <w:sz w:val="32"/>
          <w:szCs w:val="32"/>
          <w:highlight w:val="none"/>
          <w:shd w:val="clear" w:color="auto" w:fill="FFFFFF"/>
          <w:lang w:val="zh-CN"/>
        </w:rPr>
        <w:t>年部门预算整体支出绩效进行了全面综合评价，自评得分</w:t>
      </w:r>
      <w:r>
        <w:rPr>
          <w:rFonts w:hint="default" w:ascii="Times New Roman" w:hAnsi="Times New Roman" w:eastAsia="仿宋_GB2312" w:cs="Times New Roman"/>
          <w:color w:val="auto"/>
          <w:kern w:val="0"/>
          <w:sz w:val="32"/>
          <w:szCs w:val="32"/>
          <w:highlight w:val="none"/>
          <w:shd w:val="clear" w:color="auto" w:fill="FFFFFF"/>
          <w:lang w:val="en-US" w:eastAsia="zh-CN"/>
        </w:rPr>
        <w:t>87</w:t>
      </w:r>
      <w:r>
        <w:rPr>
          <w:rFonts w:hint="default" w:ascii="Times New Roman" w:hAnsi="Times New Roman" w:eastAsia="仿宋_GB2312" w:cs="Times New Roman"/>
          <w:color w:val="auto"/>
          <w:kern w:val="0"/>
          <w:sz w:val="32"/>
          <w:szCs w:val="32"/>
          <w:highlight w:val="none"/>
          <w:shd w:val="clear" w:color="auto" w:fill="FFFFFF"/>
          <w:lang w:val="zh-CN"/>
        </w:rPr>
        <w:t>分（满分</w:t>
      </w:r>
      <w:r>
        <w:rPr>
          <w:rFonts w:hint="default" w:ascii="Times New Roman" w:hAnsi="Times New Roman" w:eastAsia="仿宋_GB2312" w:cs="Times New Roman"/>
          <w:color w:val="auto"/>
          <w:kern w:val="0"/>
          <w:sz w:val="32"/>
          <w:szCs w:val="32"/>
          <w:highlight w:val="none"/>
          <w:shd w:val="clear" w:color="auto" w:fill="FFFFFF"/>
          <w:lang w:val="en-US" w:eastAsia="zh-CN"/>
        </w:rPr>
        <w:t>90分</w:t>
      </w:r>
      <w:r>
        <w:rPr>
          <w:rFonts w:hint="default" w:ascii="Times New Roman" w:hAnsi="Times New Roman" w:eastAsia="仿宋_GB2312" w:cs="Times New Roman"/>
          <w:color w:val="auto"/>
          <w:kern w:val="0"/>
          <w:sz w:val="32"/>
          <w:szCs w:val="32"/>
          <w:highlight w:val="none"/>
          <w:shd w:val="clear" w:color="auto" w:fill="FFFFFF"/>
          <w:lang w:val="zh-CN"/>
        </w:rPr>
        <w:t>），现将自评情况汇报如下。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rPr>
        <w:t>一、</w:t>
      </w:r>
      <w:r>
        <w:rPr>
          <w:rFonts w:hint="default" w:ascii="Times New Roman" w:hAnsi="Times New Roman" w:eastAsia="黑体" w:cs="Times New Roman"/>
          <w:color w:val="000000"/>
          <w:kern w:val="0"/>
          <w:sz w:val="32"/>
          <w:szCs w:val="32"/>
          <w:highlight w:val="none"/>
          <w:shd w:val="clear" w:color="auto" w:fill="FFFFFF"/>
          <w:lang w:val="zh-CN"/>
        </w:rPr>
        <w:t>部门（单位）概况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楷体_GB2312" w:cs="Times New Roman"/>
          <w:color w:val="auto"/>
          <w:kern w:val="0"/>
          <w:sz w:val="32"/>
          <w:szCs w:val="32"/>
          <w:highlight w:val="none"/>
          <w:shd w:val="clear" w:color="auto" w:fill="FFFFFF"/>
          <w:lang w:val="zh-CN"/>
        </w:rPr>
        <w:t>（一）机构组成。</w:t>
      </w:r>
      <w:r>
        <w:rPr>
          <w:rFonts w:hint="default" w:ascii="Times New Roman" w:hAnsi="Times New Roman" w:eastAsia="仿宋_GB2312" w:cs="Times New Roman"/>
          <w:color w:val="auto"/>
          <w:kern w:val="0"/>
          <w:sz w:val="32"/>
          <w:szCs w:val="32"/>
          <w:highlight w:val="none"/>
          <w:shd w:val="clear" w:color="auto" w:fill="FFFFFF"/>
          <w:lang w:val="zh-CN"/>
        </w:rPr>
        <w:t>区纪委与区监委严格按照三定方案要求，内设办公室、组织部、信访室、宣传部、党风政风监督室、纪检室、案件审理室等。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楷体_GB2312" w:cs="Times New Roman"/>
          <w:color w:val="auto"/>
          <w:kern w:val="0"/>
          <w:sz w:val="32"/>
          <w:szCs w:val="32"/>
          <w:highlight w:val="none"/>
          <w:shd w:val="clear" w:color="auto" w:fill="FFFFFF"/>
          <w:lang w:val="zh-CN"/>
        </w:rPr>
        <w:t>（二）机构职能。</w:t>
      </w:r>
      <w:r>
        <w:rPr>
          <w:rFonts w:hint="default" w:ascii="Times New Roman" w:hAnsi="Times New Roman" w:eastAsia="仿宋_GB2312" w:cs="Times New Roman"/>
          <w:color w:val="auto"/>
          <w:kern w:val="0"/>
          <w:sz w:val="32"/>
          <w:szCs w:val="32"/>
          <w:highlight w:val="none"/>
          <w:shd w:val="clear" w:color="auto" w:fill="FFFFFF"/>
          <w:lang w:val="zh-CN"/>
        </w:rPr>
        <w:t>区纪委与区监委合署办公，实行一套工作机构、两个机关名称，履行党的纪律检查和国家监察两项职能，在遂宁市纪委监委和中共遂宁市安居区委双重领导下开展工作。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楷体_GB2312" w:cs="Times New Roman"/>
          <w:color w:val="auto"/>
          <w:kern w:val="0"/>
          <w:sz w:val="32"/>
          <w:szCs w:val="32"/>
          <w:highlight w:val="none"/>
          <w:shd w:val="clear" w:color="auto" w:fill="FFFFFF"/>
          <w:lang w:val="zh-CN"/>
        </w:rPr>
        <w:t>（三）人员概况。</w:t>
      </w:r>
      <w:r>
        <w:rPr>
          <w:rFonts w:hint="default" w:ascii="Times New Roman" w:hAnsi="Times New Roman" w:eastAsia="仿宋_GB2312" w:cs="Times New Roman"/>
          <w:color w:val="auto"/>
          <w:kern w:val="0"/>
          <w:sz w:val="32"/>
          <w:szCs w:val="32"/>
          <w:highlight w:val="none"/>
          <w:shd w:val="clear" w:color="auto" w:fill="FFFFFF"/>
          <w:lang w:val="zh-CN"/>
        </w:rPr>
        <w:t>我委编制共</w:t>
      </w:r>
      <w:r>
        <w:rPr>
          <w:rFonts w:hint="default" w:ascii="Times New Roman" w:hAnsi="Times New Roman" w:eastAsia="仿宋_GB2312" w:cs="Times New Roman"/>
          <w:color w:val="auto"/>
          <w:kern w:val="0"/>
          <w:sz w:val="32"/>
          <w:szCs w:val="32"/>
          <w:highlight w:val="none"/>
          <w:shd w:val="clear" w:color="auto" w:fill="FFFFFF"/>
          <w:lang w:val="en-US" w:eastAsia="zh-CN"/>
        </w:rPr>
        <w:t>86</w:t>
      </w:r>
      <w:r>
        <w:rPr>
          <w:rFonts w:hint="default" w:ascii="Times New Roman" w:hAnsi="Times New Roman" w:eastAsia="仿宋_GB2312" w:cs="Times New Roman"/>
          <w:color w:val="auto"/>
          <w:kern w:val="0"/>
          <w:sz w:val="32"/>
          <w:szCs w:val="32"/>
          <w:highlight w:val="none"/>
          <w:shd w:val="clear" w:color="auto" w:fill="FFFFFF"/>
          <w:lang w:val="zh-CN"/>
        </w:rPr>
        <w:t>人（含</w:t>
      </w:r>
      <w:r>
        <w:rPr>
          <w:rFonts w:hint="default" w:ascii="Times New Roman" w:hAnsi="Times New Roman" w:eastAsia="仿宋_GB2312" w:cs="Times New Roman"/>
          <w:color w:val="auto"/>
          <w:kern w:val="0"/>
          <w:sz w:val="32"/>
          <w:szCs w:val="32"/>
          <w:highlight w:val="none"/>
          <w:shd w:val="clear" w:color="auto" w:fill="FFFFFF"/>
          <w:lang w:val="en-US" w:eastAsia="zh-CN"/>
        </w:rPr>
        <w:t>行政</w:t>
      </w:r>
      <w:r>
        <w:rPr>
          <w:rFonts w:hint="default" w:ascii="Times New Roman" w:hAnsi="Times New Roman" w:eastAsia="仿宋_GB2312" w:cs="Times New Roman"/>
          <w:color w:val="auto"/>
          <w:kern w:val="0"/>
          <w:sz w:val="32"/>
          <w:szCs w:val="32"/>
          <w:highlight w:val="none"/>
          <w:shd w:val="clear" w:color="auto" w:fill="FFFFFF"/>
          <w:lang w:val="zh-CN"/>
        </w:rPr>
        <w:t>编制</w:t>
      </w:r>
      <w:r>
        <w:rPr>
          <w:rFonts w:hint="default" w:ascii="Times New Roman" w:hAnsi="Times New Roman" w:eastAsia="仿宋_GB2312" w:cs="Times New Roman"/>
          <w:color w:val="auto"/>
          <w:kern w:val="0"/>
          <w:sz w:val="32"/>
          <w:szCs w:val="32"/>
          <w:highlight w:val="none"/>
          <w:shd w:val="clear" w:color="auto" w:fill="FFFFFF"/>
          <w:lang w:val="en-US" w:eastAsia="zh-CN"/>
        </w:rPr>
        <w:t>84</w:t>
      </w:r>
      <w:r>
        <w:rPr>
          <w:rFonts w:hint="default" w:ascii="Times New Roman" w:hAnsi="Times New Roman" w:eastAsia="仿宋_GB2312" w:cs="Times New Roman"/>
          <w:color w:val="auto"/>
          <w:kern w:val="0"/>
          <w:sz w:val="32"/>
          <w:szCs w:val="32"/>
          <w:highlight w:val="none"/>
          <w:shd w:val="clear" w:color="auto" w:fill="FFFFFF"/>
          <w:lang w:val="zh-CN"/>
        </w:rPr>
        <w:t>人，机关工勤1人，事业编制</w:t>
      </w:r>
      <w:r>
        <w:rPr>
          <w:rFonts w:hint="default" w:ascii="Times New Roman" w:hAnsi="Times New Roman" w:eastAsia="仿宋_GB2312" w:cs="Times New Roman"/>
          <w:color w:val="auto"/>
          <w:kern w:val="0"/>
          <w:sz w:val="32"/>
          <w:szCs w:val="32"/>
          <w:highlight w:val="none"/>
          <w:shd w:val="clear" w:color="auto" w:fill="FFFFFF"/>
          <w:lang w:val="en-US" w:eastAsia="zh-CN"/>
        </w:rPr>
        <w:t>1人</w:t>
      </w:r>
      <w:r>
        <w:rPr>
          <w:rFonts w:hint="default" w:ascii="Times New Roman" w:hAnsi="Times New Roman" w:eastAsia="仿宋_GB2312" w:cs="Times New Roman"/>
          <w:color w:val="auto"/>
          <w:kern w:val="0"/>
          <w:sz w:val="32"/>
          <w:szCs w:val="32"/>
          <w:highlight w:val="none"/>
          <w:shd w:val="clear" w:color="auto" w:fill="FFFFFF"/>
          <w:lang w:val="zh-CN"/>
        </w:rPr>
        <w:t>），</w:t>
      </w:r>
      <w:r>
        <w:rPr>
          <w:rFonts w:hint="default" w:ascii="Times New Roman" w:hAnsi="Times New Roman" w:eastAsia="仿宋_GB2312" w:cs="Times New Roman"/>
          <w:color w:val="auto"/>
          <w:kern w:val="0"/>
          <w:sz w:val="32"/>
          <w:szCs w:val="32"/>
          <w:highlight w:val="none"/>
          <w:shd w:val="clear" w:color="auto" w:fill="FFFFFF"/>
          <w:lang w:val="en-US" w:eastAsia="zh-CN"/>
        </w:rPr>
        <w:t>2022</w:t>
      </w:r>
      <w:r>
        <w:rPr>
          <w:rFonts w:hint="default" w:ascii="Times New Roman" w:hAnsi="Times New Roman" w:eastAsia="仿宋_GB2312" w:cs="Times New Roman"/>
          <w:color w:val="auto"/>
          <w:kern w:val="0"/>
          <w:sz w:val="32"/>
          <w:szCs w:val="32"/>
          <w:highlight w:val="none"/>
          <w:shd w:val="clear" w:color="auto" w:fill="FFFFFF"/>
          <w:lang w:val="zh-CN"/>
        </w:rPr>
        <w:t>年末实际在编人员</w:t>
      </w:r>
      <w:r>
        <w:rPr>
          <w:rFonts w:hint="default" w:ascii="Times New Roman" w:hAnsi="Times New Roman" w:eastAsia="仿宋_GB2312" w:cs="Times New Roman"/>
          <w:color w:val="auto"/>
          <w:kern w:val="0"/>
          <w:sz w:val="32"/>
          <w:szCs w:val="32"/>
          <w:highlight w:val="none"/>
          <w:shd w:val="clear" w:color="auto" w:fill="FFFFFF"/>
          <w:lang w:val="en-US" w:eastAsia="zh-CN"/>
        </w:rPr>
        <w:t>79</w:t>
      </w:r>
      <w:r>
        <w:rPr>
          <w:rFonts w:hint="default" w:ascii="Times New Roman" w:hAnsi="Times New Roman" w:eastAsia="仿宋_GB2312" w:cs="Times New Roman"/>
          <w:color w:val="auto"/>
          <w:kern w:val="0"/>
          <w:sz w:val="32"/>
          <w:szCs w:val="32"/>
          <w:highlight w:val="none"/>
          <w:shd w:val="clear" w:color="auto" w:fill="FFFFFF"/>
          <w:lang w:val="zh-CN"/>
        </w:rPr>
        <w:t>人（含机关在编</w:t>
      </w:r>
      <w:r>
        <w:rPr>
          <w:rFonts w:hint="default" w:ascii="Times New Roman" w:hAnsi="Times New Roman" w:eastAsia="仿宋_GB2312" w:cs="Times New Roman"/>
          <w:color w:val="auto"/>
          <w:kern w:val="0"/>
          <w:sz w:val="32"/>
          <w:szCs w:val="32"/>
          <w:highlight w:val="none"/>
          <w:shd w:val="clear" w:color="auto" w:fill="FFFFFF"/>
          <w:lang w:val="en-US" w:eastAsia="zh-CN"/>
        </w:rPr>
        <w:t>77</w:t>
      </w:r>
      <w:r>
        <w:rPr>
          <w:rFonts w:hint="default" w:ascii="Times New Roman" w:hAnsi="Times New Roman" w:eastAsia="仿宋_GB2312" w:cs="Times New Roman"/>
          <w:color w:val="auto"/>
          <w:kern w:val="0"/>
          <w:sz w:val="32"/>
          <w:szCs w:val="32"/>
          <w:highlight w:val="none"/>
          <w:shd w:val="clear" w:color="auto" w:fill="FFFFFF"/>
          <w:lang w:val="zh-CN"/>
        </w:rPr>
        <w:t>人，机关工勤</w:t>
      </w:r>
      <w:r>
        <w:rPr>
          <w:rFonts w:hint="default" w:ascii="Times New Roman" w:hAnsi="Times New Roman" w:eastAsia="仿宋_GB2312" w:cs="Times New Roman"/>
          <w:color w:val="auto"/>
          <w:kern w:val="0"/>
          <w:sz w:val="32"/>
          <w:szCs w:val="32"/>
          <w:highlight w:val="none"/>
          <w:shd w:val="clear" w:color="auto" w:fill="FFFFFF"/>
          <w:lang w:val="en-US" w:eastAsia="zh-CN"/>
        </w:rPr>
        <w:t>1</w:t>
      </w:r>
      <w:r>
        <w:rPr>
          <w:rFonts w:hint="default" w:ascii="Times New Roman" w:hAnsi="Times New Roman" w:eastAsia="仿宋_GB2312" w:cs="Times New Roman"/>
          <w:color w:val="auto"/>
          <w:kern w:val="0"/>
          <w:sz w:val="32"/>
          <w:szCs w:val="32"/>
          <w:highlight w:val="none"/>
          <w:shd w:val="clear" w:color="auto" w:fill="FFFFFF"/>
          <w:lang w:val="zh-CN"/>
        </w:rPr>
        <w:t>人，</w:t>
      </w:r>
      <w:r>
        <w:rPr>
          <w:rFonts w:hint="default" w:ascii="Times New Roman" w:hAnsi="Times New Roman" w:eastAsia="仿宋_GB2312" w:cs="Times New Roman"/>
          <w:color w:val="auto"/>
          <w:kern w:val="0"/>
          <w:sz w:val="32"/>
          <w:szCs w:val="32"/>
          <w:highlight w:val="none"/>
          <w:shd w:val="clear" w:color="auto" w:fill="FFFFFF"/>
          <w:lang w:val="en-US" w:eastAsia="zh-CN"/>
        </w:rPr>
        <w:t>事业编制1人</w:t>
      </w:r>
      <w:r>
        <w:rPr>
          <w:rFonts w:hint="default" w:ascii="Times New Roman" w:hAnsi="Times New Roman" w:eastAsia="仿宋_GB2312" w:cs="Times New Roman"/>
          <w:color w:val="auto"/>
          <w:kern w:val="0"/>
          <w:sz w:val="32"/>
          <w:szCs w:val="32"/>
          <w:highlight w:val="none"/>
          <w:shd w:val="clear" w:color="auto" w:fill="FFFFFF"/>
          <w:lang w:val="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zh-CN"/>
        </w:rPr>
        <w:t>（一）部门财政资金收入情况。</w:t>
      </w:r>
      <w:r>
        <w:rPr>
          <w:rFonts w:hint="default" w:ascii="Times New Roman" w:hAnsi="Times New Roman" w:eastAsia="仿宋_GB2312" w:cs="Times New Roman"/>
          <w:color w:val="000000"/>
          <w:kern w:val="0"/>
          <w:sz w:val="32"/>
          <w:szCs w:val="32"/>
          <w:highlight w:val="none"/>
          <w:shd w:val="clear" w:color="auto" w:fill="FFFFFF"/>
          <w:lang w:val="zh-CN"/>
        </w:rPr>
        <w:t>202</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年度收入1728</w:t>
      </w:r>
      <w:r>
        <w:rPr>
          <w:rFonts w:hint="default" w:ascii="Times New Roman" w:hAnsi="Times New Roman" w:eastAsia="仿宋_GB2312" w:cs="Times New Roman"/>
          <w:color w:val="000000"/>
          <w:kern w:val="0"/>
          <w:sz w:val="32"/>
          <w:szCs w:val="32"/>
          <w:highlight w:val="none"/>
          <w:shd w:val="clear" w:color="auto" w:fill="FFFFFF"/>
          <w:lang w:val="en-US" w:eastAsia="zh-CN"/>
        </w:rPr>
        <w:t>.</w:t>
      </w:r>
      <w:r>
        <w:rPr>
          <w:rFonts w:hint="default" w:ascii="Times New Roman" w:hAnsi="Times New Roman" w:eastAsia="仿宋_GB2312" w:cs="Times New Roman"/>
          <w:color w:val="000000"/>
          <w:kern w:val="0"/>
          <w:sz w:val="32"/>
          <w:szCs w:val="32"/>
          <w:highlight w:val="none"/>
          <w:shd w:val="clear" w:color="auto" w:fill="FFFFFF"/>
          <w:lang w:val="zh-CN"/>
        </w:rPr>
        <w:t>8</w:t>
      </w:r>
      <w:r>
        <w:rPr>
          <w:rFonts w:hint="default" w:ascii="Times New Roman" w:hAnsi="Times New Roman" w:eastAsia="仿宋_GB2312" w:cs="Times New Roman"/>
          <w:color w:val="000000"/>
          <w:kern w:val="0"/>
          <w:sz w:val="32"/>
          <w:szCs w:val="32"/>
          <w:highlight w:val="none"/>
          <w:shd w:val="clear" w:color="auto" w:fill="FFFFFF"/>
          <w:lang w:val="en-US" w:eastAsia="zh-CN"/>
        </w:rPr>
        <w:t>7</w:t>
      </w:r>
      <w:r>
        <w:rPr>
          <w:rFonts w:hint="default" w:ascii="Times New Roman" w:hAnsi="Times New Roman" w:eastAsia="仿宋_GB2312" w:cs="Times New Roman"/>
          <w:color w:val="000000"/>
          <w:kern w:val="0"/>
          <w:sz w:val="32"/>
          <w:szCs w:val="32"/>
          <w:highlight w:val="none"/>
          <w:shd w:val="clear" w:color="auto" w:fill="FFFFFF"/>
          <w:lang w:val="zh-CN"/>
        </w:rPr>
        <w:t>万元，其中：一般公共预算财政拨款收入1705</w:t>
      </w:r>
      <w:r>
        <w:rPr>
          <w:rFonts w:hint="default" w:ascii="Times New Roman" w:hAnsi="Times New Roman" w:eastAsia="仿宋_GB2312" w:cs="Times New Roman"/>
          <w:color w:val="000000"/>
          <w:kern w:val="0"/>
          <w:sz w:val="32"/>
          <w:szCs w:val="32"/>
          <w:highlight w:val="none"/>
          <w:shd w:val="clear" w:color="auto" w:fill="FFFFFF"/>
          <w:lang w:val="en-US" w:eastAsia="zh-CN"/>
        </w:rPr>
        <w:t>.</w:t>
      </w:r>
      <w:r>
        <w:rPr>
          <w:rFonts w:hint="default" w:ascii="Times New Roman" w:hAnsi="Times New Roman" w:eastAsia="仿宋_GB2312" w:cs="Times New Roman"/>
          <w:color w:val="000000"/>
          <w:kern w:val="0"/>
          <w:sz w:val="32"/>
          <w:szCs w:val="32"/>
          <w:highlight w:val="none"/>
          <w:shd w:val="clear" w:color="auto" w:fill="FFFFFF"/>
          <w:lang w:val="zh-CN"/>
        </w:rPr>
        <w:t>8</w:t>
      </w:r>
      <w:r>
        <w:rPr>
          <w:rFonts w:hint="default" w:ascii="Times New Roman" w:hAnsi="Times New Roman" w:eastAsia="仿宋_GB2312" w:cs="Times New Roman"/>
          <w:color w:val="000000"/>
          <w:kern w:val="0"/>
          <w:sz w:val="32"/>
          <w:szCs w:val="32"/>
          <w:highlight w:val="none"/>
          <w:shd w:val="clear" w:color="auto" w:fill="FFFFFF"/>
          <w:lang w:val="en-US" w:eastAsia="zh-CN"/>
        </w:rPr>
        <w:t>7</w:t>
      </w:r>
      <w:r>
        <w:rPr>
          <w:rFonts w:hint="default" w:ascii="Times New Roman" w:hAnsi="Times New Roman" w:eastAsia="仿宋_GB2312" w:cs="Times New Roman"/>
          <w:color w:val="000000"/>
          <w:kern w:val="0"/>
          <w:sz w:val="32"/>
          <w:szCs w:val="32"/>
          <w:highlight w:val="none"/>
          <w:shd w:val="clear" w:color="auto" w:fill="FFFFFF"/>
          <w:lang w:val="zh-CN"/>
        </w:rPr>
        <w:t>万元，占比</w:t>
      </w:r>
      <w:r>
        <w:rPr>
          <w:rFonts w:hint="default" w:ascii="Times New Roman" w:hAnsi="Times New Roman" w:eastAsia="仿宋_GB2312" w:cs="Times New Roman"/>
          <w:color w:val="000000"/>
          <w:kern w:val="0"/>
          <w:sz w:val="32"/>
          <w:szCs w:val="32"/>
          <w:highlight w:val="none"/>
          <w:shd w:val="clear" w:color="auto" w:fill="FFFFFF"/>
          <w:lang w:val="en-US" w:eastAsia="zh-CN"/>
        </w:rPr>
        <w:t>98.67</w:t>
      </w:r>
      <w:r>
        <w:rPr>
          <w:rFonts w:hint="default" w:ascii="Times New Roman" w:hAnsi="Times New Roman" w:eastAsia="仿宋_GB2312" w:cs="Times New Roman"/>
          <w:color w:val="000000"/>
          <w:kern w:val="0"/>
          <w:sz w:val="32"/>
          <w:szCs w:val="32"/>
          <w:highlight w:val="none"/>
          <w:shd w:val="clear" w:color="auto" w:fill="FFFFFF"/>
          <w:lang w:val="zh-CN"/>
        </w:rPr>
        <w:t>%，政府性基金预算财政拨款收入</w:t>
      </w:r>
      <w:r>
        <w:rPr>
          <w:rFonts w:hint="default" w:ascii="Times New Roman" w:hAnsi="Times New Roman" w:eastAsia="仿宋_GB2312" w:cs="Times New Roman"/>
          <w:color w:val="000000"/>
          <w:kern w:val="0"/>
          <w:sz w:val="32"/>
          <w:szCs w:val="32"/>
          <w:highlight w:val="none"/>
          <w:shd w:val="clear" w:color="auto" w:fill="FFFFFF"/>
          <w:lang w:val="en-US" w:eastAsia="zh-CN"/>
        </w:rPr>
        <w:t>23万元，占比1.33%。财政资金收入</w:t>
      </w:r>
      <w:r>
        <w:rPr>
          <w:rFonts w:hint="default" w:ascii="Times New Roman" w:hAnsi="Times New Roman" w:eastAsia="仿宋_GB2312" w:cs="Times New Roman"/>
          <w:color w:val="000000"/>
          <w:kern w:val="0"/>
          <w:sz w:val="32"/>
          <w:szCs w:val="32"/>
          <w:highlight w:val="none"/>
          <w:shd w:val="clear" w:color="auto" w:fill="FFFFFF"/>
          <w:lang w:val="zh-CN"/>
        </w:rPr>
        <w:t>较</w:t>
      </w:r>
      <w:r>
        <w:rPr>
          <w:rFonts w:hint="default" w:ascii="Times New Roman" w:hAnsi="Times New Roman" w:eastAsia="仿宋_GB2312" w:cs="Times New Roman"/>
          <w:color w:val="000000"/>
          <w:kern w:val="0"/>
          <w:sz w:val="32"/>
          <w:szCs w:val="32"/>
          <w:highlight w:val="none"/>
          <w:shd w:val="clear" w:color="auto" w:fill="FFFFFF"/>
          <w:lang w:val="en-US" w:eastAsia="zh-CN"/>
        </w:rPr>
        <w:t>2021</w:t>
      </w:r>
      <w:r>
        <w:rPr>
          <w:rFonts w:hint="default" w:ascii="Times New Roman" w:hAnsi="Times New Roman" w:eastAsia="仿宋_GB2312" w:cs="Times New Roman"/>
          <w:color w:val="000000"/>
          <w:kern w:val="0"/>
          <w:sz w:val="32"/>
          <w:szCs w:val="32"/>
          <w:highlight w:val="none"/>
          <w:shd w:val="clear" w:color="auto" w:fill="FFFFFF"/>
          <w:lang w:val="zh-CN"/>
        </w:rPr>
        <w:t>年</w:t>
      </w:r>
      <w:r>
        <w:rPr>
          <w:rFonts w:hint="default" w:ascii="Times New Roman" w:hAnsi="Times New Roman" w:eastAsia="仿宋_GB2312" w:cs="Times New Roman"/>
          <w:color w:val="000000"/>
          <w:kern w:val="0"/>
          <w:sz w:val="32"/>
          <w:szCs w:val="32"/>
          <w:highlight w:val="none"/>
          <w:shd w:val="clear" w:color="auto" w:fill="FFFFFF"/>
          <w:lang w:val="en-US" w:eastAsia="zh-CN"/>
        </w:rPr>
        <w:t>增加184.29万元，</w:t>
      </w:r>
      <w:r>
        <w:rPr>
          <w:rFonts w:hint="default" w:ascii="Times New Roman" w:hAnsi="Times New Roman" w:eastAsia="仿宋_GB2312" w:cs="Times New Roman"/>
          <w:color w:val="000000"/>
          <w:kern w:val="0"/>
          <w:sz w:val="32"/>
          <w:szCs w:val="32"/>
          <w:highlight w:val="none"/>
          <w:shd w:val="clear" w:color="auto" w:fill="FFFFFF"/>
          <w:lang w:val="zh-CN"/>
        </w:rPr>
        <w:t>增长</w:t>
      </w:r>
      <w:r>
        <w:rPr>
          <w:rFonts w:hint="default" w:ascii="Times New Roman" w:hAnsi="Times New Roman" w:eastAsia="仿宋_GB2312" w:cs="Times New Roman"/>
          <w:color w:val="000000"/>
          <w:kern w:val="0"/>
          <w:sz w:val="32"/>
          <w:szCs w:val="32"/>
          <w:highlight w:val="none"/>
          <w:shd w:val="clear" w:color="auto" w:fill="FFFFFF"/>
          <w:lang w:val="en-US" w:eastAsia="zh-CN"/>
        </w:rPr>
        <w:t>11.93</w:t>
      </w:r>
      <w:r>
        <w:rPr>
          <w:rFonts w:hint="default" w:ascii="Times New Roman" w:hAnsi="Times New Roman" w:eastAsia="仿宋_GB2312" w:cs="Times New Roman"/>
          <w:color w:val="000000"/>
          <w:kern w:val="0"/>
          <w:sz w:val="32"/>
          <w:szCs w:val="32"/>
          <w:highlight w:val="none"/>
          <w:shd w:val="clear" w:color="auto" w:fill="FFFFFF"/>
          <w:lang w:val="zh-CN"/>
        </w:rPr>
        <w:t>%，主要变动原因是：一是</w:t>
      </w:r>
      <w:r>
        <w:rPr>
          <w:rFonts w:hint="default" w:ascii="Times New Roman" w:hAnsi="Times New Roman" w:eastAsia="仿宋_GB2312" w:cs="Times New Roman"/>
          <w:color w:val="000000"/>
          <w:kern w:val="0"/>
          <w:sz w:val="32"/>
          <w:szCs w:val="32"/>
          <w:highlight w:val="none"/>
          <w:shd w:val="clear" w:color="auto" w:fill="FFFFFF"/>
          <w:lang w:val="en-US" w:eastAsia="zh-CN"/>
        </w:rPr>
        <w:t>机关行政编制人员</w:t>
      </w:r>
      <w:r>
        <w:rPr>
          <w:rFonts w:hint="default" w:ascii="Times New Roman" w:hAnsi="Times New Roman" w:eastAsia="仿宋_GB2312" w:cs="Times New Roman"/>
          <w:color w:val="000000"/>
          <w:kern w:val="0"/>
          <w:sz w:val="32"/>
          <w:szCs w:val="32"/>
          <w:highlight w:val="none"/>
          <w:shd w:val="clear" w:color="auto" w:fill="FFFFFF"/>
          <w:lang w:val="zh-CN"/>
        </w:rPr>
        <w:t>增加，导致</w:t>
      </w:r>
      <w:r>
        <w:rPr>
          <w:rFonts w:hint="default" w:ascii="Times New Roman" w:hAnsi="Times New Roman" w:eastAsia="仿宋_GB2312" w:cs="Times New Roman"/>
          <w:color w:val="000000"/>
          <w:kern w:val="0"/>
          <w:sz w:val="32"/>
          <w:szCs w:val="32"/>
          <w:highlight w:val="none"/>
          <w:shd w:val="clear" w:color="auto" w:fill="FFFFFF"/>
          <w:lang w:val="en-US" w:eastAsia="zh-CN"/>
        </w:rPr>
        <w:t>人员</w:t>
      </w:r>
      <w:r>
        <w:rPr>
          <w:rFonts w:hint="default" w:ascii="Times New Roman" w:hAnsi="Times New Roman" w:eastAsia="仿宋_GB2312" w:cs="Times New Roman"/>
          <w:color w:val="000000"/>
          <w:kern w:val="0"/>
          <w:sz w:val="32"/>
          <w:szCs w:val="32"/>
          <w:highlight w:val="none"/>
          <w:shd w:val="clear" w:color="auto" w:fill="FFFFFF"/>
          <w:lang w:val="zh-CN"/>
        </w:rPr>
        <w:t>经费</w:t>
      </w:r>
      <w:r>
        <w:rPr>
          <w:rFonts w:hint="default" w:ascii="Times New Roman" w:hAnsi="Times New Roman" w:eastAsia="仿宋_GB2312" w:cs="Times New Roman"/>
          <w:color w:val="000000"/>
          <w:kern w:val="0"/>
          <w:sz w:val="32"/>
          <w:szCs w:val="32"/>
          <w:highlight w:val="none"/>
          <w:shd w:val="clear" w:color="auto" w:fill="FFFFFF"/>
          <w:lang w:val="en-US" w:eastAsia="zh-CN"/>
        </w:rPr>
        <w:t>和公用经费</w:t>
      </w:r>
      <w:r>
        <w:rPr>
          <w:rFonts w:hint="default" w:ascii="Times New Roman" w:hAnsi="Times New Roman" w:eastAsia="仿宋_GB2312" w:cs="Times New Roman"/>
          <w:color w:val="000000"/>
          <w:kern w:val="0"/>
          <w:sz w:val="32"/>
          <w:szCs w:val="32"/>
          <w:highlight w:val="none"/>
          <w:shd w:val="clear" w:color="auto" w:fill="FFFFFF"/>
          <w:lang w:val="zh-CN"/>
        </w:rPr>
        <w:t>增加；二是新增购买安可电脑专项资金收入。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zh-CN"/>
        </w:rPr>
        <w:t>（二）部门财政资金支出情况。</w:t>
      </w:r>
      <w:r>
        <w:rPr>
          <w:rFonts w:hint="default" w:ascii="Times New Roman" w:hAnsi="Times New Roman" w:eastAsia="仿宋_GB2312" w:cs="Times New Roman"/>
          <w:color w:val="000000"/>
          <w:kern w:val="0"/>
          <w:sz w:val="32"/>
          <w:szCs w:val="32"/>
          <w:highlight w:val="none"/>
          <w:shd w:val="clear" w:color="auto" w:fill="FFFFFF"/>
          <w:lang w:val="zh-CN"/>
        </w:rPr>
        <w:t>202</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年度支出总计1728</w:t>
      </w:r>
      <w:r>
        <w:rPr>
          <w:rFonts w:hint="default" w:ascii="Times New Roman" w:hAnsi="Times New Roman" w:eastAsia="仿宋_GB2312" w:cs="Times New Roman"/>
          <w:color w:val="000000"/>
          <w:kern w:val="0"/>
          <w:sz w:val="32"/>
          <w:szCs w:val="32"/>
          <w:highlight w:val="none"/>
          <w:shd w:val="clear" w:color="auto" w:fill="FFFFFF"/>
          <w:lang w:val="en-US" w:eastAsia="zh-CN"/>
        </w:rPr>
        <w:t>.</w:t>
      </w:r>
      <w:r>
        <w:rPr>
          <w:rFonts w:hint="default" w:ascii="Times New Roman" w:hAnsi="Times New Roman" w:eastAsia="仿宋_GB2312" w:cs="Times New Roman"/>
          <w:color w:val="000000"/>
          <w:kern w:val="0"/>
          <w:sz w:val="32"/>
          <w:szCs w:val="32"/>
          <w:highlight w:val="none"/>
          <w:shd w:val="clear" w:color="auto" w:fill="FFFFFF"/>
          <w:lang w:val="zh-CN"/>
        </w:rPr>
        <w:t>8</w:t>
      </w:r>
      <w:r>
        <w:rPr>
          <w:rFonts w:hint="default" w:ascii="Times New Roman" w:hAnsi="Times New Roman" w:eastAsia="仿宋_GB2312" w:cs="Times New Roman"/>
          <w:color w:val="000000"/>
          <w:kern w:val="0"/>
          <w:sz w:val="32"/>
          <w:szCs w:val="32"/>
          <w:highlight w:val="none"/>
          <w:shd w:val="clear" w:color="auto" w:fill="FFFFFF"/>
          <w:lang w:val="en-US" w:eastAsia="zh-CN"/>
        </w:rPr>
        <w:t>7</w:t>
      </w:r>
      <w:r>
        <w:rPr>
          <w:rFonts w:hint="default" w:ascii="Times New Roman" w:hAnsi="Times New Roman" w:eastAsia="仿宋_GB2312" w:cs="Times New Roman"/>
          <w:color w:val="000000"/>
          <w:kern w:val="0"/>
          <w:sz w:val="32"/>
          <w:szCs w:val="32"/>
          <w:highlight w:val="none"/>
          <w:shd w:val="clear" w:color="auto" w:fill="FFFFFF"/>
          <w:lang w:val="zh-CN"/>
        </w:rPr>
        <w:t>万元，占本年支出合计的100%，较20</w:t>
      </w:r>
      <w:r>
        <w:rPr>
          <w:rFonts w:hint="default" w:ascii="Times New Roman" w:hAnsi="Times New Roman" w:eastAsia="仿宋_GB2312" w:cs="Times New Roman"/>
          <w:color w:val="000000"/>
          <w:kern w:val="0"/>
          <w:sz w:val="32"/>
          <w:szCs w:val="32"/>
          <w:highlight w:val="none"/>
          <w:shd w:val="clear" w:color="auto" w:fill="FFFFFF"/>
          <w:lang w:val="en-US" w:eastAsia="zh-CN"/>
        </w:rPr>
        <w:t>21</w:t>
      </w:r>
      <w:r>
        <w:rPr>
          <w:rFonts w:hint="default" w:ascii="Times New Roman" w:hAnsi="Times New Roman" w:eastAsia="仿宋_GB2312" w:cs="Times New Roman"/>
          <w:color w:val="000000"/>
          <w:kern w:val="0"/>
          <w:sz w:val="32"/>
          <w:szCs w:val="32"/>
          <w:highlight w:val="none"/>
          <w:shd w:val="clear" w:color="auto" w:fill="FFFFFF"/>
          <w:lang w:val="zh-CN"/>
        </w:rPr>
        <w:t>年</w:t>
      </w:r>
      <w:r>
        <w:rPr>
          <w:rFonts w:hint="default" w:ascii="Times New Roman" w:hAnsi="Times New Roman" w:eastAsia="仿宋_GB2312" w:cs="Times New Roman"/>
          <w:color w:val="000000"/>
          <w:kern w:val="0"/>
          <w:sz w:val="32"/>
          <w:szCs w:val="32"/>
          <w:highlight w:val="none"/>
          <w:shd w:val="clear" w:color="auto" w:fill="FFFFFF"/>
          <w:lang w:val="en-US" w:eastAsia="zh-CN"/>
        </w:rPr>
        <w:t>增加118.53万元，</w:t>
      </w:r>
      <w:r>
        <w:rPr>
          <w:rFonts w:hint="default" w:ascii="Times New Roman" w:hAnsi="Times New Roman" w:eastAsia="仿宋_GB2312" w:cs="Times New Roman"/>
          <w:color w:val="000000"/>
          <w:kern w:val="0"/>
          <w:sz w:val="32"/>
          <w:szCs w:val="32"/>
          <w:highlight w:val="none"/>
          <w:shd w:val="clear" w:color="auto" w:fill="FFFFFF"/>
          <w:lang w:val="zh-CN"/>
        </w:rPr>
        <w:t>增长</w:t>
      </w:r>
      <w:r>
        <w:rPr>
          <w:rFonts w:hint="default" w:ascii="Times New Roman" w:hAnsi="Times New Roman" w:eastAsia="仿宋_GB2312" w:cs="Times New Roman"/>
          <w:color w:val="000000"/>
          <w:kern w:val="0"/>
          <w:sz w:val="32"/>
          <w:szCs w:val="32"/>
          <w:highlight w:val="none"/>
          <w:shd w:val="clear" w:color="auto" w:fill="FFFFFF"/>
          <w:lang w:val="en-US" w:eastAsia="zh-CN"/>
        </w:rPr>
        <w:t>7.4</w:t>
      </w:r>
      <w:r>
        <w:rPr>
          <w:rFonts w:hint="default" w:ascii="Times New Roman" w:hAnsi="Times New Roman" w:eastAsia="仿宋_GB2312" w:cs="Times New Roman"/>
          <w:color w:val="000000"/>
          <w:kern w:val="0"/>
          <w:sz w:val="32"/>
          <w:szCs w:val="32"/>
          <w:highlight w:val="none"/>
          <w:shd w:val="clear" w:color="auto" w:fill="FFFFFF"/>
          <w:lang w:val="zh-CN"/>
        </w:rPr>
        <w:t>%。主要原因是：一是机关行政编制人员增加，导致人员经费和公用经费增加；二是新增购买安可电脑专项资金收入。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从支出的功能分类看，一般公共服务支出1470</w:t>
      </w:r>
      <w:r>
        <w:rPr>
          <w:rFonts w:hint="default" w:ascii="Times New Roman" w:hAnsi="Times New Roman" w:eastAsia="仿宋_GB2312" w:cs="Times New Roman"/>
          <w:color w:val="000000"/>
          <w:kern w:val="0"/>
          <w:sz w:val="32"/>
          <w:szCs w:val="32"/>
          <w:highlight w:val="none"/>
          <w:shd w:val="clear" w:color="auto" w:fill="FFFFFF"/>
          <w:lang w:val="en-US" w:eastAsia="zh-CN"/>
        </w:rPr>
        <w:t>.</w:t>
      </w:r>
      <w:r>
        <w:rPr>
          <w:rFonts w:hint="default" w:ascii="Times New Roman" w:hAnsi="Times New Roman" w:eastAsia="仿宋_GB2312" w:cs="Times New Roman"/>
          <w:color w:val="000000"/>
          <w:kern w:val="0"/>
          <w:sz w:val="32"/>
          <w:szCs w:val="32"/>
          <w:highlight w:val="none"/>
          <w:shd w:val="clear" w:color="auto" w:fill="FFFFFF"/>
          <w:lang w:val="zh-CN"/>
        </w:rPr>
        <w:t>36万元，占</w:t>
      </w:r>
      <w:r>
        <w:rPr>
          <w:rFonts w:hint="default" w:ascii="Times New Roman" w:hAnsi="Times New Roman" w:eastAsia="仿宋_GB2312" w:cs="Times New Roman"/>
          <w:color w:val="000000"/>
          <w:kern w:val="0"/>
          <w:sz w:val="32"/>
          <w:szCs w:val="32"/>
          <w:highlight w:val="none"/>
          <w:shd w:val="clear" w:color="auto" w:fill="FFFFFF"/>
          <w:lang w:val="en-US" w:eastAsia="zh-CN"/>
        </w:rPr>
        <w:t>85.05%</w:t>
      </w:r>
      <w:r>
        <w:rPr>
          <w:rFonts w:hint="default" w:ascii="Times New Roman" w:hAnsi="Times New Roman" w:eastAsia="仿宋_GB2312" w:cs="Times New Roman"/>
          <w:color w:val="000000"/>
          <w:kern w:val="0"/>
          <w:sz w:val="32"/>
          <w:szCs w:val="32"/>
          <w:highlight w:val="none"/>
          <w:shd w:val="clear" w:color="auto" w:fill="FFFFFF"/>
          <w:lang w:val="zh-CN"/>
        </w:rPr>
        <w:t>；社会保障和就业支出</w:t>
      </w:r>
      <w:r>
        <w:rPr>
          <w:rFonts w:hint="default" w:ascii="Times New Roman" w:hAnsi="Times New Roman" w:eastAsia="仿宋_GB2312" w:cs="Times New Roman"/>
          <w:color w:val="000000"/>
          <w:kern w:val="0"/>
          <w:sz w:val="32"/>
          <w:szCs w:val="32"/>
          <w:highlight w:val="none"/>
          <w:shd w:val="clear" w:color="auto" w:fill="FFFFFF"/>
          <w:lang w:val="en-US" w:eastAsia="zh-CN"/>
        </w:rPr>
        <w:t>81.15</w:t>
      </w:r>
      <w:r>
        <w:rPr>
          <w:rFonts w:hint="default" w:ascii="Times New Roman" w:hAnsi="Times New Roman" w:eastAsia="仿宋_GB2312" w:cs="Times New Roman"/>
          <w:color w:val="000000"/>
          <w:kern w:val="0"/>
          <w:sz w:val="32"/>
          <w:szCs w:val="32"/>
          <w:highlight w:val="none"/>
          <w:shd w:val="clear" w:color="auto" w:fill="FFFFFF"/>
          <w:lang w:val="zh-CN"/>
        </w:rPr>
        <w:t>万元，占</w:t>
      </w:r>
      <w:r>
        <w:rPr>
          <w:rFonts w:hint="default" w:ascii="Times New Roman" w:hAnsi="Times New Roman" w:eastAsia="仿宋_GB2312" w:cs="Times New Roman"/>
          <w:color w:val="000000"/>
          <w:kern w:val="0"/>
          <w:sz w:val="32"/>
          <w:szCs w:val="32"/>
          <w:highlight w:val="none"/>
          <w:shd w:val="clear" w:color="auto" w:fill="FFFFFF"/>
          <w:lang w:val="en-US" w:eastAsia="zh-CN"/>
        </w:rPr>
        <w:t>4.69</w:t>
      </w:r>
      <w:r>
        <w:rPr>
          <w:rFonts w:hint="default" w:ascii="Times New Roman" w:hAnsi="Times New Roman" w:eastAsia="仿宋_GB2312" w:cs="Times New Roman"/>
          <w:color w:val="000000"/>
          <w:kern w:val="0"/>
          <w:sz w:val="32"/>
          <w:szCs w:val="32"/>
          <w:highlight w:val="none"/>
          <w:shd w:val="clear" w:color="auto" w:fill="FFFFFF"/>
          <w:lang w:val="zh-CN"/>
        </w:rPr>
        <w:t>%；卫生健康支出</w:t>
      </w:r>
      <w:r>
        <w:rPr>
          <w:rFonts w:hint="default" w:ascii="Times New Roman" w:hAnsi="Times New Roman" w:eastAsia="仿宋_GB2312" w:cs="Times New Roman"/>
          <w:color w:val="000000"/>
          <w:kern w:val="0"/>
          <w:sz w:val="32"/>
          <w:szCs w:val="32"/>
          <w:highlight w:val="none"/>
          <w:shd w:val="clear" w:color="auto" w:fill="FFFFFF"/>
          <w:lang w:val="en-US" w:eastAsia="zh-CN"/>
        </w:rPr>
        <w:t>53.61</w:t>
      </w:r>
      <w:r>
        <w:rPr>
          <w:rFonts w:hint="default" w:ascii="Times New Roman" w:hAnsi="Times New Roman" w:eastAsia="仿宋_GB2312" w:cs="Times New Roman"/>
          <w:color w:val="000000"/>
          <w:kern w:val="0"/>
          <w:sz w:val="32"/>
          <w:szCs w:val="32"/>
          <w:highlight w:val="none"/>
          <w:shd w:val="clear" w:color="auto" w:fill="FFFFFF"/>
          <w:lang w:val="zh-CN"/>
        </w:rPr>
        <w:t>万元，占</w:t>
      </w:r>
      <w:r>
        <w:rPr>
          <w:rFonts w:hint="default" w:ascii="Times New Roman" w:hAnsi="Times New Roman" w:eastAsia="仿宋_GB2312" w:cs="Times New Roman"/>
          <w:color w:val="000000"/>
          <w:kern w:val="0"/>
          <w:sz w:val="32"/>
          <w:szCs w:val="32"/>
          <w:highlight w:val="none"/>
          <w:shd w:val="clear" w:color="auto" w:fill="FFFFFF"/>
          <w:lang w:val="en-US" w:eastAsia="zh-CN"/>
        </w:rPr>
        <w:t>3.1</w:t>
      </w:r>
      <w:r>
        <w:rPr>
          <w:rFonts w:hint="default" w:ascii="Times New Roman" w:hAnsi="Times New Roman" w:eastAsia="仿宋_GB2312" w:cs="Times New Roman"/>
          <w:color w:val="000000"/>
          <w:kern w:val="0"/>
          <w:sz w:val="32"/>
          <w:szCs w:val="32"/>
          <w:highlight w:val="none"/>
          <w:shd w:val="clear" w:color="auto" w:fill="FFFFFF"/>
          <w:lang w:val="zh-CN"/>
        </w:rPr>
        <w:t>%；城乡社区支出</w:t>
      </w:r>
      <w:r>
        <w:rPr>
          <w:rFonts w:hint="default" w:ascii="Times New Roman" w:hAnsi="Times New Roman" w:eastAsia="仿宋_GB2312" w:cs="Times New Roman"/>
          <w:color w:val="000000"/>
          <w:kern w:val="0"/>
          <w:sz w:val="32"/>
          <w:szCs w:val="32"/>
          <w:highlight w:val="none"/>
          <w:shd w:val="clear" w:color="auto" w:fill="FFFFFF"/>
          <w:lang w:val="en-US" w:eastAsia="zh-CN"/>
        </w:rPr>
        <w:t>23万元，占比1.33%；</w:t>
      </w:r>
      <w:r>
        <w:rPr>
          <w:rFonts w:hint="default" w:ascii="Times New Roman" w:hAnsi="Times New Roman" w:eastAsia="仿宋_GB2312" w:cs="Times New Roman"/>
          <w:color w:val="000000"/>
          <w:kern w:val="0"/>
          <w:sz w:val="32"/>
          <w:szCs w:val="32"/>
          <w:highlight w:val="none"/>
          <w:shd w:val="clear" w:color="auto" w:fill="FFFFFF"/>
          <w:lang w:val="zh-CN"/>
        </w:rPr>
        <w:t>住房保障支出</w:t>
      </w:r>
      <w:r>
        <w:rPr>
          <w:rFonts w:hint="default" w:ascii="Times New Roman" w:hAnsi="Times New Roman" w:eastAsia="仿宋_GB2312" w:cs="Times New Roman"/>
          <w:color w:val="000000"/>
          <w:kern w:val="0"/>
          <w:sz w:val="32"/>
          <w:szCs w:val="32"/>
          <w:highlight w:val="none"/>
          <w:shd w:val="clear" w:color="auto" w:fill="FFFFFF"/>
          <w:lang w:val="en-US" w:eastAsia="zh-CN"/>
        </w:rPr>
        <w:t>100.75</w:t>
      </w:r>
      <w:r>
        <w:rPr>
          <w:rFonts w:hint="default" w:ascii="Times New Roman" w:hAnsi="Times New Roman" w:eastAsia="仿宋_GB2312" w:cs="Times New Roman"/>
          <w:color w:val="000000"/>
          <w:kern w:val="0"/>
          <w:sz w:val="32"/>
          <w:szCs w:val="32"/>
          <w:highlight w:val="none"/>
          <w:shd w:val="clear" w:color="auto" w:fill="FFFFFF"/>
          <w:lang w:val="zh-CN"/>
        </w:rPr>
        <w:t>万元，占</w:t>
      </w:r>
      <w:r>
        <w:rPr>
          <w:rFonts w:hint="default" w:ascii="Times New Roman" w:hAnsi="Times New Roman" w:eastAsia="仿宋_GB2312" w:cs="Times New Roman"/>
          <w:color w:val="000000"/>
          <w:kern w:val="0"/>
          <w:sz w:val="32"/>
          <w:szCs w:val="32"/>
          <w:highlight w:val="none"/>
          <w:shd w:val="clear" w:color="auto" w:fill="FFFFFF"/>
          <w:lang w:val="en-US" w:eastAsia="zh-CN"/>
        </w:rPr>
        <w:t>5.83</w:t>
      </w:r>
      <w:r>
        <w:rPr>
          <w:rFonts w:hint="default" w:ascii="Times New Roman" w:hAnsi="Times New Roman" w:eastAsia="仿宋_GB2312" w:cs="Times New Roman"/>
          <w:color w:val="000000"/>
          <w:kern w:val="0"/>
          <w:sz w:val="32"/>
          <w:szCs w:val="32"/>
          <w:highlight w:val="none"/>
          <w:shd w:val="clear" w:color="auto" w:fill="FFFFFF"/>
          <w:lang w:val="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从支出的经济分类看，工资福利支出</w:t>
      </w:r>
      <w:r>
        <w:rPr>
          <w:rFonts w:hint="default" w:ascii="Times New Roman" w:hAnsi="Times New Roman" w:eastAsia="仿宋_GB2312" w:cs="Times New Roman"/>
          <w:color w:val="000000"/>
          <w:kern w:val="0"/>
          <w:sz w:val="32"/>
          <w:szCs w:val="32"/>
          <w:highlight w:val="none"/>
          <w:shd w:val="clear" w:color="auto" w:fill="FFFFFF"/>
          <w:lang w:val="en-US" w:eastAsia="zh-CN"/>
        </w:rPr>
        <w:t>1163.25</w:t>
      </w:r>
      <w:r>
        <w:rPr>
          <w:rFonts w:hint="default" w:ascii="Times New Roman" w:hAnsi="Times New Roman" w:eastAsia="仿宋_GB2312" w:cs="Times New Roman"/>
          <w:color w:val="000000"/>
          <w:kern w:val="0"/>
          <w:sz w:val="32"/>
          <w:szCs w:val="32"/>
          <w:highlight w:val="none"/>
          <w:shd w:val="clear" w:color="auto" w:fill="FFFFFF"/>
          <w:lang w:val="zh-CN"/>
        </w:rPr>
        <w:t>万元，占总支出的67.28%；商品和服务支出</w:t>
      </w:r>
      <w:r>
        <w:rPr>
          <w:rFonts w:hint="default" w:ascii="Times New Roman" w:hAnsi="Times New Roman" w:eastAsia="仿宋_GB2312" w:cs="Times New Roman"/>
          <w:color w:val="000000"/>
          <w:kern w:val="0"/>
          <w:sz w:val="32"/>
          <w:szCs w:val="32"/>
          <w:highlight w:val="none"/>
          <w:shd w:val="clear" w:color="auto" w:fill="FFFFFF"/>
          <w:lang w:val="en-US" w:eastAsia="zh-CN"/>
        </w:rPr>
        <w:t>458.12</w:t>
      </w:r>
      <w:r>
        <w:rPr>
          <w:rFonts w:hint="default" w:ascii="Times New Roman" w:hAnsi="Times New Roman" w:eastAsia="仿宋_GB2312" w:cs="Times New Roman"/>
          <w:color w:val="000000"/>
          <w:kern w:val="0"/>
          <w:sz w:val="32"/>
          <w:szCs w:val="32"/>
          <w:highlight w:val="none"/>
          <w:shd w:val="clear" w:color="auto" w:fill="FFFFFF"/>
          <w:lang w:val="zh-CN"/>
        </w:rPr>
        <w:t>万元，占总支出26.50%；对个人和家庭的补助支出</w:t>
      </w:r>
      <w:r>
        <w:rPr>
          <w:rFonts w:hint="default" w:ascii="Times New Roman" w:hAnsi="Times New Roman" w:eastAsia="仿宋_GB2312" w:cs="Times New Roman"/>
          <w:color w:val="000000"/>
          <w:kern w:val="0"/>
          <w:sz w:val="32"/>
          <w:szCs w:val="32"/>
          <w:highlight w:val="none"/>
          <w:shd w:val="clear" w:color="auto" w:fill="FFFFFF"/>
          <w:lang w:val="en-US" w:eastAsia="zh-CN"/>
        </w:rPr>
        <w:t>52.35</w:t>
      </w:r>
      <w:r>
        <w:rPr>
          <w:rFonts w:hint="default" w:ascii="Times New Roman" w:hAnsi="Times New Roman" w:eastAsia="仿宋_GB2312" w:cs="Times New Roman"/>
          <w:color w:val="000000"/>
          <w:kern w:val="0"/>
          <w:sz w:val="32"/>
          <w:szCs w:val="32"/>
          <w:highlight w:val="none"/>
          <w:shd w:val="clear" w:color="auto" w:fill="FFFFFF"/>
          <w:lang w:val="zh-CN"/>
        </w:rPr>
        <w:t>万元，占总支出的</w:t>
      </w:r>
      <w:r>
        <w:rPr>
          <w:rFonts w:hint="default" w:ascii="Times New Roman" w:hAnsi="Times New Roman" w:eastAsia="仿宋_GB2312" w:cs="Times New Roman"/>
          <w:color w:val="000000"/>
          <w:kern w:val="0"/>
          <w:sz w:val="32"/>
          <w:szCs w:val="32"/>
          <w:highlight w:val="none"/>
          <w:shd w:val="clear" w:color="auto" w:fill="FFFFFF"/>
          <w:lang w:val="en-US" w:eastAsia="zh-CN"/>
        </w:rPr>
        <w:t>3.03</w:t>
      </w:r>
      <w:r>
        <w:rPr>
          <w:rFonts w:hint="default" w:ascii="Times New Roman" w:hAnsi="Times New Roman" w:eastAsia="仿宋_GB2312" w:cs="Times New Roman"/>
          <w:color w:val="000000"/>
          <w:kern w:val="0"/>
          <w:sz w:val="32"/>
          <w:szCs w:val="32"/>
          <w:highlight w:val="none"/>
          <w:shd w:val="clear" w:color="auto" w:fill="FFFFFF"/>
          <w:lang w:val="zh-CN"/>
        </w:rPr>
        <w:t>%；资本性支出</w:t>
      </w:r>
      <w:r>
        <w:rPr>
          <w:rFonts w:hint="default" w:ascii="Times New Roman" w:hAnsi="Times New Roman" w:eastAsia="仿宋_GB2312" w:cs="Times New Roman"/>
          <w:color w:val="000000"/>
          <w:kern w:val="0"/>
          <w:sz w:val="32"/>
          <w:szCs w:val="32"/>
          <w:highlight w:val="none"/>
          <w:shd w:val="clear" w:color="auto" w:fill="FFFFFF"/>
          <w:lang w:val="en-US" w:eastAsia="zh-CN"/>
        </w:rPr>
        <w:t>55.15</w:t>
      </w:r>
      <w:r>
        <w:rPr>
          <w:rFonts w:hint="default" w:ascii="Times New Roman" w:hAnsi="Times New Roman" w:eastAsia="仿宋_GB2312" w:cs="Times New Roman"/>
          <w:color w:val="000000"/>
          <w:kern w:val="0"/>
          <w:sz w:val="32"/>
          <w:szCs w:val="32"/>
          <w:highlight w:val="none"/>
          <w:shd w:val="clear" w:color="auto" w:fill="FFFFFF"/>
          <w:lang w:val="zh-CN"/>
        </w:rPr>
        <w:t>万元，占总支出的</w:t>
      </w:r>
      <w:r>
        <w:rPr>
          <w:rFonts w:hint="default" w:ascii="Times New Roman" w:hAnsi="Times New Roman" w:eastAsia="仿宋_GB2312" w:cs="Times New Roman"/>
          <w:color w:val="000000"/>
          <w:kern w:val="0"/>
          <w:sz w:val="32"/>
          <w:szCs w:val="32"/>
          <w:highlight w:val="none"/>
          <w:shd w:val="clear" w:color="auto" w:fill="FFFFFF"/>
          <w:lang w:val="en-US" w:eastAsia="zh-CN"/>
        </w:rPr>
        <w:t>3.19</w:t>
      </w:r>
      <w:r>
        <w:rPr>
          <w:rFonts w:hint="default" w:ascii="Times New Roman" w:hAnsi="Times New Roman" w:eastAsia="仿宋_GB2312" w:cs="Times New Roman"/>
          <w:color w:val="000000"/>
          <w:kern w:val="0"/>
          <w:sz w:val="32"/>
          <w:szCs w:val="32"/>
          <w:highlight w:val="none"/>
          <w:shd w:val="clear" w:color="auto" w:fill="FFFFFF"/>
          <w:lang w:val="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三、部门整体预算绩效管理情况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zh-CN"/>
        </w:rPr>
        <w:t>（一）部门预算管理。</w:t>
      </w:r>
      <w:r>
        <w:rPr>
          <w:rFonts w:hint="default" w:ascii="Times New Roman" w:hAnsi="Times New Roman" w:eastAsia="仿宋_GB2312" w:cs="Times New Roman"/>
          <w:color w:val="000000"/>
          <w:kern w:val="0"/>
          <w:sz w:val="32"/>
          <w:szCs w:val="32"/>
          <w:highlight w:val="none"/>
          <w:shd w:val="clear" w:color="auto" w:fill="FFFFFF"/>
          <w:lang w:val="zh-CN"/>
        </w:rPr>
        <w:t>我委</w:t>
      </w:r>
      <w:r>
        <w:rPr>
          <w:rFonts w:hint="default" w:ascii="Times New Roman" w:hAnsi="Times New Roman" w:eastAsia="仿宋_GB2312" w:cs="Times New Roman"/>
          <w:color w:val="000000"/>
          <w:kern w:val="0"/>
          <w:sz w:val="32"/>
          <w:szCs w:val="32"/>
          <w:highlight w:val="none"/>
          <w:shd w:val="clear" w:color="auto" w:fill="FFFFFF"/>
          <w:lang w:val="en-US" w:eastAsia="zh-CN"/>
        </w:rPr>
        <w:t>按照</w:t>
      </w:r>
      <w:r>
        <w:rPr>
          <w:rFonts w:hint="default" w:ascii="Times New Roman" w:hAnsi="Times New Roman" w:eastAsia="仿宋_GB2312" w:cs="Times New Roman"/>
          <w:color w:val="000000"/>
          <w:kern w:val="0"/>
          <w:sz w:val="32"/>
          <w:szCs w:val="32"/>
          <w:highlight w:val="none"/>
          <w:shd w:val="clear" w:color="auto" w:fill="FFFFFF"/>
          <w:lang w:val="zh-CN"/>
        </w:rPr>
        <w:t>“统筹兼顾、厉行节约、保障重点、注重绩效”的原则，结合</w:t>
      </w:r>
      <w:r>
        <w:rPr>
          <w:rFonts w:hint="default" w:ascii="Times New Roman" w:hAnsi="Times New Roman" w:eastAsia="仿宋_GB2312" w:cs="Times New Roman"/>
          <w:color w:val="000000"/>
          <w:kern w:val="0"/>
          <w:sz w:val="32"/>
          <w:szCs w:val="32"/>
          <w:highlight w:val="none"/>
          <w:shd w:val="clear" w:color="auto" w:fill="FFFFFF"/>
          <w:lang w:val="en-US" w:eastAsia="zh-CN"/>
        </w:rPr>
        <w:t>本年度</w:t>
      </w:r>
      <w:r>
        <w:rPr>
          <w:rFonts w:hint="default" w:ascii="Times New Roman" w:hAnsi="Times New Roman" w:eastAsia="仿宋_GB2312" w:cs="Times New Roman"/>
          <w:color w:val="000000"/>
          <w:kern w:val="0"/>
          <w:sz w:val="32"/>
          <w:szCs w:val="32"/>
          <w:highlight w:val="none"/>
          <w:shd w:val="clear" w:color="auto" w:fill="FFFFFF"/>
          <w:lang w:val="zh-CN"/>
        </w:rPr>
        <w:t>重点</w:t>
      </w:r>
      <w:r>
        <w:rPr>
          <w:rFonts w:hint="default" w:ascii="Times New Roman" w:hAnsi="Times New Roman" w:eastAsia="仿宋_GB2312" w:cs="Times New Roman"/>
          <w:color w:val="000000"/>
          <w:kern w:val="0"/>
          <w:sz w:val="32"/>
          <w:szCs w:val="32"/>
          <w:highlight w:val="none"/>
          <w:shd w:val="clear" w:color="auto" w:fill="FFFFFF"/>
          <w:lang w:val="en-US" w:eastAsia="zh-CN"/>
        </w:rPr>
        <w:t>任务</w:t>
      </w:r>
      <w:r>
        <w:rPr>
          <w:rFonts w:hint="default"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合理</w:t>
      </w:r>
      <w:r>
        <w:rPr>
          <w:rFonts w:hint="default" w:ascii="Times New Roman" w:hAnsi="Times New Roman" w:eastAsia="仿宋_GB2312" w:cs="Times New Roman"/>
          <w:color w:val="000000"/>
          <w:kern w:val="0"/>
          <w:sz w:val="32"/>
          <w:szCs w:val="32"/>
          <w:highlight w:val="none"/>
          <w:shd w:val="clear" w:color="auto" w:fill="FFFFFF"/>
          <w:lang w:val="zh-CN"/>
        </w:rPr>
        <w:t>规范编制部门预算，</w:t>
      </w:r>
      <w:r>
        <w:rPr>
          <w:rFonts w:hint="default" w:ascii="Times New Roman" w:hAnsi="Times New Roman" w:eastAsia="仿宋_GB2312" w:cs="Times New Roman"/>
          <w:color w:val="000000"/>
          <w:kern w:val="0"/>
          <w:sz w:val="32"/>
          <w:szCs w:val="32"/>
          <w:highlight w:val="none"/>
          <w:shd w:val="clear" w:color="auto" w:fill="FFFFFF"/>
          <w:lang w:val="en-US" w:eastAsia="zh-CN"/>
        </w:rPr>
        <w:t>提高财政资金使用效率</w:t>
      </w:r>
      <w:r>
        <w:rPr>
          <w:rFonts w:hint="default" w:ascii="Times New Roman" w:hAnsi="Times New Roman" w:eastAsia="仿宋_GB2312" w:cs="Times New Roman"/>
          <w:color w:val="000000"/>
          <w:kern w:val="0"/>
          <w:sz w:val="32"/>
          <w:szCs w:val="32"/>
          <w:highlight w:val="none"/>
          <w:shd w:val="clear" w:color="auto" w:fill="FFFFFF"/>
          <w:lang w:val="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一是做好预算编制组织保障工作。严格按照“三重一大”原则召开专题会议，统筹安排专人负责基础信息核实和预算编制工作，其他室（部）全力配合，为预算编制提供组织和人才保障。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二是夯实预算编制基础。加强与各业务室（部）沟通配合，准确核实人员基本信息，确保人员经费和日常公用经费编制科学准确；认真梳理、筛选重点项目计划，并对其指标、金额进行细化分解，明确绩效目标。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三是做好绩效目标管理工作。在设计绩效评价指标时，抓最关键和最重要绩效因素，坚持科学性和实用性相结合，指标设计简明扼要，既能准确反映绩效内容，又操作性强；坚持定性和定量相结合，定量为主，定性为辅；坚持系统性和互补性相结合，全面体现绩效评判效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四是动态调整预算科目。根据宣传工作需要，年中从大案要案经费中调剂10万元，主要用于党风廉政建设宣传和拍摄制作警示教育专题片等。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zh-CN"/>
        </w:rPr>
        <w:t>（二）结果应用情况。</w:t>
      </w:r>
      <w:r>
        <w:rPr>
          <w:rFonts w:hint="default" w:ascii="Times New Roman" w:hAnsi="Times New Roman" w:eastAsia="仿宋_GB2312" w:cs="Times New Roman"/>
          <w:color w:val="000000"/>
          <w:kern w:val="0"/>
          <w:sz w:val="32"/>
          <w:szCs w:val="32"/>
          <w:highlight w:val="none"/>
          <w:shd w:val="clear" w:color="auto" w:fill="FFFFFF"/>
          <w:lang w:val="en-US" w:eastAsia="zh-CN"/>
        </w:rPr>
        <w:t>我委认真贯彻落实中省市区关于预算绩效管理相关决策部署，围绕实现预算和绩效管理一体化，坚持问题导向，稳步推进预算绩效管理体系建设</w:t>
      </w:r>
      <w:r>
        <w:rPr>
          <w:rFonts w:hint="default" w:ascii="Times New Roman" w:hAnsi="Times New Roman" w:eastAsia="仿宋_GB2312" w:cs="Times New Roman"/>
          <w:color w:val="000000"/>
          <w:kern w:val="0"/>
          <w:sz w:val="32"/>
          <w:szCs w:val="32"/>
          <w:highlight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auto"/>
          <w:kern w:val="2"/>
          <w:sz w:val="32"/>
          <w:szCs w:val="48"/>
          <w:highlight w:val="none"/>
          <w:u w:val="none"/>
          <w:lang w:val="en-US" w:eastAsia="zh-CN" w:bidi="ar-SA"/>
        </w:rPr>
      </w:pPr>
      <w:r>
        <w:rPr>
          <w:rFonts w:hint="default" w:ascii="Times New Roman" w:hAnsi="Times New Roman" w:eastAsia="仿宋_GB2312" w:cs="Times New Roman"/>
          <w:color w:val="auto"/>
          <w:kern w:val="0"/>
          <w:sz w:val="32"/>
          <w:szCs w:val="32"/>
          <w:highlight w:val="none"/>
          <w:shd w:val="clear" w:color="auto" w:fill="FFFFFF"/>
          <w:lang w:val="en-US" w:eastAsia="zh-CN"/>
        </w:rPr>
        <w:t>一是预算执行总体情况。</w:t>
      </w:r>
      <w:r>
        <w:rPr>
          <w:rFonts w:hint="default" w:ascii="Times New Roman" w:hAnsi="Times New Roman" w:eastAsia="仿宋_GB2312" w:cs="Times New Roman"/>
          <w:color w:val="auto"/>
          <w:kern w:val="2"/>
          <w:sz w:val="32"/>
          <w:szCs w:val="48"/>
          <w:highlight w:val="none"/>
          <w:lang w:val="en-US" w:eastAsia="zh-CN" w:bidi="ar-SA"/>
        </w:rPr>
        <w:t>根据“总量控制、计划管理”的要求</w:t>
      </w:r>
      <w:r>
        <w:rPr>
          <w:rFonts w:hint="default" w:ascii="Times New Roman" w:hAnsi="Times New Roman" w:eastAsia="仿宋_GB2312" w:cs="Times New Roman"/>
          <w:color w:val="auto"/>
          <w:kern w:val="0"/>
          <w:sz w:val="32"/>
          <w:szCs w:val="32"/>
          <w:highlight w:val="none"/>
          <w:shd w:val="clear" w:color="auto" w:fill="FFFFFF"/>
          <w:lang w:val="zh-CN"/>
        </w:rPr>
        <w:t>，合理合法规范使用资金，</w:t>
      </w:r>
      <w:r>
        <w:rPr>
          <w:rFonts w:hint="default" w:ascii="Times New Roman" w:hAnsi="Times New Roman" w:eastAsia="仿宋_GB2312" w:cs="Times New Roman"/>
          <w:color w:val="auto"/>
          <w:kern w:val="2"/>
          <w:sz w:val="32"/>
          <w:szCs w:val="48"/>
          <w:highlight w:val="none"/>
          <w:lang w:val="en-US" w:eastAsia="zh-CN" w:bidi="ar-SA"/>
        </w:rPr>
        <w:t>不挪用不乱用</w:t>
      </w:r>
      <w:r>
        <w:rPr>
          <w:rFonts w:hint="default" w:ascii="Times New Roman" w:hAnsi="Times New Roman" w:eastAsia="仿宋_GB2312" w:cs="Times New Roman"/>
          <w:color w:val="auto"/>
          <w:kern w:val="0"/>
          <w:sz w:val="32"/>
          <w:szCs w:val="32"/>
          <w:highlight w:val="none"/>
          <w:shd w:val="clear" w:color="auto" w:fill="FFFFFF"/>
          <w:lang w:val="zh-CN"/>
        </w:rPr>
        <w:t>。</w:t>
      </w:r>
      <w:r>
        <w:rPr>
          <w:rFonts w:hint="default" w:ascii="Times New Roman" w:hAnsi="Times New Roman" w:eastAsia="仿宋_GB2312" w:cs="Times New Roman"/>
          <w:color w:val="auto"/>
          <w:kern w:val="0"/>
          <w:sz w:val="32"/>
          <w:szCs w:val="32"/>
          <w:highlight w:val="none"/>
          <w:shd w:val="clear" w:color="auto" w:fill="FFFFFF"/>
          <w:lang w:val="en-US" w:eastAsia="zh-CN"/>
        </w:rPr>
        <w:t>总体来说，2022</w:t>
      </w:r>
      <w:r>
        <w:rPr>
          <w:rFonts w:hint="default" w:ascii="Times New Roman" w:hAnsi="Times New Roman" w:eastAsia="仿宋_GB2312" w:cs="Times New Roman"/>
          <w:color w:val="auto"/>
          <w:kern w:val="2"/>
          <w:sz w:val="32"/>
          <w:szCs w:val="48"/>
          <w:highlight w:val="none"/>
          <w:lang w:val="en-US" w:eastAsia="zh-CN" w:bidi="ar-SA"/>
        </w:rPr>
        <w:t>年度预算配置控制较好，财政供养人员控制在预算编制以内，</w:t>
      </w:r>
      <w:r>
        <w:rPr>
          <w:rFonts w:hint="default" w:ascii="Times New Roman" w:hAnsi="Times New Roman" w:eastAsia="仿宋_GB2312" w:cs="Times New Roman"/>
          <w:color w:val="auto"/>
          <w:kern w:val="2"/>
          <w:sz w:val="32"/>
          <w:szCs w:val="48"/>
          <w:highlight w:val="none"/>
          <w:u w:val="none"/>
          <w:lang w:val="en-US" w:eastAsia="zh-CN" w:bidi="ar-SA"/>
        </w:rPr>
        <w:t>“三公”经费支出总额较上年基本持平，主要原因是</w:t>
      </w:r>
      <w:r>
        <w:rPr>
          <w:rFonts w:hint="default" w:ascii="Times New Roman" w:hAnsi="Times New Roman" w:eastAsia="仿宋_GB2312" w:cs="Times New Roman"/>
          <w:sz w:val="32"/>
          <w:szCs w:val="32"/>
          <w:highlight w:val="none"/>
          <w:lang w:val="en-US" w:eastAsia="zh-CN"/>
        </w:rPr>
        <w:t>长期坚持节能降耗，</w:t>
      </w:r>
      <w:r>
        <w:rPr>
          <w:rFonts w:hint="default" w:ascii="Times New Roman" w:hAnsi="Times New Roman" w:eastAsia="仿宋_GB2312" w:cs="Times New Roman"/>
          <w:color w:val="auto"/>
          <w:kern w:val="2"/>
          <w:sz w:val="32"/>
          <w:szCs w:val="48"/>
          <w:highlight w:val="none"/>
          <w:u w:val="none"/>
          <w:lang w:val="en-US" w:eastAsia="zh-CN" w:bidi="ar-SA"/>
        </w:rPr>
        <w:t>合理控制各项费用支出。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auto"/>
          <w:kern w:val="2"/>
          <w:sz w:val="32"/>
          <w:szCs w:val="48"/>
          <w:highlight w:val="none"/>
          <w:lang w:val="en-US" w:eastAsia="zh-CN" w:bidi="ar-SA"/>
        </w:rPr>
      </w:pPr>
      <w:r>
        <w:rPr>
          <w:rFonts w:hint="default" w:ascii="Times New Roman" w:hAnsi="Times New Roman" w:eastAsia="仿宋_GB2312" w:cs="Times New Roman"/>
          <w:color w:val="auto"/>
          <w:kern w:val="2"/>
          <w:sz w:val="32"/>
          <w:szCs w:val="48"/>
          <w:highlight w:val="none"/>
          <w:lang w:val="en-US" w:eastAsia="zh-CN" w:bidi="ar-SA"/>
        </w:rPr>
        <w:t>二是预算执行要求。积极落实政府“过紧日子”精神，从严控制行政经费，压缩公务费开支，控制“三公”经费，将支出总额严格控制在预算总额以内；严格按照涉密政府采购要求进行资产配置，本年度新增一批用于互联网外网的国产电脑；项目资金预算执行进度提升不明显，主要表现在大案要案查处经费全年预算执行率稳中有升，从62%提升到73.1%，但依然偏低，主要原因是案件办理周期不定，资金滞留时间较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auto"/>
          <w:kern w:val="2"/>
          <w:sz w:val="32"/>
          <w:szCs w:val="48"/>
          <w:highlight w:val="none"/>
          <w:lang w:val="en-US" w:eastAsia="zh-CN" w:bidi="ar-SA"/>
        </w:rPr>
      </w:pPr>
      <w:r>
        <w:rPr>
          <w:rFonts w:hint="default" w:ascii="Times New Roman" w:hAnsi="Times New Roman" w:eastAsia="仿宋_GB2312" w:cs="Times New Roman"/>
          <w:color w:val="auto"/>
          <w:kern w:val="2"/>
          <w:sz w:val="32"/>
          <w:szCs w:val="48"/>
          <w:highlight w:val="none"/>
          <w:lang w:val="en-US" w:eastAsia="zh-CN" w:bidi="ar-SA"/>
        </w:rPr>
        <w:t>三是资金管理方面。严格执行“三重一大”和《机关财务管理制度》，把资金监督、审核贯穿于整个业务过程，保证每一笔支出的资金都是合规合法、有理有据；加强预算执行过程的控制和结果反馈，分析预算执行差异原因并定期在常委会上进行通报，以督促及时完成预算执行进度和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仿宋_GB2312" w:cs="Times New Roman"/>
          <w:color w:val="auto"/>
          <w:kern w:val="2"/>
          <w:sz w:val="32"/>
          <w:szCs w:val="48"/>
          <w:highlight w:val="none"/>
          <w:lang w:val="en-US" w:eastAsia="zh-CN" w:bidi="ar-SA"/>
        </w:rPr>
        <w:t>四是预算绩效公开情况。根据财政要求及时对部门整体预算绩效进行自评，按照规定及时公开。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四、评价结论及建议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auto"/>
          <w:kern w:val="2"/>
          <w:sz w:val="32"/>
          <w:szCs w:val="48"/>
          <w:highlight w:val="none"/>
          <w:lang w:val="zh-CN" w:eastAsia="zh-CN" w:bidi="ar-SA"/>
        </w:rPr>
      </w:pPr>
      <w:r>
        <w:rPr>
          <w:rFonts w:hint="default" w:ascii="Times New Roman" w:hAnsi="Times New Roman" w:eastAsia="楷体_GB2312" w:cs="Times New Roman"/>
          <w:color w:val="000000"/>
          <w:kern w:val="0"/>
          <w:sz w:val="32"/>
          <w:szCs w:val="32"/>
          <w:highlight w:val="none"/>
          <w:shd w:val="clear" w:color="auto" w:fill="FFFFFF"/>
          <w:lang w:val="zh-CN"/>
        </w:rPr>
        <w:t>（一）评价结论总体来说。</w:t>
      </w:r>
      <w:r>
        <w:rPr>
          <w:rFonts w:hint="default" w:ascii="Times New Roman" w:hAnsi="Times New Roman" w:eastAsia="仿宋_GB2312" w:cs="Times New Roman"/>
          <w:color w:val="auto"/>
          <w:kern w:val="2"/>
          <w:sz w:val="32"/>
          <w:szCs w:val="48"/>
          <w:highlight w:val="none"/>
          <w:lang w:val="zh-CN" w:eastAsia="zh-CN" w:bidi="ar-SA"/>
        </w:rPr>
        <w:t>采用定量分析和定性分析相结合的方法，从预算编制、预算执行、资金使用、资金监管、项目绩效结果运用以及审计监督等方面进行了综合打分。本次绩效评价部门整体得分为</w:t>
      </w:r>
      <w:r>
        <w:rPr>
          <w:rFonts w:hint="default" w:ascii="Times New Roman" w:hAnsi="Times New Roman" w:eastAsia="仿宋_GB2312" w:cs="Times New Roman"/>
          <w:color w:val="auto"/>
          <w:kern w:val="0"/>
          <w:sz w:val="32"/>
          <w:szCs w:val="32"/>
          <w:highlight w:val="none"/>
          <w:shd w:val="clear" w:color="auto" w:fill="FFFFFF"/>
          <w:lang w:val="en-US" w:eastAsia="zh-CN"/>
        </w:rPr>
        <w:t>87</w:t>
      </w:r>
      <w:r>
        <w:rPr>
          <w:rFonts w:hint="default" w:ascii="Times New Roman" w:hAnsi="Times New Roman" w:eastAsia="仿宋_GB2312" w:cs="Times New Roman"/>
          <w:color w:val="auto"/>
          <w:kern w:val="2"/>
          <w:sz w:val="32"/>
          <w:szCs w:val="48"/>
          <w:highlight w:val="none"/>
          <w:lang w:val="zh-CN" w:eastAsia="zh-CN" w:bidi="ar-SA"/>
        </w:rPr>
        <w:t>分（满分为90分）。主要表现在：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auto"/>
          <w:kern w:val="2"/>
          <w:sz w:val="32"/>
          <w:szCs w:val="48"/>
          <w:highlight w:val="none"/>
          <w:lang w:val="zh-CN" w:eastAsia="zh-CN" w:bidi="ar-SA"/>
        </w:rPr>
        <w:t>一是部门预算有理有据，且具有明确用途和目标，各室（部）制定了较为细致的执行计划，资金到位及时并严格按照财政有关规定专款专用。二是预算决策、管理、执行过程逐渐灵活和规范，以适应绩效目标为需要，根据需求及时动态调整预算计划，从而保障各项项目顺利开展，并取得较为满意的社会效益。三是整个预算、执行和绩效结果运用都严格按照规定开展，未出现违纪违规问题，符合审计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auto"/>
          <w:kern w:val="2"/>
          <w:sz w:val="32"/>
          <w:szCs w:val="48"/>
          <w:highlight w:val="none"/>
          <w:lang w:val="zh-CN" w:eastAsia="zh-CN" w:bidi="ar-SA"/>
        </w:rPr>
      </w:pPr>
      <w:r>
        <w:rPr>
          <w:rFonts w:hint="default" w:ascii="Times New Roman" w:hAnsi="Times New Roman" w:eastAsia="楷体_GB2312" w:cs="Times New Roman"/>
          <w:color w:val="000000"/>
          <w:kern w:val="0"/>
          <w:sz w:val="32"/>
          <w:szCs w:val="32"/>
          <w:highlight w:val="none"/>
          <w:shd w:val="clear" w:color="auto" w:fill="FFFFFF"/>
          <w:lang w:val="zh-CN"/>
        </w:rPr>
        <w:t>（</w:t>
      </w:r>
      <w:r>
        <w:rPr>
          <w:rFonts w:hint="default" w:ascii="Times New Roman" w:hAnsi="Times New Roman" w:eastAsia="楷体_GB2312" w:cs="Times New Roman"/>
          <w:color w:val="000000"/>
          <w:kern w:val="0"/>
          <w:sz w:val="32"/>
          <w:szCs w:val="32"/>
          <w:highlight w:val="none"/>
          <w:shd w:val="clear" w:color="auto" w:fill="FFFFFF"/>
          <w:lang w:val="en-US" w:eastAsia="zh-CN"/>
        </w:rPr>
        <w:t>二</w:t>
      </w:r>
      <w:r>
        <w:rPr>
          <w:rFonts w:hint="default" w:ascii="Times New Roman" w:hAnsi="Times New Roman" w:eastAsia="楷体_GB2312" w:cs="Times New Roman"/>
          <w:color w:val="000000"/>
          <w:kern w:val="0"/>
          <w:sz w:val="32"/>
          <w:szCs w:val="32"/>
          <w:highlight w:val="none"/>
          <w:shd w:val="clear" w:color="auto" w:fill="FFFFFF"/>
          <w:lang w:val="zh-CN"/>
        </w:rPr>
        <w:t>）存在</w:t>
      </w:r>
      <w:r>
        <w:rPr>
          <w:rFonts w:hint="default" w:ascii="Times New Roman" w:hAnsi="Times New Roman" w:eastAsia="楷体_GB2312" w:cs="Times New Roman"/>
          <w:color w:val="000000"/>
          <w:kern w:val="0"/>
          <w:sz w:val="32"/>
          <w:szCs w:val="32"/>
          <w:highlight w:val="none"/>
          <w:shd w:val="clear" w:color="auto" w:fill="FFFFFF"/>
          <w:lang w:val="en-US" w:eastAsia="zh-CN"/>
        </w:rPr>
        <w:t>的</w:t>
      </w:r>
      <w:r>
        <w:rPr>
          <w:rFonts w:hint="default" w:ascii="Times New Roman" w:hAnsi="Times New Roman" w:eastAsia="楷体_GB2312" w:cs="Times New Roman"/>
          <w:color w:val="000000"/>
          <w:kern w:val="0"/>
          <w:sz w:val="32"/>
          <w:szCs w:val="32"/>
          <w:highlight w:val="none"/>
          <w:shd w:val="clear" w:color="auto" w:fill="FFFFFF"/>
          <w:lang w:val="zh-CN"/>
        </w:rPr>
        <w:t>问题。</w:t>
      </w:r>
      <w:r>
        <w:rPr>
          <w:rFonts w:hint="default" w:ascii="Times New Roman" w:hAnsi="Times New Roman" w:eastAsia="仿宋_GB2312" w:cs="Times New Roman"/>
          <w:color w:val="auto"/>
          <w:kern w:val="2"/>
          <w:sz w:val="32"/>
          <w:szCs w:val="48"/>
          <w:highlight w:val="none"/>
          <w:lang w:val="en-US" w:eastAsia="zh-CN" w:bidi="ar-SA"/>
        </w:rPr>
        <w:t>我委绩效评价方面还存在以下问题。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auto"/>
          <w:kern w:val="2"/>
          <w:sz w:val="32"/>
          <w:szCs w:val="48"/>
          <w:highlight w:val="none"/>
          <w:lang w:val="zh-CN" w:eastAsia="zh-CN" w:bidi="ar-SA"/>
        </w:rPr>
      </w:pPr>
      <w:r>
        <w:rPr>
          <w:rFonts w:hint="default" w:ascii="Times New Roman" w:hAnsi="Times New Roman" w:eastAsia="仿宋_GB2312" w:cs="Times New Roman"/>
          <w:color w:val="auto"/>
          <w:kern w:val="2"/>
          <w:sz w:val="32"/>
          <w:szCs w:val="48"/>
          <w:highlight w:val="none"/>
          <w:lang w:val="en-US" w:eastAsia="zh-CN" w:bidi="ar-SA"/>
        </w:rPr>
        <w:t>一是</w:t>
      </w:r>
      <w:r>
        <w:rPr>
          <w:rFonts w:hint="default" w:ascii="Times New Roman" w:hAnsi="Times New Roman" w:eastAsia="仿宋_GB2312" w:cs="Times New Roman"/>
          <w:color w:val="auto"/>
          <w:kern w:val="2"/>
          <w:sz w:val="32"/>
          <w:szCs w:val="48"/>
          <w:highlight w:val="none"/>
          <w:lang w:val="zh-CN" w:eastAsia="zh-CN" w:bidi="ar-SA"/>
        </w:rPr>
        <w:t>重点项目预算执行率提升不明显</w:t>
      </w:r>
      <w:r>
        <w:rPr>
          <w:rFonts w:hint="default" w:ascii="Times New Roman" w:hAnsi="Times New Roman" w:eastAsia="仿宋_GB2312" w:cs="Times New Roman"/>
          <w:color w:val="auto"/>
          <w:kern w:val="2"/>
          <w:sz w:val="32"/>
          <w:szCs w:val="48"/>
          <w:highlight w:val="none"/>
          <w:lang w:val="en-US" w:eastAsia="zh-CN" w:bidi="ar-SA"/>
        </w:rPr>
        <w:t>。受案件办理数量及周期不定等不可控要素影响，大案要案查处经费的预算执行进度依然偏低，全年执行率稳中有升，从62%提升到73.1%，总体来看预算执行进度提升成效不明显，这仍是一个长期存在的客观问题。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auto"/>
          <w:kern w:val="2"/>
          <w:sz w:val="32"/>
          <w:szCs w:val="48"/>
          <w:highlight w:val="none"/>
          <w:lang w:val="zh-CN" w:eastAsia="zh-CN" w:bidi="ar-SA"/>
        </w:rPr>
      </w:pPr>
      <w:r>
        <w:rPr>
          <w:rFonts w:hint="default" w:ascii="Times New Roman" w:hAnsi="Times New Roman" w:eastAsia="仿宋_GB2312" w:cs="Times New Roman"/>
          <w:color w:val="auto"/>
          <w:kern w:val="2"/>
          <w:sz w:val="32"/>
          <w:szCs w:val="48"/>
          <w:highlight w:val="none"/>
          <w:lang w:val="zh-CN" w:eastAsia="zh-CN" w:bidi="ar-SA"/>
        </w:rPr>
        <w:t>二是项目绩效观念较为薄弱。虽然建立了与项目绩效管理的相关制度，但对绩效管理、绩效评价重视程度任然欠缺，缺少严格且周密的组织管理，相关文件学习也不走深走实，很容易满足于学过了就是学好了，评价了就是高分的浅显认知，没有真正全面系统把握绩效评价内涵和要求，增加了项目考评难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auto"/>
          <w:kern w:val="2"/>
          <w:sz w:val="32"/>
          <w:szCs w:val="48"/>
          <w:highlight w:val="none"/>
          <w:lang w:val="zh-CN" w:eastAsia="zh-CN" w:bidi="ar-SA"/>
        </w:rPr>
      </w:pPr>
      <w:r>
        <w:rPr>
          <w:rFonts w:hint="default" w:ascii="Times New Roman" w:hAnsi="Times New Roman" w:eastAsia="楷体_GB2312" w:cs="Times New Roman"/>
          <w:color w:val="000000"/>
          <w:kern w:val="0"/>
          <w:sz w:val="32"/>
          <w:szCs w:val="32"/>
          <w:highlight w:val="none"/>
          <w:shd w:val="clear" w:color="auto" w:fill="FFFFFF"/>
          <w:lang w:val="zh-CN"/>
        </w:rPr>
        <w:t>（</w:t>
      </w:r>
      <w:r>
        <w:rPr>
          <w:rFonts w:hint="default" w:ascii="Times New Roman" w:hAnsi="Times New Roman" w:eastAsia="楷体_GB2312" w:cs="Times New Roman"/>
          <w:color w:val="000000"/>
          <w:kern w:val="0"/>
          <w:sz w:val="32"/>
          <w:szCs w:val="32"/>
          <w:highlight w:val="none"/>
          <w:shd w:val="clear" w:color="auto" w:fill="FFFFFF"/>
          <w:lang w:val="en-US" w:eastAsia="zh-CN"/>
        </w:rPr>
        <w:t>三</w:t>
      </w:r>
      <w:r>
        <w:rPr>
          <w:rFonts w:hint="default" w:ascii="Times New Roman" w:hAnsi="Times New Roman" w:eastAsia="楷体_GB2312" w:cs="Times New Roman"/>
          <w:color w:val="000000"/>
          <w:kern w:val="0"/>
          <w:sz w:val="32"/>
          <w:szCs w:val="32"/>
          <w:highlight w:val="none"/>
          <w:shd w:val="clear" w:color="auto" w:fill="FFFFFF"/>
          <w:lang w:val="zh-CN"/>
        </w:rPr>
        <w:t>）改进建议。</w:t>
      </w:r>
      <w:r>
        <w:rPr>
          <w:rFonts w:hint="default" w:ascii="Times New Roman" w:hAnsi="Times New Roman" w:eastAsia="仿宋_GB2312" w:cs="Times New Roman"/>
          <w:color w:val="auto"/>
          <w:kern w:val="2"/>
          <w:sz w:val="32"/>
          <w:szCs w:val="48"/>
          <w:highlight w:val="none"/>
          <w:lang w:val="zh-CN" w:eastAsia="zh-CN" w:bidi="ar-SA"/>
        </w:rPr>
        <w:t>根据存在的问题，我委将从预算编制、执行、绩效评价等方面进行认真分析和研究，着力改进。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auto"/>
          <w:kern w:val="2"/>
          <w:sz w:val="32"/>
          <w:szCs w:val="48"/>
          <w:highlight w:val="none"/>
          <w:lang w:val="en-US" w:eastAsia="zh-CN" w:bidi="ar-SA"/>
        </w:rPr>
      </w:pPr>
      <w:r>
        <w:rPr>
          <w:rFonts w:hint="default" w:ascii="Times New Roman" w:hAnsi="Times New Roman" w:eastAsia="楷体_GB2312" w:cs="Times New Roman"/>
          <w:sz w:val="32"/>
          <w:szCs w:val="21"/>
          <w:highlight w:val="none"/>
          <w:lang w:val="en-US" w:eastAsia="zh-CN"/>
        </w:rPr>
        <w:t>一是</w:t>
      </w:r>
      <w:r>
        <w:rPr>
          <w:rFonts w:hint="default" w:ascii="Times New Roman" w:hAnsi="Times New Roman" w:eastAsia="楷体_GB2312" w:cs="Times New Roman"/>
          <w:sz w:val="32"/>
          <w:szCs w:val="21"/>
          <w:highlight w:val="none"/>
          <w:lang w:val="zh-CN" w:eastAsia="zh-CN"/>
        </w:rPr>
        <w:t>科学合理设置评价指标</w:t>
      </w:r>
      <w:r>
        <w:rPr>
          <w:rFonts w:hint="default" w:ascii="Times New Roman" w:hAnsi="Times New Roman" w:eastAsia="仿宋_GB2312" w:cs="Times New Roman"/>
          <w:color w:val="auto"/>
          <w:kern w:val="2"/>
          <w:sz w:val="32"/>
          <w:szCs w:val="48"/>
          <w:highlight w:val="none"/>
          <w:lang w:val="zh-CN" w:eastAsia="zh-CN" w:bidi="ar-SA"/>
        </w:rPr>
        <w:t>。始终坚持以人为本的基本原则，提升项目绩效管理指标设置意识，</w:t>
      </w:r>
      <w:r>
        <w:rPr>
          <w:rFonts w:hint="default" w:ascii="Times New Roman" w:hAnsi="Times New Roman" w:eastAsia="仿宋_GB2312" w:cs="Times New Roman"/>
          <w:color w:val="auto"/>
          <w:kern w:val="2"/>
          <w:sz w:val="32"/>
          <w:szCs w:val="48"/>
          <w:highlight w:val="none"/>
          <w:lang w:val="en-US" w:eastAsia="zh-CN" w:bidi="ar-SA"/>
        </w:rPr>
        <w:t>保证各项指标的合理性、科学性。同时定期组织培训，系统性强化绩效评价相关专业知识，帮助单位合理控制成本，提高财政资金使用效率，避免出现资金闲置、资金浪费。</w:t>
      </w:r>
    </w:p>
    <w:p>
      <w:pPr>
        <w:autoSpaceDE w:val="0"/>
        <w:autoSpaceDN w:val="0"/>
        <w:adjustRightInd w:val="0"/>
        <w:spacing w:line="600" w:lineRule="exact"/>
        <w:ind w:firstLine="640" w:firstLineChars="200"/>
        <w:jc w:val="left"/>
        <w:outlineLvl w:val="2"/>
        <w:rPr>
          <w:rFonts w:hint="default" w:ascii="Times New Roman" w:hAnsi="Times New Roman" w:eastAsia="仿宋" w:cs="Times New Roman"/>
          <w:b/>
          <w:color w:val="auto"/>
          <w:sz w:val="32"/>
          <w:szCs w:val="32"/>
          <w:highlight w:val="none"/>
          <w:lang w:val="zh-CN" w:eastAsia="zh-CN"/>
        </w:rPr>
      </w:pPr>
      <w:r>
        <w:rPr>
          <w:rFonts w:hint="default" w:ascii="Times New Roman" w:hAnsi="Times New Roman" w:eastAsia="楷体_GB2312" w:cs="Times New Roman"/>
          <w:color w:val="auto"/>
          <w:kern w:val="2"/>
          <w:sz w:val="32"/>
          <w:szCs w:val="21"/>
          <w:highlight w:val="none"/>
          <w:lang w:val="zh-CN" w:eastAsia="zh-CN" w:bidi="ar-SA"/>
        </w:rPr>
        <w:t>二是构建健全的绩效管理体系。</w:t>
      </w:r>
      <w:r>
        <w:rPr>
          <w:rFonts w:hint="default" w:ascii="Times New Roman" w:hAnsi="Times New Roman" w:eastAsia="仿宋_GB2312" w:cs="Times New Roman"/>
          <w:color w:val="auto"/>
          <w:kern w:val="2"/>
          <w:sz w:val="32"/>
          <w:szCs w:val="48"/>
          <w:highlight w:val="none"/>
          <w:lang w:val="zh-CN" w:eastAsia="zh-CN" w:bidi="ar-SA"/>
        </w:rPr>
        <w:t>绩效管理工作是单位内部资金运转过程中不可或缺的重要环节，建议由班子成员带头，转变传统的管理思维，以职能和工作任务出发，细化工作目标，更加突出绩效管理，力争将项目绩效理念融入项目管理的各个环节。同时，增强重要资料的收集、整理和分析意识，强化资源配置的科学性，凸显资金分配的重要性，不断总结项目管理经验，重塑事前有目标、事中有监控、事后有评价的全过程绩效运行机制。</w:t>
      </w:r>
    </w:p>
    <w:p>
      <w:pPr>
        <w:widowControl/>
        <w:adjustRightInd w:val="0"/>
        <w:snapToGrid w:val="0"/>
        <w:spacing w:line="620" w:lineRule="exact"/>
        <w:ind w:firstLine="640" w:firstLineChars="200"/>
        <w:contextualSpacing/>
        <w:jc w:val="left"/>
        <w:rPr>
          <w:rFonts w:hint="default" w:ascii="Times New Roman" w:hAnsi="Times New Roman" w:eastAsia="仿宋_GB2312" w:cs="Times New Roman"/>
          <w:color w:val="auto"/>
          <w:kern w:val="0"/>
          <w:sz w:val="32"/>
          <w:szCs w:val="32"/>
          <w:highlight w:val="none"/>
          <w:lang w:val="zh-CN" w:eastAsia="zh-CN" w:bidi="ar-SA"/>
        </w:rPr>
      </w:pPr>
    </w:p>
    <w:p>
      <w:pPr>
        <w:widowControl/>
        <w:adjustRightInd w:val="0"/>
        <w:snapToGrid w:val="0"/>
        <w:spacing w:line="620" w:lineRule="exact"/>
        <w:ind w:firstLine="640" w:firstLineChars="200"/>
        <w:contextualSpacing/>
        <w:jc w:val="left"/>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zh-CN" w:eastAsia="zh-CN" w:bidi="ar-SA"/>
        </w:rPr>
        <w:t>附表：</w:t>
      </w:r>
      <w:r>
        <w:rPr>
          <w:rFonts w:hint="default" w:ascii="Times New Roman" w:hAnsi="Times New Roman" w:eastAsia="仿宋_GB2312" w:cs="Times New Roman"/>
          <w:color w:val="auto"/>
          <w:kern w:val="0"/>
          <w:sz w:val="32"/>
          <w:szCs w:val="32"/>
          <w:highlight w:val="none"/>
          <w:lang w:val="en-US" w:eastAsia="zh-CN" w:bidi="ar-SA"/>
        </w:rPr>
        <w:t>1.</w:t>
      </w:r>
      <w:r>
        <w:rPr>
          <w:rFonts w:hint="default" w:ascii="Times New Roman" w:hAnsi="Times New Roman" w:eastAsia="仿宋_GB2312" w:cs="Times New Roman"/>
          <w:color w:val="auto"/>
          <w:kern w:val="0"/>
          <w:sz w:val="32"/>
          <w:szCs w:val="32"/>
          <w:highlight w:val="none"/>
          <w:lang w:val="zh-CN" w:eastAsia="zh-CN" w:bidi="ar-SA"/>
        </w:rPr>
        <w:t>部门整体支出绩效自评表</w:t>
      </w:r>
    </w:p>
    <w:p>
      <w:pPr>
        <w:widowControl/>
        <w:adjustRightInd w:val="0"/>
        <w:snapToGrid w:val="0"/>
        <w:spacing w:line="620" w:lineRule="exact"/>
        <w:ind w:firstLine="1600" w:firstLineChars="500"/>
        <w:contextualSpacing/>
        <w:jc w:val="left"/>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en-US" w:eastAsia="zh-CN" w:bidi="ar-SA"/>
        </w:rPr>
        <w:t>2.</w:t>
      </w:r>
      <w:r>
        <w:rPr>
          <w:rFonts w:hint="default" w:ascii="Times New Roman" w:hAnsi="Times New Roman" w:eastAsia="仿宋_GB2312" w:cs="Times New Roman"/>
          <w:color w:val="auto"/>
          <w:kern w:val="0"/>
          <w:sz w:val="32"/>
          <w:szCs w:val="32"/>
          <w:highlight w:val="none"/>
          <w:lang w:val="zh-CN" w:eastAsia="zh-CN" w:bidi="ar-SA"/>
        </w:rPr>
        <w:t>车辆运行维护费项目绩效自评表</w:t>
      </w:r>
    </w:p>
    <w:p>
      <w:pPr>
        <w:widowControl/>
        <w:adjustRightInd w:val="0"/>
        <w:snapToGrid w:val="0"/>
        <w:spacing w:line="620" w:lineRule="exact"/>
        <w:ind w:firstLine="1600" w:firstLineChars="500"/>
        <w:contextualSpacing/>
        <w:jc w:val="left"/>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en-US" w:eastAsia="zh-CN" w:bidi="ar-SA"/>
        </w:rPr>
        <w:t>3.</w:t>
      </w:r>
      <w:r>
        <w:rPr>
          <w:rFonts w:hint="default" w:ascii="Times New Roman" w:hAnsi="Times New Roman" w:eastAsia="仿宋_GB2312" w:cs="Times New Roman"/>
          <w:color w:val="auto"/>
          <w:kern w:val="0"/>
          <w:sz w:val="32"/>
          <w:szCs w:val="32"/>
          <w:highlight w:val="none"/>
          <w:lang w:val="zh-CN" w:eastAsia="zh-CN" w:bidi="ar-SA"/>
        </w:rPr>
        <w:t>纪检监察宣传教育经费绩效自评表</w:t>
      </w:r>
    </w:p>
    <w:p>
      <w:pPr>
        <w:widowControl/>
        <w:adjustRightInd w:val="0"/>
        <w:snapToGrid w:val="0"/>
        <w:spacing w:line="620" w:lineRule="exact"/>
        <w:ind w:firstLine="1600" w:firstLineChars="500"/>
        <w:contextualSpacing/>
        <w:jc w:val="left"/>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en-US" w:eastAsia="zh-CN" w:bidi="ar-SA"/>
        </w:rPr>
        <w:t>4.</w:t>
      </w:r>
      <w:r>
        <w:rPr>
          <w:rFonts w:hint="default" w:ascii="Times New Roman" w:hAnsi="Times New Roman" w:eastAsia="仿宋_GB2312" w:cs="Times New Roman"/>
          <w:color w:val="auto"/>
          <w:kern w:val="0"/>
          <w:sz w:val="32"/>
          <w:szCs w:val="32"/>
          <w:highlight w:val="none"/>
          <w:lang w:val="zh-CN" w:eastAsia="zh-CN" w:bidi="ar-SA"/>
        </w:rPr>
        <w:t>涉密网络运行及维护经费绩效自评表</w:t>
      </w:r>
    </w:p>
    <w:p>
      <w:pPr>
        <w:widowControl/>
        <w:adjustRightInd w:val="0"/>
        <w:snapToGrid w:val="0"/>
        <w:spacing w:line="620" w:lineRule="exact"/>
        <w:ind w:firstLine="1600" w:firstLineChars="500"/>
        <w:contextualSpacing/>
        <w:jc w:val="left"/>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en-US" w:eastAsia="zh-CN" w:bidi="ar-SA"/>
        </w:rPr>
        <w:t>5.</w:t>
      </w:r>
      <w:r>
        <w:rPr>
          <w:rFonts w:hint="default" w:ascii="Times New Roman" w:hAnsi="Times New Roman" w:eastAsia="仿宋_GB2312" w:cs="Times New Roman"/>
          <w:color w:val="auto"/>
          <w:kern w:val="0"/>
          <w:sz w:val="32"/>
          <w:szCs w:val="32"/>
          <w:highlight w:val="none"/>
          <w:lang w:val="zh-CN" w:eastAsia="zh-CN" w:bidi="ar-SA"/>
        </w:rPr>
        <w:t>大案要案查处经费绩效自评表</w:t>
      </w:r>
    </w:p>
    <w:p>
      <w:pPr>
        <w:widowControl/>
        <w:adjustRightInd w:val="0"/>
        <w:snapToGrid w:val="0"/>
        <w:spacing w:line="620" w:lineRule="exact"/>
        <w:ind w:firstLine="1600" w:firstLineChars="500"/>
        <w:contextualSpacing/>
        <w:jc w:val="left"/>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en-US" w:eastAsia="zh-CN" w:bidi="ar-SA"/>
        </w:rPr>
        <w:t>6.</w:t>
      </w:r>
      <w:r>
        <w:rPr>
          <w:rFonts w:hint="default" w:ascii="Times New Roman" w:hAnsi="Times New Roman" w:eastAsia="仿宋_GB2312" w:cs="Times New Roman"/>
          <w:color w:val="auto"/>
          <w:kern w:val="0"/>
          <w:sz w:val="32"/>
          <w:szCs w:val="32"/>
          <w:highlight w:val="none"/>
          <w:lang w:val="zh-CN" w:eastAsia="zh-CN" w:bidi="ar-SA"/>
        </w:rPr>
        <w:t>涉密专网经费绩效自评表</w:t>
      </w:r>
    </w:p>
    <w:p>
      <w:pPr>
        <w:pStyle w:val="5"/>
        <w:rPr>
          <w:rFonts w:hint="default" w:ascii="Times New Roman" w:hAnsi="Times New Roman" w:cs="Times New Roman"/>
          <w:color w:val="auto"/>
          <w:kern w:val="0"/>
          <w:sz w:val="32"/>
          <w:szCs w:val="32"/>
          <w:highlight w:val="none"/>
          <w:shd w:val="clear" w:color="auto" w:fill="FFFFFF"/>
          <w:lang w:val="zh-CN"/>
        </w:rPr>
      </w:pPr>
    </w:p>
    <w:p>
      <w:pPr>
        <w:pStyle w:val="5"/>
        <w:rPr>
          <w:rFonts w:hint="default" w:ascii="Times New Roman" w:hAnsi="Times New Roman" w:cs="Times New Roman"/>
          <w:color w:val="auto"/>
          <w:kern w:val="0"/>
          <w:sz w:val="32"/>
          <w:szCs w:val="32"/>
          <w:highlight w:val="none"/>
          <w:shd w:val="clear" w:color="auto" w:fill="FFFFFF"/>
          <w:lang w:val="zh-CN"/>
        </w:rPr>
      </w:pPr>
    </w:p>
    <w:p>
      <w:pPr>
        <w:pStyle w:val="5"/>
        <w:rPr>
          <w:rFonts w:hint="default" w:ascii="Times New Roman" w:hAnsi="Times New Roman" w:cs="Times New Roman"/>
          <w:color w:val="auto"/>
          <w:kern w:val="0"/>
          <w:sz w:val="32"/>
          <w:szCs w:val="32"/>
          <w:highlight w:val="none"/>
          <w:shd w:val="clear" w:color="auto" w:fill="FFFFFF"/>
          <w:lang w:val="zh-CN"/>
        </w:rPr>
      </w:pPr>
    </w:p>
    <w:p>
      <w:pPr>
        <w:pStyle w:val="5"/>
        <w:rPr>
          <w:rFonts w:hint="default" w:ascii="Times New Roman" w:hAnsi="Times New Roman" w:cs="Times New Roman"/>
          <w:color w:val="auto"/>
          <w:kern w:val="0"/>
          <w:sz w:val="32"/>
          <w:szCs w:val="32"/>
          <w:highlight w:val="none"/>
          <w:shd w:val="clear" w:color="auto" w:fill="FFFFFF"/>
          <w:lang w:val="zh-CN"/>
        </w:rPr>
      </w:pPr>
    </w:p>
    <w:p>
      <w:pPr>
        <w:pStyle w:val="5"/>
        <w:rPr>
          <w:rFonts w:hint="default" w:ascii="Times New Roman" w:hAnsi="Times New Roman" w:cs="Times New Roman"/>
          <w:color w:val="auto"/>
          <w:kern w:val="0"/>
          <w:sz w:val="32"/>
          <w:szCs w:val="32"/>
          <w:highlight w:val="none"/>
          <w:shd w:val="clear" w:color="auto" w:fill="FFFFFF"/>
          <w:lang w:val="zh-CN"/>
        </w:rPr>
      </w:pPr>
    </w:p>
    <w:p>
      <w:pPr>
        <w:pStyle w:val="5"/>
        <w:rPr>
          <w:rFonts w:hint="default" w:ascii="Times New Roman" w:hAnsi="Times New Roman" w:cs="Times New Roman"/>
          <w:color w:val="auto"/>
          <w:kern w:val="0"/>
          <w:sz w:val="32"/>
          <w:szCs w:val="32"/>
          <w:highlight w:val="none"/>
          <w:shd w:val="clear" w:color="auto" w:fill="FFFFFF"/>
          <w:lang w:val="zh-CN"/>
        </w:rPr>
      </w:pPr>
    </w:p>
    <w:p>
      <w:pPr>
        <w:pStyle w:val="5"/>
        <w:rPr>
          <w:rFonts w:hint="default" w:ascii="Times New Roman" w:hAnsi="Times New Roman" w:cs="Times New Roman"/>
          <w:color w:val="auto"/>
          <w:kern w:val="0"/>
          <w:sz w:val="32"/>
          <w:szCs w:val="32"/>
          <w:highlight w:val="none"/>
          <w:shd w:val="clear" w:color="auto" w:fill="FFFFFF"/>
          <w:lang w:val="zh-CN"/>
        </w:rPr>
      </w:pPr>
    </w:p>
    <w:p>
      <w:pPr>
        <w:pStyle w:val="5"/>
        <w:rPr>
          <w:rFonts w:hint="default" w:ascii="Times New Roman" w:hAnsi="Times New Roman" w:cs="Times New Roman"/>
          <w:color w:val="auto"/>
          <w:kern w:val="0"/>
          <w:sz w:val="32"/>
          <w:szCs w:val="32"/>
          <w:highlight w:val="none"/>
          <w:shd w:val="clear" w:color="auto" w:fill="FFFFFF"/>
          <w:lang w:val="zh-CN"/>
        </w:rPr>
        <w:sectPr>
          <w:footerReference r:id="rId5" w:type="first"/>
          <w:headerReference r:id="rId3" w:type="default"/>
          <w:footerReference r:id="rId4" w:type="default"/>
          <w:pgSz w:w="11906" w:h="16838"/>
          <w:pgMar w:top="1440" w:right="1906" w:bottom="1440" w:left="1800" w:header="851" w:footer="992" w:gutter="0"/>
          <w:pgNumType w:fmt="decimal" w:start="1"/>
          <w:cols w:space="425" w:num="1"/>
          <w:titlePg/>
          <w:docGrid w:type="lines" w:linePitch="312" w:charSpace="0"/>
        </w:sectPr>
      </w:pPr>
    </w:p>
    <w:p>
      <w:pPr>
        <w:pStyle w:val="5"/>
        <w:ind w:left="-420" w:leftChars="0" w:firstLine="4" w:firstLineChars="0"/>
        <w:rPr>
          <w:rFonts w:hint="default" w:ascii="Times New Roman" w:hAnsi="Times New Roman" w:cs="Times New Roman"/>
          <w:color w:val="auto"/>
          <w:kern w:val="0"/>
          <w:sz w:val="32"/>
          <w:szCs w:val="32"/>
          <w:highlight w:val="none"/>
          <w:shd w:val="clear" w:color="auto" w:fill="FFFFFF"/>
          <w:lang w:val="zh-CN"/>
        </w:rPr>
      </w:pPr>
      <w:r>
        <w:rPr>
          <w:rFonts w:hint="default" w:ascii="Times New Roman" w:hAnsi="Times New Roman" w:cs="Times New Roman"/>
        </w:rPr>
        <w:drawing>
          <wp:inline distT="0" distB="0" distL="114300" distR="114300">
            <wp:extent cx="6127750" cy="8361680"/>
            <wp:effectExtent l="0" t="0" r="6350"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a:stretch>
                      <a:fillRect/>
                    </a:stretch>
                  </pic:blipFill>
                  <pic:spPr>
                    <a:xfrm>
                      <a:off x="0" y="0"/>
                      <a:ext cx="6127750" cy="8361680"/>
                    </a:xfrm>
                    <a:prstGeom prst="rect">
                      <a:avLst/>
                    </a:prstGeom>
                    <a:noFill/>
                    <a:ln w="9525">
                      <a:noFill/>
                    </a:ln>
                  </pic:spPr>
                </pic:pic>
              </a:graphicData>
            </a:graphic>
          </wp:inline>
        </w:drawing>
      </w:r>
    </w:p>
    <w:tbl>
      <w:tblPr>
        <w:tblStyle w:val="14"/>
        <w:tblW w:w="10138" w:type="dxa"/>
        <w:tblInd w:w="-6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1"/>
        <w:gridCol w:w="1338"/>
        <w:gridCol w:w="1954"/>
        <w:gridCol w:w="1061"/>
        <w:gridCol w:w="1586"/>
        <w:gridCol w:w="2001"/>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0138"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rPr>
            </w:pPr>
            <w:r>
              <w:rPr>
                <w:rFonts w:hint="default" w:ascii="Times New Roman" w:hAnsi="Times New Roman" w:eastAsia="宋体" w:cs="Times New Roman"/>
                <w:b/>
                <w:bCs/>
                <w:i w:val="0"/>
                <w:iCs w:val="0"/>
                <w:color w:val="000000"/>
                <w:kern w:val="0"/>
                <w:sz w:val="32"/>
                <w:szCs w:val="32"/>
                <w:u w:val="none"/>
                <w:lang w:val="en-US" w:eastAsia="zh-CN" w:bidi="ar"/>
              </w:rPr>
              <w:t>预算项目支出绩效自评表（部门预算）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10138"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4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单位名称</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区纪委</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实施部门</w:t>
            </w:r>
          </w:p>
        </w:tc>
        <w:tc>
          <w:tcPr>
            <w:tcW w:w="32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区纪委监委机关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4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项目名称</w:t>
            </w:r>
          </w:p>
        </w:tc>
        <w:tc>
          <w:tcPr>
            <w:tcW w:w="5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车辆运行维护费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4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财务主管部门</w:t>
            </w:r>
          </w:p>
        </w:tc>
        <w:tc>
          <w:tcPr>
            <w:tcW w:w="5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区财政局行财股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532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项目资金（万元）</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全年预算数</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全年执行数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0"/>
                <w:szCs w:val="20"/>
                <w:u w:val="none"/>
                <w:lang w:val="en-US" w:eastAsia="zh-CN" w:bidi="ar"/>
              </w:rPr>
              <w:t>预算执行率</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得分（10分）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12.00 </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12.00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97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年度</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总体</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目标</w:t>
            </w:r>
          </w:p>
        </w:tc>
        <w:tc>
          <w:tcPr>
            <w:tcW w:w="43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年初设定目标</w:t>
            </w:r>
          </w:p>
        </w:tc>
        <w:tc>
          <w:tcPr>
            <w:tcW w:w="48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35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严格落实三公经费要求，全年安全文明驾驶，不超编制用车，降低能耗，合理控制各项费用支出，保障机关监督执纪审查等公务出行需要。</w:t>
            </w:r>
          </w:p>
        </w:tc>
        <w:tc>
          <w:tcPr>
            <w:tcW w:w="48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在预算内全力保障机关3辆执法车辆燃油、过路（桥）、维修、保险等费用支出，全年做到安全、文明驾驶。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3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8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3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8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年</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度</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绩</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效</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一级指标</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二级指标</w:t>
            </w: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三级指标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（指标内容）</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全年完成情况</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项目决策</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程序严密</w:t>
            </w: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项目经过严格评估或论证，规划符合区委区政府重大决策部署</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程序合规合法</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14" w:leftChars="102" w:right="-454" w:rightChars="-216" w:firstLine="0" w:firstLineChars="0"/>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项目管理</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管理规范</w:t>
            </w: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按财务制度严格对项目及资金进行管理，不违规挪用乱用</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管理规范，未违规挪用乱用</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完成指标（40分）</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数量指标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（15分）</w:t>
            </w: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3辆执法车公务出行需要</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基本保障3辆执法车辆燃油、过路（桥）、维修、保险等费用支出，满足公务需求</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质量指标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（15分）</w:t>
            </w: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做好车辆维护管理，驾驶员安全、文明驾驶，不公车私用</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全年做到安全、文明驾驶</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时效指标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全年做到安全、文明驾驶</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效益指标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（20分）</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经济效益</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节能降耗，不超预算</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不超预算</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可持续影响</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做好车辆统筹调度，缓解供需紧张的矛盾</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保障机关公务用车需求</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满意度指标（10分）</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社会满意度</w:t>
            </w: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驾驶员不酒后开车、不违章驾驶、不带故障行车、不公车私用</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全年未接到群众投诉等，群众满意度基本达成</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自评得分总分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w:t>
            </w:r>
          </w:p>
        </w:tc>
      </w:tr>
    </w:tbl>
    <w:p>
      <w:pPr>
        <w:rPr>
          <w:rFonts w:hint="default" w:ascii="Times New Roman" w:hAnsi="Times New Roman" w:cs="Times New Roman"/>
          <w:color w:val="auto"/>
          <w:kern w:val="0"/>
          <w:sz w:val="32"/>
          <w:szCs w:val="32"/>
          <w:highlight w:val="none"/>
          <w:shd w:val="clear" w:color="auto" w:fill="FFFFFF"/>
          <w:lang w:val="zh-CN"/>
        </w:rPr>
      </w:pPr>
      <w:r>
        <w:rPr>
          <w:rFonts w:hint="default" w:ascii="Times New Roman" w:hAnsi="Times New Roman" w:cs="Times New Roman"/>
          <w:color w:val="auto"/>
          <w:kern w:val="0"/>
          <w:sz w:val="32"/>
          <w:szCs w:val="32"/>
          <w:highlight w:val="none"/>
          <w:shd w:val="clear" w:color="auto" w:fill="FFFFFF"/>
          <w:lang w:val="zh-CN"/>
        </w:rPr>
        <w:br w:type="page"/>
      </w:r>
    </w:p>
    <w:p>
      <w:pPr>
        <w:pStyle w:val="5"/>
        <w:rPr>
          <w:rFonts w:hint="default" w:ascii="Times New Roman" w:hAnsi="Times New Roman" w:cs="Times New Roman"/>
          <w:color w:val="auto"/>
          <w:kern w:val="0"/>
          <w:sz w:val="32"/>
          <w:szCs w:val="32"/>
          <w:highlight w:val="none"/>
          <w:shd w:val="clear" w:color="auto" w:fill="FFFFFF"/>
          <w:lang w:val="zh-CN"/>
        </w:rPr>
      </w:pPr>
    </w:p>
    <w:tbl>
      <w:tblPr>
        <w:tblStyle w:val="14"/>
        <w:tblW w:w="10225" w:type="dxa"/>
        <w:tblInd w:w="-4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1092"/>
        <w:gridCol w:w="1488"/>
        <w:gridCol w:w="849"/>
        <w:gridCol w:w="1419"/>
        <w:gridCol w:w="3594"/>
        <w:gridCol w:w="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 w:hRule="atLeast"/>
        </w:trPr>
        <w:tc>
          <w:tcPr>
            <w:tcW w:w="1022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rPr>
            </w:pPr>
            <w:r>
              <w:rPr>
                <w:rFonts w:hint="default" w:ascii="Times New Roman" w:hAnsi="Times New Roman" w:eastAsia="宋体" w:cs="Times New Roman"/>
                <w:b/>
                <w:bCs/>
                <w:i w:val="0"/>
                <w:iCs w:val="0"/>
                <w:color w:val="000000"/>
                <w:kern w:val="0"/>
                <w:sz w:val="32"/>
                <w:szCs w:val="32"/>
                <w:u w:val="none"/>
                <w:lang w:val="en-US" w:eastAsia="zh-CN" w:bidi="ar"/>
              </w:rPr>
              <w:t>预算项目支出绩效自评表（部门预算）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1022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单位名称</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区纪委</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实施部门</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项目名称</w:t>
            </w:r>
          </w:p>
        </w:tc>
        <w:tc>
          <w:tcPr>
            <w:tcW w:w="6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纪检监察宣传教育经费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财务主管部门</w:t>
            </w:r>
          </w:p>
        </w:tc>
        <w:tc>
          <w:tcPr>
            <w:tcW w:w="6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区财政局行财股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422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项目资金（万元）</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全年预算数</w:t>
            </w:r>
          </w:p>
        </w:tc>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全年执行数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18"/>
                <w:szCs w:val="18"/>
                <w:u w:val="none"/>
                <w:lang w:val="en-US" w:eastAsia="zh-CN" w:bidi="ar"/>
              </w:rPr>
              <w:t>预算执行率得分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42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70.00 </w:t>
            </w:r>
          </w:p>
        </w:tc>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70.00 </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79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年度</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总体</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目标</w:t>
            </w:r>
          </w:p>
        </w:tc>
        <w:tc>
          <w:tcPr>
            <w:tcW w:w="34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年初设定目标</w:t>
            </w:r>
          </w:p>
        </w:tc>
        <w:tc>
          <w:tcPr>
            <w:tcW w:w="60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34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与中省市区级媒体建立合作关系、制作警示教育片、警示教育读本、宣传片和微视频、发放党风廉政宣传资料等工作，对党员干部发挥持续震慑作用，营造风清气正的政治生态环境，提升群众满意度、认可度、获得感，提高我区社会评价排位。</w:t>
            </w:r>
          </w:p>
        </w:tc>
        <w:tc>
          <w:tcPr>
            <w:tcW w:w="6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right="136" w:rightChars="65"/>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全年中省市采用我区党风廉政建设宣传稿件275条，建立4个廉洁文化特色村居，黄峨家风教育基地挂牌“四川省家风家教创新实践基地”，拍摄制作大抓基层党风廉政建设专题片《廉润红土 清风劲吹》，警示教育专题片《副局长的游戏人生》、制发警示读本《副局长的游戏人生》；大型家廉文化历史川剧《青山依旧在》先后在遂宁、成都成功汇报演出；组织开展廉洁教育活动80余批次，不断强化廉洁教育，构筑思想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34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34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年</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度</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绩</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效</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一级指标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二级指标</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三级指标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（指标内容）</w:t>
            </w:r>
          </w:p>
        </w:tc>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全年完成情况</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1"/>
                <w:szCs w:val="21"/>
                <w:u w:val="none"/>
                <w:lang w:val="en-US" w:eastAsia="zh-CN" w:bidi="ar"/>
              </w:rPr>
              <w:t>项目决策</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（10分）</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程序严密</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6"/>
                <w:szCs w:val="16"/>
                <w:u w:val="none"/>
                <w:lang w:val="en-US" w:eastAsia="zh-CN" w:bidi="ar"/>
              </w:rPr>
              <w:t>规划符合区委区政府重大决策部署</w:t>
            </w:r>
          </w:p>
        </w:tc>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程序合规</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项目管理</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管理规范</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按财务制度严格对项目及资金进行管理，不违规挪用乱用</w:t>
            </w:r>
          </w:p>
        </w:tc>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管理规范，未违规挪用乱用</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9"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完成指标（40分）</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数量指标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（15分）</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中省市区级媒体宣传指标；警示教育片、警示教育读本、宣传片、微视频等；大型家廉文化历史川剧；党风廉政宣传资料</w:t>
            </w:r>
          </w:p>
        </w:tc>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中省市采用我区党风廉政建设宣传稿件270余条；专题片《廉润红土 清风劲吹》，警示教育专题片《副局长的游戏人生》、制发读本《副局长的游戏人生》，大型家廉文化历史川剧《青山依旧在》遂宁成都演出；组织廉洁教育活动80余批次，征订廉政刊物</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质量指标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（15分）</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服务、产品达到合同或协议约定质量标准</w:t>
            </w:r>
          </w:p>
        </w:tc>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均达到质量标准</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时效指标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各单项宣传工作在合同或协议时限要求内完成</w:t>
            </w:r>
          </w:p>
        </w:tc>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按时完成</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效益指标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（20分）</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社会效益</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营造风清气正的社会氛围</w:t>
            </w:r>
          </w:p>
        </w:tc>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形成崇廉尚洁良好社会氛围</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可持续影响</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对广大党员干部发挥持续震慑作用</w:t>
            </w:r>
          </w:p>
        </w:tc>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让干部在潜移默化中接受教育</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1"/>
                <w:szCs w:val="21"/>
                <w:u w:val="none"/>
                <w:lang w:val="en-US" w:eastAsia="zh-CN" w:bidi="ar"/>
              </w:rPr>
              <w:t>满意度指标（10分）</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社会满意度</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提升群众满意度、认可度、获得感</w:t>
            </w:r>
          </w:p>
        </w:tc>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筑牢干部拒腐防变思想防线，增强不想腐的自觉，群众满意度、获得感提升。</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自评得分总分</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w:t>
            </w:r>
          </w:p>
        </w:tc>
      </w:tr>
    </w:tbl>
    <w:p>
      <w:pPr>
        <w:rPr>
          <w:rFonts w:hint="default" w:ascii="Times New Roman" w:hAnsi="Times New Roman" w:cs="Times New Roman"/>
          <w:color w:val="auto"/>
          <w:kern w:val="0"/>
          <w:sz w:val="32"/>
          <w:szCs w:val="32"/>
          <w:highlight w:val="none"/>
          <w:shd w:val="clear" w:color="auto" w:fill="FFFFFF"/>
          <w:lang w:val="zh-CN"/>
        </w:rPr>
      </w:pPr>
      <w:r>
        <w:rPr>
          <w:rFonts w:hint="default" w:ascii="Times New Roman" w:hAnsi="Times New Roman" w:cs="Times New Roman"/>
          <w:color w:val="auto"/>
          <w:kern w:val="0"/>
          <w:sz w:val="32"/>
          <w:szCs w:val="32"/>
          <w:highlight w:val="none"/>
          <w:shd w:val="clear" w:color="auto" w:fill="FFFFFF"/>
          <w:lang w:val="zh-CN"/>
        </w:rPr>
        <w:br w:type="page"/>
      </w:r>
    </w:p>
    <w:tbl>
      <w:tblPr>
        <w:tblStyle w:val="14"/>
        <w:tblW w:w="9960" w:type="dxa"/>
        <w:tblInd w:w="-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7"/>
        <w:gridCol w:w="1367"/>
        <w:gridCol w:w="1471"/>
        <w:gridCol w:w="1061"/>
        <w:gridCol w:w="1301"/>
        <w:gridCol w:w="2185"/>
        <w:gridCol w:w="1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960" w:type="dxa"/>
            <w:gridSpan w:val="7"/>
            <w:tcBorders>
              <w:top w:val="nil"/>
              <w:left w:val="nil"/>
              <w:bottom w:val="nil"/>
              <w:right w:val="nil"/>
            </w:tcBorders>
            <w:shd w:val="clear" w:color="auto" w:fill="auto"/>
            <w:vAlign w:val="center"/>
          </w:tcPr>
          <w:p>
            <w:pPr>
              <w:keepNext w:val="0"/>
              <w:keepLines w:val="0"/>
              <w:widowControl/>
              <w:suppressLineNumbers w:val="0"/>
              <w:ind w:left="-619" w:leftChars="-295" w:firstLine="0" w:firstLineChars="0"/>
              <w:jc w:val="center"/>
              <w:textAlignment w:val="center"/>
              <w:rPr>
                <w:rFonts w:hint="default" w:ascii="Times New Roman" w:hAnsi="Times New Roman" w:eastAsia="宋体" w:cs="Times New Roman"/>
                <w:b/>
                <w:bCs/>
                <w:i w:val="0"/>
                <w:iCs w:val="0"/>
                <w:color w:val="000000"/>
                <w:sz w:val="32"/>
                <w:szCs w:val="32"/>
                <w:u w:val="none"/>
              </w:rPr>
            </w:pPr>
            <w:r>
              <w:rPr>
                <w:rFonts w:hint="default" w:ascii="Times New Roman" w:hAnsi="Times New Roman" w:eastAsia="宋体" w:cs="Times New Roman"/>
                <w:b/>
                <w:bCs/>
                <w:i w:val="0"/>
                <w:iCs w:val="0"/>
                <w:color w:val="000000"/>
                <w:kern w:val="0"/>
                <w:sz w:val="32"/>
                <w:szCs w:val="32"/>
                <w:u w:val="none"/>
                <w:lang w:val="en-US" w:eastAsia="zh-CN" w:bidi="ar"/>
              </w:rPr>
              <w:t>预算项目支出绩效自评表（部门预算）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996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单位名称</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区纪委</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实施部门</w:t>
            </w:r>
          </w:p>
        </w:tc>
        <w:tc>
          <w:tcPr>
            <w:tcW w:w="37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区纪委监委机关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项目名称</w:t>
            </w:r>
          </w:p>
        </w:tc>
        <w:tc>
          <w:tcPr>
            <w:tcW w:w="6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涉密网络运行及维护经费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财务主管部门</w:t>
            </w:r>
          </w:p>
        </w:tc>
        <w:tc>
          <w:tcPr>
            <w:tcW w:w="6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区财政局行财股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89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项目资金（万元）</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全年预算数</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全年执行数</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预算执行率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得分（10分）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8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13.18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13.18 </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9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年度</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总体</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目标</w:t>
            </w:r>
          </w:p>
        </w:tc>
        <w:tc>
          <w:tcPr>
            <w:tcW w:w="38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年初设定目标</w:t>
            </w:r>
          </w:p>
        </w:tc>
        <w:tc>
          <w:tcPr>
            <w:tcW w:w="5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389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保障本年度内委机关20余台涉密电脑正常运作，不出现泄密事故</w:t>
            </w:r>
          </w:p>
        </w:tc>
        <w:tc>
          <w:tcPr>
            <w:tcW w:w="50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委机关所有办公室涉密网络正常运行，未发生泄密事故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38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50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99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38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50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年</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度</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绩</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效</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标</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一级指标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二级指标</w:t>
            </w: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三级指标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（指标内容）</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全年完成情况</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项目决策</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程序严密</w:t>
            </w: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项目经过严格评估或论证，规划符合区委区政府重大决策部署</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程序合规</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项目管理</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管理规范</w:t>
            </w: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按财务制度严格对项目及资金进行管理，不违规挪用乱用</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管理规范，未违规挪用乱用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完成指标（40分）</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数量指标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（15分）</w:t>
            </w: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委机关20余台涉密电脑正常运作</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委机关所有办公室涉密网络正常运行</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质量指标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（15分）</w:t>
            </w: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机关涉密网络正常运行，不发生泄密事故</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本年涉密网络正常运行，未发生泄密事故</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时效指标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本年度内涉密网络出现运行故障时，三天内到场完成运维，特别紧急的当天完成运维</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全年涉密网络正常运行，未出现运维故障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效益指标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（20分）</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社会效益</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维护网络健康、保障网络安全</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全年涉密网络健康、安全运行，未出现任何故障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可持续影响</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确保涉密网络可持续运行</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本年度内不出现网络瘫痪情况，定期进行维护</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满意度指标（10分）</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社会满意度</w:t>
            </w: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设备使用满意度达到95%</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设备正常使用，用户满意</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自评得分总分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w:t>
            </w:r>
          </w:p>
        </w:tc>
      </w:tr>
    </w:tbl>
    <w:p>
      <w:pPr>
        <w:rPr>
          <w:rFonts w:hint="default" w:ascii="Times New Roman" w:hAnsi="Times New Roman" w:cs="Times New Roman"/>
          <w:color w:val="auto"/>
          <w:kern w:val="0"/>
          <w:sz w:val="32"/>
          <w:szCs w:val="32"/>
          <w:highlight w:val="none"/>
          <w:shd w:val="clear" w:color="auto" w:fill="FFFFFF"/>
          <w:lang w:val="zh-CN"/>
        </w:rPr>
      </w:pPr>
      <w:r>
        <w:rPr>
          <w:rFonts w:hint="default" w:ascii="Times New Roman" w:hAnsi="Times New Roman" w:cs="Times New Roman"/>
          <w:color w:val="auto"/>
          <w:kern w:val="0"/>
          <w:sz w:val="32"/>
          <w:szCs w:val="32"/>
          <w:highlight w:val="none"/>
          <w:shd w:val="clear" w:color="auto" w:fill="FFFFFF"/>
          <w:lang w:val="zh-CN"/>
        </w:rPr>
        <w:br w:type="page"/>
      </w:r>
    </w:p>
    <w:tbl>
      <w:tblPr>
        <w:tblStyle w:val="14"/>
        <w:tblW w:w="10080" w:type="dxa"/>
        <w:tblInd w:w="-3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
        <w:gridCol w:w="1231"/>
        <w:gridCol w:w="1667"/>
        <w:gridCol w:w="969"/>
        <w:gridCol w:w="1190"/>
        <w:gridCol w:w="2688"/>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008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rPr>
            </w:pPr>
            <w:r>
              <w:rPr>
                <w:rFonts w:hint="default" w:ascii="Times New Roman" w:hAnsi="Times New Roman" w:eastAsia="宋体" w:cs="Times New Roman"/>
                <w:b/>
                <w:bCs/>
                <w:i w:val="0"/>
                <w:iCs w:val="0"/>
                <w:color w:val="000000"/>
                <w:kern w:val="0"/>
                <w:sz w:val="32"/>
                <w:szCs w:val="32"/>
                <w:u w:val="none"/>
                <w:lang w:val="en-US" w:eastAsia="zh-CN" w:bidi="ar"/>
              </w:rPr>
              <w:t>预算项目支出绩效自评表（部门预算）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08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trPr>
        <w:tc>
          <w:tcPr>
            <w:tcW w:w="3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单位名称</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区纪委</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实施部门</w:t>
            </w:r>
          </w:p>
        </w:tc>
        <w:tc>
          <w:tcPr>
            <w:tcW w:w="4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纪检监察室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trPr>
        <w:tc>
          <w:tcPr>
            <w:tcW w:w="3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项目名称</w:t>
            </w:r>
          </w:p>
        </w:tc>
        <w:tc>
          <w:tcPr>
            <w:tcW w:w="6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大案要案查处经费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trPr>
        <w:tc>
          <w:tcPr>
            <w:tcW w:w="3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财务主管部门</w:t>
            </w:r>
          </w:p>
        </w:tc>
        <w:tc>
          <w:tcPr>
            <w:tcW w:w="6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区财政局行财股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trPr>
        <w:tc>
          <w:tcPr>
            <w:tcW w:w="47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项目资金（万元）</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全年预算数</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全年执行数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1"/>
                <w:szCs w:val="21"/>
                <w:u w:val="none"/>
                <w:lang w:val="en-US" w:eastAsia="zh-CN" w:bidi="ar"/>
              </w:rPr>
              <w:t>预算执行率</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得分（10分）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47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290.00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211.98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89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年度</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总体</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目标</w:t>
            </w:r>
          </w:p>
        </w:tc>
        <w:tc>
          <w:tcPr>
            <w:tcW w:w="386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年初设定目标</w:t>
            </w:r>
          </w:p>
        </w:tc>
        <w:tc>
          <w:tcPr>
            <w:tcW w:w="5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38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根据查办需要，保障费办案相关人员的食宿、误餐补助、通讯费、交通差旅、查证费等必要开支。及时有效查处群众身边违纪案件，提升群众满意度。</w:t>
            </w:r>
          </w:p>
        </w:tc>
        <w:tc>
          <w:tcPr>
            <w:tcW w:w="53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扎实推进基层党风廉政建设，创新实施“政治生态五清”“勤廉三心”和“家廉文化培塑”三大工程，系统靶向打出“对标赶超、创新实干、奋勇争先”系列组合拳，持续擦亮“安逸安居”清廉底色，切实以纪检监察工作高质量履职服务保障全区经济社会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38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5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38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5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年</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度</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绩</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效</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一级指标</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二级指标</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三级指标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（指标内容）</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全年完成情况</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项目决策</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程序严密</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项目经过严格评估或论证，规划符合区委区政府重大决策部署</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程序合规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项目管理</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管理规范</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按财务制度严格对项目及资金进行管理，不违规挪用乱用</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管理规范，未违规挪用乱用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完成指标（40分）</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数量指标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（15分）</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人均查处率达到1.2</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达标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质量指标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（15分）</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人均办理要案件数25%</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达标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时效指标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线索处置率，初核及谈话、函询率超过75%</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达标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效益指标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（20分）</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经济效益</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违纪款项全额上缴国库</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违纪款项全额上缴国库</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可持续影响</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根据案件办理情况通报</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及时发布通报，起到警示教育作用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满意度指标（10分）</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社会满意度</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群众身边违纪案件率，有效提升群众满意度</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持续擦亮“安逸安居”清廉底色，切实以纪检监察工作高质量履职服务保障全区经济社会高质量发展</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自评得分总分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w:t>
            </w:r>
          </w:p>
        </w:tc>
      </w:tr>
    </w:tbl>
    <w:p>
      <w:pPr>
        <w:pStyle w:val="5"/>
        <w:ind w:left="-1042" w:leftChars="-598" w:hanging="214" w:hangingChars="67"/>
        <w:rPr>
          <w:rFonts w:hint="default" w:ascii="Times New Roman" w:hAnsi="Times New Roman" w:cs="Times New Roman"/>
          <w:color w:val="auto"/>
          <w:kern w:val="0"/>
          <w:sz w:val="32"/>
          <w:szCs w:val="32"/>
          <w:highlight w:val="none"/>
          <w:shd w:val="clear" w:color="auto" w:fill="FFFFFF"/>
          <w:lang w:val="zh-CN"/>
        </w:rPr>
      </w:pPr>
    </w:p>
    <w:p>
      <w:pPr>
        <w:rPr>
          <w:rFonts w:hint="default" w:ascii="Times New Roman" w:hAnsi="Times New Roman" w:cs="Times New Roman"/>
          <w:color w:val="auto"/>
          <w:kern w:val="0"/>
          <w:sz w:val="32"/>
          <w:szCs w:val="32"/>
          <w:highlight w:val="none"/>
          <w:shd w:val="clear" w:color="auto" w:fill="FFFFFF"/>
          <w:lang w:val="zh-CN"/>
        </w:rPr>
      </w:pPr>
      <w:r>
        <w:rPr>
          <w:rFonts w:hint="default" w:ascii="Times New Roman" w:hAnsi="Times New Roman" w:cs="Times New Roman"/>
          <w:color w:val="auto"/>
          <w:kern w:val="0"/>
          <w:sz w:val="32"/>
          <w:szCs w:val="32"/>
          <w:highlight w:val="none"/>
          <w:shd w:val="clear" w:color="auto" w:fill="FFFFFF"/>
          <w:lang w:val="zh-CN"/>
        </w:rPr>
        <w:br w:type="page"/>
      </w:r>
    </w:p>
    <w:tbl>
      <w:tblPr>
        <w:tblStyle w:val="14"/>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2"/>
        <w:gridCol w:w="1286"/>
        <w:gridCol w:w="1727"/>
        <w:gridCol w:w="1036"/>
        <w:gridCol w:w="1180"/>
        <w:gridCol w:w="2354"/>
        <w:gridCol w:w="1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trPr>
        <w:tc>
          <w:tcPr>
            <w:tcW w:w="984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rPr>
            </w:pPr>
            <w:r>
              <w:rPr>
                <w:rFonts w:hint="default" w:ascii="Times New Roman" w:hAnsi="Times New Roman" w:eastAsia="宋体" w:cs="Times New Roman"/>
                <w:b/>
                <w:bCs/>
                <w:i w:val="0"/>
                <w:iCs w:val="0"/>
                <w:color w:val="000000"/>
                <w:kern w:val="0"/>
                <w:sz w:val="32"/>
                <w:szCs w:val="32"/>
                <w:u w:val="none"/>
                <w:lang w:val="en-US" w:eastAsia="zh-CN" w:bidi="ar"/>
              </w:rPr>
              <w:t>预算项目支出绩效自评表（部门预算）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4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 w:hRule="atLeast"/>
        </w:trPr>
        <w:tc>
          <w:tcPr>
            <w:tcW w:w="3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单位名称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区纪委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实施部门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区纪委监委机关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 w:hRule="atLeast"/>
        </w:trPr>
        <w:tc>
          <w:tcPr>
            <w:tcW w:w="3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项目名称</w:t>
            </w:r>
          </w:p>
        </w:tc>
        <w:tc>
          <w:tcPr>
            <w:tcW w:w="5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涉密专网经费（安可电脑采购专项经费）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 w:hRule="atLeast"/>
        </w:trPr>
        <w:tc>
          <w:tcPr>
            <w:tcW w:w="3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财务主管部门</w:t>
            </w:r>
          </w:p>
        </w:tc>
        <w:tc>
          <w:tcPr>
            <w:tcW w:w="5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区财政局行财股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498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项目资金（万元）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全年预算数</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全年执行数</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1"/>
                <w:szCs w:val="21"/>
                <w:u w:val="none"/>
                <w:lang w:val="en-US" w:eastAsia="zh-CN" w:bidi="ar"/>
              </w:rPr>
              <w:t>预算执行率</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得分（10分）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trPr>
        <w:tc>
          <w:tcPr>
            <w:tcW w:w="498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23.00 </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23.00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93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年度</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总体</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年初设定目标</w:t>
            </w:r>
          </w:p>
        </w:tc>
        <w:tc>
          <w:tcPr>
            <w:tcW w:w="4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04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根据上级要求，完成安可外网电脑采购及投入使用。</w:t>
            </w:r>
          </w:p>
        </w:tc>
        <w:tc>
          <w:tcPr>
            <w:tcW w:w="48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购买安可电脑21台，并全部投入使用。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04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8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04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8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年</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度</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绩</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效</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标</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一级指标</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二级指标</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三级指标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（指标内容）</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全年完成情况</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项目决策</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程序严密</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项目经过严格评估或论证，规划符合区委区政府重大决策部署</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程序合规，按需配置</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项目管理</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管理规范</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按财务制度严格对项目及资金进行管理，不违规挪用乱用</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管理规范，做到专款专用</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完成指标（40分）</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数量指标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（15分）</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采购21台安可电脑</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完成采购21台安可电脑，按需分配至信访室、组织部、办公室、纪检室等。</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质量指标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（15分）</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电脑质量合格，运维及时</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本年涉密网络正常运行，未发生泄密事故</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时效指标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本年内完成采购并投入使用</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8月完成涉密政府采购流程，9月安装投入使用</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效益指标</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（20分）</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社会效益</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维护网络健康、保障网络安全</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全年涉密电脑健康、安全运行，故障维修及时有效</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可持续影响</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（10分）</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确保国产电脑可持续运行</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本年度内电脑正常运行，维修维护及时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满意度指标（10分）</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社会满意度</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用户使用满意度高于90%</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设备正常使用，用户基本满意</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自评得分总分</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w:t>
            </w:r>
          </w:p>
        </w:tc>
      </w:tr>
    </w:tbl>
    <w:p>
      <w:pPr>
        <w:pStyle w:val="5"/>
        <w:rPr>
          <w:rFonts w:hint="default" w:ascii="Times New Roman" w:hAnsi="Times New Roman" w:cs="Times New Roman"/>
          <w:color w:val="auto"/>
          <w:kern w:val="0"/>
          <w:sz w:val="32"/>
          <w:szCs w:val="32"/>
          <w:highlight w:val="none"/>
          <w:shd w:val="clear" w:color="auto" w:fill="FFFFFF"/>
          <w:lang w:val="zh-CN"/>
        </w:rPr>
      </w:pPr>
    </w:p>
    <w:p>
      <w:pPr>
        <w:pStyle w:val="5"/>
        <w:rPr>
          <w:rFonts w:hint="default" w:ascii="Times New Roman" w:hAnsi="Times New Roman" w:cs="Times New Roman"/>
          <w:color w:val="auto"/>
          <w:kern w:val="0"/>
          <w:sz w:val="32"/>
          <w:szCs w:val="32"/>
          <w:highlight w:val="none"/>
          <w:shd w:val="clear" w:color="auto" w:fill="FFFFFF"/>
          <w:lang w:val="zh-CN"/>
        </w:rPr>
      </w:pPr>
    </w:p>
    <w:p>
      <w:pPr>
        <w:pStyle w:val="5"/>
        <w:rPr>
          <w:rFonts w:hint="default" w:ascii="Times New Roman" w:hAnsi="Times New Roman" w:cs="Times New Roman"/>
          <w:color w:val="auto"/>
          <w:kern w:val="0"/>
          <w:sz w:val="32"/>
          <w:szCs w:val="32"/>
          <w:highlight w:val="none"/>
          <w:shd w:val="clear" w:color="auto" w:fill="FFFFFF"/>
          <w:lang w:val="zh-CN"/>
        </w:rPr>
      </w:pPr>
    </w:p>
    <w:p>
      <w:pPr>
        <w:spacing w:line="600" w:lineRule="exact"/>
        <w:jc w:val="center"/>
        <w:outlineLvl w:val="0"/>
        <w:rPr>
          <w:rFonts w:hint="default" w:ascii="Times New Roman" w:hAnsi="Times New Roman" w:eastAsia="仿宋" w:cs="Times New Roman"/>
          <w:b w:val="0"/>
          <w:color w:val="auto"/>
          <w:highlight w:val="none"/>
        </w:rPr>
      </w:pPr>
      <w:bookmarkStart w:id="58" w:name="_Toc15396618"/>
      <w:r>
        <w:rPr>
          <w:rFonts w:hint="default" w:ascii="Times New Roman" w:hAnsi="Times New Roman" w:eastAsia="黑体" w:cs="Times New Roman"/>
          <w:color w:val="auto"/>
          <w:sz w:val="44"/>
          <w:szCs w:val="44"/>
          <w:highlight w:val="none"/>
        </w:rPr>
        <w:t>第</w:t>
      </w:r>
      <w:r>
        <w:rPr>
          <w:rStyle w:val="29"/>
          <w:rFonts w:hint="default" w:ascii="Times New Roman" w:hAnsi="Times New Roman" w:eastAsia="黑体" w:cs="Times New Roman"/>
          <w:b w:val="0"/>
          <w:color w:val="auto"/>
          <w:highlight w:val="none"/>
        </w:rPr>
        <w:t>五部分 附表</w:t>
      </w:r>
      <w:bookmarkEnd w:id="56"/>
      <w:bookmarkEnd w:id="58"/>
      <w:bookmarkStart w:id="59" w:name="_Toc15396619"/>
    </w:p>
    <w:p>
      <w:pPr>
        <w:pStyle w:val="3"/>
        <w:rPr>
          <w:rFonts w:hint="default" w:ascii="Times New Roman" w:hAnsi="Times New Roman" w:eastAsia="仿宋" w:cs="Times New Roman"/>
          <w:color w:val="auto"/>
          <w:highlight w:val="none"/>
        </w:rPr>
      </w:pPr>
      <w:r>
        <w:rPr>
          <w:rFonts w:hint="default" w:ascii="Times New Roman" w:hAnsi="Times New Roman" w:eastAsia="仿宋" w:cs="Times New Roman"/>
          <w:b w:val="0"/>
          <w:color w:val="auto"/>
          <w:highlight w:val="none"/>
        </w:rPr>
        <w:t>一、收</w:t>
      </w:r>
      <w:r>
        <w:rPr>
          <w:rStyle w:val="30"/>
          <w:rFonts w:hint="default" w:ascii="Times New Roman" w:hAnsi="Times New Roman" w:eastAsia="仿宋" w:cs="Times New Roman"/>
          <w:b w:val="0"/>
          <w:bCs w:val="0"/>
          <w:color w:val="auto"/>
          <w:highlight w:val="none"/>
        </w:rPr>
        <w:t>入支出决算总表</w:t>
      </w:r>
      <w:bookmarkEnd w:id="59"/>
    </w:p>
    <w:p>
      <w:pPr>
        <w:pStyle w:val="3"/>
        <w:rPr>
          <w:rFonts w:hint="default" w:ascii="Times New Roman" w:hAnsi="Times New Roman" w:eastAsia="仿宋" w:cs="Times New Roman"/>
          <w:color w:val="auto"/>
          <w:highlight w:val="none"/>
        </w:rPr>
      </w:pPr>
      <w:bookmarkStart w:id="60" w:name="_Toc15396620"/>
      <w:r>
        <w:rPr>
          <w:rFonts w:hint="default" w:ascii="Times New Roman" w:hAnsi="Times New Roman" w:eastAsia="仿宋" w:cs="Times New Roman"/>
          <w:b w:val="0"/>
          <w:color w:val="auto"/>
          <w:highlight w:val="none"/>
        </w:rPr>
        <w:t>二、收</w:t>
      </w:r>
      <w:r>
        <w:rPr>
          <w:rStyle w:val="30"/>
          <w:rFonts w:hint="default" w:ascii="Times New Roman" w:hAnsi="Times New Roman" w:eastAsia="仿宋" w:cs="Times New Roman"/>
          <w:b w:val="0"/>
          <w:bCs w:val="0"/>
          <w:color w:val="auto"/>
          <w:highlight w:val="none"/>
        </w:rPr>
        <w:t>入决算表</w:t>
      </w:r>
      <w:bookmarkEnd w:id="60"/>
    </w:p>
    <w:p>
      <w:pPr>
        <w:pStyle w:val="3"/>
        <w:rPr>
          <w:rFonts w:hint="default" w:ascii="Times New Roman" w:hAnsi="Times New Roman" w:eastAsia="仿宋" w:cs="Times New Roman"/>
          <w:color w:val="auto"/>
          <w:highlight w:val="none"/>
        </w:rPr>
      </w:pPr>
      <w:bookmarkStart w:id="61" w:name="_Toc15396621"/>
      <w:r>
        <w:rPr>
          <w:rStyle w:val="30"/>
          <w:rFonts w:hint="default" w:ascii="Times New Roman" w:hAnsi="Times New Roman" w:eastAsia="仿宋" w:cs="Times New Roman"/>
          <w:b w:val="0"/>
          <w:bCs w:val="0"/>
          <w:color w:val="auto"/>
          <w:highlight w:val="none"/>
        </w:rPr>
        <w:t>三、</w:t>
      </w:r>
      <w:r>
        <w:rPr>
          <w:rFonts w:hint="default" w:ascii="Times New Roman" w:hAnsi="Times New Roman" w:eastAsia="仿宋" w:cs="Times New Roman"/>
          <w:b w:val="0"/>
          <w:color w:val="auto"/>
          <w:highlight w:val="none"/>
        </w:rPr>
        <w:t>支</w:t>
      </w:r>
      <w:r>
        <w:rPr>
          <w:rStyle w:val="30"/>
          <w:rFonts w:hint="default" w:ascii="Times New Roman" w:hAnsi="Times New Roman" w:eastAsia="仿宋" w:cs="Times New Roman"/>
          <w:b w:val="0"/>
          <w:bCs w:val="0"/>
          <w:color w:val="auto"/>
          <w:highlight w:val="none"/>
        </w:rPr>
        <w:t>出决算表</w:t>
      </w:r>
      <w:bookmarkEnd w:id="61"/>
    </w:p>
    <w:p>
      <w:pPr>
        <w:pStyle w:val="3"/>
        <w:rPr>
          <w:rFonts w:hint="default" w:ascii="Times New Roman" w:hAnsi="Times New Roman" w:eastAsia="仿宋" w:cs="Times New Roman"/>
          <w:b w:val="0"/>
          <w:color w:val="auto"/>
          <w:highlight w:val="none"/>
        </w:rPr>
      </w:pPr>
      <w:bookmarkStart w:id="62" w:name="_Toc15396622"/>
      <w:r>
        <w:rPr>
          <w:rStyle w:val="30"/>
          <w:rFonts w:hint="default" w:ascii="Times New Roman" w:hAnsi="Times New Roman" w:eastAsia="仿宋" w:cs="Times New Roman"/>
          <w:b w:val="0"/>
          <w:bCs w:val="0"/>
          <w:color w:val="auto"/>
          <w:highlight w:val="none"/>
        </w:rPr>
        <w:t>四、</w:t>
      </w:r>
      <w:r>
        <w:rPr>
          <w:rFonts w:hint="default" w:ascii="Times New Roman" w:hAnsi="Times New Roman" w:eastAsia="仿宋" w:cs="Times New Roman"/>
          <w:b w:val="0"/>
          <w:color w:val="auto"/>
          <w:highlight w:val="none"/>
        </w:rPr>
        <w:t>财</w:t>
      </w:r>
      <w:r>
        <w:rPr>
          <w:rStyle w:val="30"/>
          <w:rFonts w:hint="default" w:ascii="Times New Roman" w:hAnsi="Times New Roman" w:eastAsia="仿宋" w:cs="Times New Roman"/>
          <w:b w:val="0"/>
          <w:bCs w:val="0"/>
          <w:color w:val="auto"/>
          <w:highlight w:val="none"/>
        </w:rPr>
        <w:t>政拨款收入支出决算总表</w:t>
      </w:r>
      <w:bookmarkEnd w:id="62"/>
    </w:p>
    <w:p>
      <w:pPr>
        <w:pStyle w:val="3"/>
        <w:rPr>
          <w:rStyle w:val="30"/>
          <w:rFonts w:hint="default" w:ascii="Times New Roman" w:hAnsi="Times New Roman" w:eastAsia="仿宋" w:cs="Times New Roman"/>
          <w:b w:val="0"/>
          <w:bCs w:val="0"/>
          <w:color w:val="auto"/>
          <w:highlight w:val="none"/>
        </w:rPr>
      </w:pPr>
      <w:bookmarkStart w:id="63" w:name="_Toc15396623"/>
      <w:r>
        <w:rPr>
          <w:rStyle w:val="30"/>
          <w:rFonts w:hint="default" w:ascii="Times New Roman" w:hAnsi="Times New Roman" w:eastAsia="仿宋" w:cs="Times New Roman"/>
          <w:b w:val="0"/>
          <w:bCs w:val="0"/>
          <w:color w:val="auto"/>
          <w:highlight w:val="none"/>
        </w:rPr>
        <w:t>五、</w:t>
      </w:r>
      <w:r>
        <w:rPr>
          <w:rFonts w:hint="default" w:ascii="Times New Roman" w:hAnsi="Times New Roman" w:eastAsia="仿宋" w:cs="Times New Roman"/>
          <w:b w:val="0"/>
          <w:color w:val="auto"/>
          <w:highlight w:val="none"/>
        </w:rPr>
        <w:t>财</w:t>
      </w:r>
      <w:r>
        <w:rPr>
          <w:rStyle w:val="30"/>
          <w:rFonts w:hint="default" w:ascii="Times New Roman" w:hAnsi="Times New Roman" w:eastAsia="仿宋" w:cs="Times New Roman"/>
          <w:b w:val="0"/>
          <w:bCs w:val="0"/>
          <w:color w:val="auto"/>
          <w:highlight w:val="none"/>
        </w:rPr>
        <w:t>政拨款支出决算明细表</w:t>
      </w:r>
      <w:bookmarkEnd w:id="63"/>
      <w:bookmarkStart w:id="64" w:name="_Toc15396624"/>
    </w:p>
    <w:p>
      <w:pPr>
        <w:pStyle w:val="3"/>
        <w:rPr>
          <w:rFonts w:hint="default" w:ascii="Times New Roman" w:hAnsi="Times New Roman" w:eastAsia="仿宋" w:cs="Times New Roman"/>
          <w:color w:val="auto"/>
          <w:highlight w:val="none"/>
        </w:rPr>
      </w:pPr>
      <w:r>
        <w:rPr>
          <w:rStyle w:val="30"/>
          <w:rFonts w:hint="default" w:ascii="Times New Roman" w:hAnsi="Times New Roman" w:eastAsia="仿宋" w:cs="Times New Roman"/>
          <w:b w:val="0"/>
          <w:bCs w:val="0"/>
          <w:color w:val="auto"/>
          <w:highlight w:val="none"/>
        </w:rPr>
        <w:t>六、</w:t>
      </w:r>
      <w:r>
        <w:rPr>
          <w:rFonts w:hint="default" w:ascii="Times New Roman" w:hAnsi="Times New Roman" w:eastAsia="仿宋" w:cs="Times New Roman"/>
          <w:b w:val="0"/>
          <w:color w:val="auto"/>
          <w:highlight w:val="none"/>
        </w:rPr>
        <w:t>一</w:t>
      </w:r>
      <w:r>
        <w:rPr>
          <w:rStyle w:val="30"/>
          <w:rFonts w:hint="default" w:ascii="Times New Roman" w:hAnsi="Times New Roman" w:eastAsia="仿宋" w:cs="Times New Roman"/>
          <w:b w:val="0"/>
          <w:bCs w:val="0"/>
          <w:color w:val="auto"/>
          <w:highlight w:val="none"/>
        </w:rPr>
        <w:t>般公共预算财政拨款支出决算表</w:t>
      </w:r>
      <w:bookmarkEnd w:id="64"/>
    </w:p>
    <w:p>
      <w:pPr>
        <w:pStyle w:val="3"/>
        <w:rPr>
          <w:rFonts w:hint="default" w:ascii="Times New Roman" w:hAnsi="Times New Roman" w:eastAsia="仿宋" w:cs="Times New Roman"/>
          <w:color w:val="auto"/>
          <w:highlight w:val="none"/>
        </w:rPr>
      </w:pPr>
      <w:bookmarkStart w:id="65" w:name="_Toc15396625"/>
      <w:r>
        <w:rPr>
          <w:rStyle w:val="30"/>
          <w:rFonts w:hint="default" w:ascii="Times New Roman" w:hAnsi="Times New Roman" w:eastAsia="仿宋" w:cs="Times New Roman"/>
          <w:b w:val="0"/>
          <w:bCs w:val="0"/>
          <w:color w:val="auto"/>
          <w:highlight w:val="none"/>
        </w:rPr>
        <w:t>七、</w:t>
      </w:r>
      <w:r>
        <w:rPr>
          <w:rFonts w:hint="default" w:ascii="Times New Roman" w:hAnsi="Times New Roman" w:eastAsia="仿宋" w:cs="Times New Roman"/>
          <w:b w:val="0"/>
          <w:color w:val="auto"/>
          <w:highlight w:val="none"/>
        </w:rPr>
        <w:t>一</w:t>
      </w:r>
      <w:r>
        <w:rPr>
          <w:rStyle w:val="30"/>
          <w:rFonts w:hint="default" w:ascii="Times New Roman" w:hAnsi="Times New Roman" w:eastAsia="仿宋" w:cs="Times New Roman"/>
          <w:b w:val="0"/>
          <w:bCs w:val="0"/>
          <w:color w:val="auto"/>
          <w:highlight w:val="none"/>
        </w:rPr>
        <w:t>般公共预算财政拨款支出决算明细表</w:t>
      </w:r>
      <w:bookmarkEnd w:id="65"/>
    </w:p>
    <w:p>
      <w:pPr>
        <w:pStyle w:val="3"/>
        <w:rPr>
          <w:rFonts w:hint="default" w:ascii="Times New Roman" w:hAnsi="Times New Roman" w:eastAsia="仿宋" w:cs="Times New Roman"/>
          <w:color w:val="auto"/>
          <w:highlight w:val="none"/>
        </w:rPr>
      </w:pPr>
      <w:bookmarkStart w:id="66" w:name="_Toc15396626"/>
      <w:r>
        <w:rPr>
          <w:rStyle w:val="30"/>
          <w:rFonts w:hint="default" w:ascii="Times New Roman" w:hAnsi="Times New Roman" w:eastAsia="仿宋" w:cs="Times New Roman"/>
          <w:b w:val="0"/>
          <w:bCs w:val="0"/>
          <w:color w:val="auto"/>
          <w:highlight w:val="none"/>
        </w:rPr>
        <w:t>八、</w:t>
      </w:r>
      <w:r>
        <w:rPr>
          <w:rFonts w:hint="default" w:ascii="Times New Roman" w:hAnsi="Times New Roman" w:eastAsia="仿宋" w:cs="Times New Roman"/>
          <w:b w:val="0"/>
          <w:color w:val="auto"/>
          <w:highlight w:val="none"/>
        </w:rPr>
        <w:t>一</w:t>
      </w:r>
      <w:r>
        <w:rPr>
          <w:rStyle w:val="30"/>
          <w:rFonts w:hint="default" w:ascii="Times New Roman" w:hAnsi="Times New Roman" w:eastAsia="仿宋" w:cs="Times New Roman"/>
          <w:b w:val="0"/>
          <w:bCs w:val="0"/>
          <w:color w:val="auto"/>
          <w:highlight w:val="none"/>
        </w:rPr>
        <w:t>般公共预算财政拨款基本支出决算表</w:t>
      </w:r>
      <w:bookmarkEnd w:id="66"/>
    </w:p>
    <w:p>
      <w:pPr>
        <w:pStyle w:val="3"/>
        <w:rPr>
          <w:rFonts w:hint="default" w:ascii="Times New Roman" w:hAnsi="Times New Roman" w:eastAsia="仿宋" w:cs="Times New Roman"/>
          <w:color w:val="auto"/>
          <w:highlight w:val="none"/>
        </w:rPr>
      </w:pPr>
      <w:bookmarkStart w:id="67" w:name="_Toc15396627"/>
      <w:r>
        <w:rPr>
          <w:rStyle w:val="30"/>
          <w:rFonts w:hint="default" w:ascii="Times New Roman" w:hAnsi="Times New Roman" w:eastAsia="仿宋" w:cs="Times New Roman"/>
          <w:b w:val="0"/>
          <w:bCs w:val="0"/>
          <w:color w:val="auto"/>
          <w:highlight w:val="none"/>
        </w:rPr>
        <w:t>九、</w:t>
      </w:r>
      <w:r>
        <w:rPr>
          <w:rFonts w:hint="default" w:ascii="Times New Roman" w:hAnsi="Times New Roman" w:eastAsia="仿宋" w:cs="Times New Roman"/>
          <w:b w:val="0"/>
          <w:color w:val="auto"/>
          <w:highlight w:val="none"/>
        </w:rPr>
        <w:t>一</w:t>
      </w:r>
      <w:r>
        <w:rPr>
          <w:rStyle w:val="30"/>
          <w:rFonts w:hint="default" w:ascii="Times New Roman" w:hAnsi="Times New Roman" w:eastAsia="仿宋" w:cs="Times New Roman"/>
          <w:b w:val="0"/>
          <w:bCs w:val="0"/>
          <w:color w:val="auto"/>
          <w:highlight w:val="none"/>
        </w:rPr>
        <w:t>般公共预算财政拨款项目支出决算表</w:t>
      </w:r>
      <w:bookmarkEnd w:id="67"/>
    </w:p>
    <w:p>
      <w:pPr>
        <w:pStyle w:val="3"/>
        <w:rPr>
          <w:rFonts w:hint="default" w:ascii="Times New Roman" w:hAnsi="Times New Roman" w:eastAsia="仿宋" w:cs="Times New Roman"/>
          <w:color w:val="auto"/>
          <w:highlight w:val="none"/>
        </w:rPr>
      </w:pPr>
      <w:bookmarkStart w:id="68" w:name="_Toc15396628"/>
      <w:r>
        <w:rPr>
          <w:rStyle w:val="30"/>
          <w:rFonts w:hint="default" w:ascii="Times New Roman" w:hAnsi="Times New Roman" w:eastAsia="仿宋" w:cs="Times New Roman"/>
          <w:b w:val="0"/>
          <w:bCs w:val="0"/>
          <w:color w:val="auto"/>
          <w:highlight w:val="none"/>
        </w:rPr>
        <w:t>十、</w:t>
      </w:r>
      <w:bookmarkEnd w:id="68"/>
      <w:r>
        <w:rPr>
          <w:rFonts w:hint="default" w:ascii="Times New Roman" w:hAnsi="Times New Roman" w:eastAsia="仿宋" w:cs="Times New Roman"/>
          <w:b w:val="0"/>
          <w:color w:val="auto"/>
          <w:highlight w:val="none"/>
        </w:rPr>
        <w:t>政</w:t>
      </w:r>
      <w:r>
        <w:rPr>
          <w:rStyle w:val="30"/>
          <w:rFonts w:hint="default" w:ascii="Times New Roman" w:hAnsi="Times New Roman" w:eastAsia="仿宋" w:cs="Times New Roman"/>
          <w:b w:val="0"/>
          <w:bCs w:val="0"/>
          <w:color w:val="auto"/>
          <w:highlight w:val="none"/>
        </w:rPr>
        <w:t>府性基金预算财政拨款收入支出决算表</w:t>
      </w:r>
    </w:p>
    <w:p>
      <w:pPr>
        <w:pStyle w:val="3"/>
        <w:rPr>
          <w:rFonts w:hint="default" w:ascii="Times New Roman" w:hAnsi="Times New Roman" w:eastAsia="仿宋" w:cs="Times New Roman"/>
          <w:color w:val="auto"/>
          <w:highlight w:val="none"/>
        </w:rPr>
      </w:pPr>
      <w:bookmarkStart w:id="69" w:name="_Toc15396629"/>
      <w:r>
        <w:rPr>
          <w:rStyle w:val="30"/>
          <w:rFonts w:hint="default" w:ascii="Times New Roman" w:hAnsi="Times New Roman" w:eastAsia="仿宋" w:cs="Times New Roman"/>
          <w:b w:val="0"/>
          <w:bCs w:val="0"/>
          <w:color w:val="auto"/>
          <w:highlight w:val="none"/>
        </w:rPr>
        <w:t>十一、</w:t>
      </w:r>
      <w:bookmarkEnd w:id="69"/>
      <w:r>
        <w:rPr>
          <w:rFonts w:hint="default" w:ascii="Times New Roman" w:hAnsi="Times New Roman" w:eastAsia="仿宋" w:cs="Times New Roman"/>
          <w:b w:val="0"/>
          <w:color w:val="auto"/>
          <w:highlight w:val="none"/>
        </w:rPr>
        <w:t>国</w:t>
      </w:r>
      <w:r>
        <w:rPr>
          <w:rStyle w:val="30"/>
          <w:rFonts w:hint="default" w:ascii="Times New Roman" w:hAnsi="Times New Roman" w:eastAsia="仿宋" w:cs="Times New Roman"/>
          <w:b w:val="0"/>
          <w:bCs w:val="0"/>
          <w:color w:val="auto"/>
          <w:highlight w:val="none"/>
        </w:rPr>
        <w:t>有资本经营预算</w:t>
      </w:r>
      <w:r>
        <w:rPr>
          <w:rStyle w:val="30"/>
          <w:rFonts w:hint="default" w:ascii="Times New Roman" w:hAnsi="Times New Roman" w:eastAsia="仿宋" w:cs="Times New Roman"/>
          <w:b w:val="0"/>
          <w:bCs w:val="0"/>
          <w:color w:val="auto"/>
          <w:highlight w:val="none"/>
          <w:lang w:eastAsia="zh-CN"/>
        </w:rPr>
        <w:t>财政拨款收入</w:t>
      </w:r>
      <w:r>
        <w:rPr>
          <w:rStyle w:val="30"/>
          <w:rFonts w:hint="default" w:ascii="Times New Roman" w:hAnsi="Times New Roman" w:eastAsia="仿宋" w:cs="Times New Roman"/>
          <w:b w:val="0"/>
          <w:bCs w:val="0"/>
          <w:color w:val="auto"/>
          <w:highlight w:val="none"/>
        </w:rPr>
        <w:t>支出决算表</w:t>
      </w:r>
    </w:p>
    <w:p>
      <w:pPr>
        <w:pStyle w:val="3"/>
        <w:rPr>
          <w:rFonts w:hint="default" w:ascii="Times New Roman" w:hAnsi="Times New Roman" w:eastAsia="仿宋" w:cs="Times New Roman"/>
          <w:color w:val="auto"/>
          <w:highlight w:val="none"/>
        </w:rPr>
      </w:pPr>
      <w:bookmarkStart w:id="70" w:name="_Toc15396630"/>
      <w:r>
        <w:rPr>
          <w:rStyle w:val="30"/>
          <w:rFonts w:hint="default" w:ascii="Times New Roman" w:hAnsi="Times New Roman" w:eastAsia="仿宋" w:cs="Times New Roman"/>
          <w:b w:val="0"/>
          <w:bCs w:val="0"/>
          <w:color w:val="auto"/>
          <w:highlight w:val="none"/>
        </w:rPr>
        <w:t>十二、</w:t>
      </w:r>
      <w:bookmarkEnd w:id="70"/>
      <w:r>
        <w:rPr>
          <w:rStyle w:val="30"/>
          <w:rFonts w:hint="default" w:ascii="Times New Roman" w:hAnsi="Times New Roman" w:eastAsia="仿宋" w:cs="Times New Roman"/>
          <w:b w:val="0"/>
          <w:bCs w:val="0"/>
          <w:color w:val="auto"/>
          <w:highlight w:val="none"/>
          <w:lang w:eastAsia="zh-CN"/>
        </w:rPr>
        <w:t>国有资本经营预算财政拨款支出决算表</w:t>
      </w:r>
    </w:p>
    <w:p>
      <w:pPr>
        <w:pStyle w:val="3"/>
        <w:rPr>
          <w:rFonts w:hint="default" w:ascii="Times New Roman" w:hAnsi="Times New Roman" w:eastAsia="仿宋" w:cs="Times New Roman"/>
          <w:color w:val="auto"/>
          <w:highlight w:val="none"/>
          <w:lang w:eastAsia="zh-CN"/>
        </w:rPr>
      </w:pPr>
      <w:bookmarkStart w:id="71" w:name="_Toc15396631"/>
      <w:r>
        <w:rPr>
          <w:rStyle w:val="30"/>
          <w:rFonts w:hint="default" w:ascii="Times New Roman" w:hAnsi="Times New Roman" w:eastAsia="仿宋" w:cs="Times New Roman"/>
          <w:b w:val="0"/>
          <w:bCs w:val="0"/>
          <w:color w:val="auto"/>
          <w:highlight w:val="none"/>
        </w:rPr>
        <w:t>十三、</w:t>
      </w:r>
      <w:bookmarkEnd w:id="71"/>
      <w:r>
        <w:rPr>
          <w:rStyle w:val="30"/>
          <w:rFonts w:hint="default" w:ascii="Times New Roman" w:hAnsi="Times New Roman" w:eastAsia="仿宋" w:cs="Times New Roman"/>
          <w:b w:val="0"/>
          <w:bCs w:val="0"/>
          <w:color w:val="auto"/>
          <w:highlight w:val="none"/>
          <w:lang w:eastAsia="zh-CN"/>
        </w:rPr>
        <w:t>财政拨款“三公”经费支出决算表</w:t>
      </w:r>
    </w:p>
    <w:sectPr>
      <w:footerReference r:id="rId7" w:type="first"/>
      <w:footerReference r:id="rId6" w:type="default"/>
      <w:pgSz w:w="11906" w:h="16838"/>
      <w:pgMar w:top="1440" w:right="1486" w:bottom="1440" w:left="1800" w:header="851" w:footer="992" w:gutter="0"/>
      <w:pgNumType w:fmt="decimal" w:start="24"/>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keepNext w:val="0"/>
                            <w:keepLines w:val="0"/>
                            <w:pageBreakBefore w:val="0"/>
                            <w:widowControl w:val="0"/>
                            <w:kinsoku/>
                            <w:wordWrap/>
                            <w:overflowPunct/>
                            <w:topLinePunct w:val="0"/>
                            <w:bidi w:val="0"/>
                            <w:adjustRightInd/>
                            <w:snapToGrid w:val="0"/>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66.75pt;margin-top:769.9pt;height:144pt;width:144pt;mso-position-horizontal-relative:page;mso-position-vertical-relative:page;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keepNext w:val="0"/>
                      <w:keepLines w:val="0"/>
                      <w:pageBreakBefore w:val="0"/>
                      <w:widowControl w:val="0"/>
                      <w:kinsoku/>
                      <w:wordWrap/>
                      <w:overflowPunct/>
                      <w:topLinePunct w:val="0"/>
                      <w:bidi w:val="0"/>
                      <w:adjustRightInd/>
                      <w:snapToGrid w:val="0"/>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top</wp:align>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82.3pt;margin-top:769.9pt;height:144pt;width:144pt;mso-position-horizontal-relative:page;mso-position-vertical-relative:page;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top</wp:align>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keepNext w:val="0"/>
                            <w:keepLines w:val="0"/>
                            <w:pageBreakBefore w:val="0"/>
                            <w:widowControl w:val="0"/>
                            <w:kinsoku/>
                            <w:wordWrap/>
                            <w:overflowPunct/>
                            <w:topLinePunct w:val="0"/>
                            <w:bidi w:val="0"/>
                            <w:adjustRightInd/>
                            <w:snapToGrid w:val="0"/>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77.25pt;margin-top:769.9pt;height:144pt;width:144pt;mso-position-horizontal-relative:page;mso-position-vertical-relative:page;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keepNext w:val="0"/>
                      <w:keepLines w:val="0"/>
                      <w:pageBreakBefore w:val="0"/>
                      <w:widowControl w:val="0"/>
                      <w:kinsoku/>
                      <w:wordWrap/>
                      <w:overflowPunct/>
                      <w:topLinePunct w:val="0"/>
                      <w:bidi w:val="0"/>
                      <w:adjustRightInd/>
                      <w:snapToGrid w:val="0"/>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bottomMargin">
                <wp:align>top</wp:align>
              </wp:positionV>
              <wp:extent cx="768350" cy="21336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68350" cy="213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75.25pt;margin-top:769.9pt;height:16.8pt;width:60.5pt;mso-position-horizontal-relative:page;mso-position-vertical-relative:page;z-index:251662336;mso-width-relative:page;mso-height-relative:page;" filled="f" stroked="f" coordsize="21600,21600" o:gfxdata="UEsDBAoAAAAAAIdO4kAAAAAAAAAAAAAAAAAEAAAAZHJzL1BLAwQUAAAACACHTuJA0kl+1NMAAAAE&#10;AQAADwAAAGRycy9kb3ducmV2LnhtbE2PS0/DMBCE70j8B2uRuFE7rVShEKcHHjeeBSS4OfGSRNjr&#10;yN6k5d/jcimXkUazmvm22uy9EzPGNATSUCwUCKQ22IE6DW+vdxeXIBIbssYFQg0/mGBTn55UprRh&#10;Ry84b7kTuYRSaTT0zGMpZWp79CYtwoiUs68QveFsYydtNLtc7p1cKrWW3gyUF3oz4nWP7fd28hrc&#10;R4r3jeLP+aZ74OcnOb3fFo9an58V6goE456Px3DAz+hQZ6YmTGSTcBryI/ynh2xZZNtoWK3WIOtK&#10;/oevfwFQSwMEFAAAAAgAh07iQBfu+nE1AgAAYwQAAA4AAABkcnMvZTJvRG9jLnhtbK1UwW4TMRC9&#10;I/EPlu90k0aEKuqmCo2KkCpaqSDOjtebtWR7jO10t3wA/AEnLtz5rnwHz7vZFgqHHrg4szPjN/Pe&#10;jHN61lnDblWImlzJp0cTzpSTVGm3LfmH9xcvTjiLSbhKGHKq5Hcq8rPl82enrV+oY2rIVCowgLi4&#10;aH3Jm5T8oiiibJQV8Yi8cgjWFKxI+AzbogqiBbo1xfFkMi9aCpUPJFWM8K6HID8ghqcAUl1rqdYk&#10;d1a5NKAGZUQCpdhoH/my77aulUxXdR1VYqbkYJr6E0Vgb/JZLE/FYhuEb7Q8tCCe0sIjTlZoh6L3&#10;UGuRBNsF/ReU1TJQpDodSbLFQKRXBCymk0fa3DTCq54LpI7+XvT4/2Dlu9vrwHSFTZhy5oTFxPff&#10;vu6//9z/+MLgg0Ctjwvk3Xhkpu41dUge/RHOzLurg82/YMQQh7x39/KqLjEJ56v5yewlIhKh4+ls&#10;Nu/lLx4u+xDTG0WWZaPkAdPrRRW3lzGhEaSOKbmWowttTD9B41hb8nmG/yOCG8bhYqYwtJqt1G26&#10;A68NVXegFWjYjOjlhUbxSxHTtQhYBfSLx5KucNSGUIQOFmcNhc//8ud8TAhRzlqsVsnjp50IijPz&#10;1mF2gEyjEUZjMxpuZ88J24pxoJvexIWQzGjWgexHvKFVroKQcBK1Sp5G8zwNC443KNVq1SftfNDb&#10;ZriAzfMiXbobL3OZQbDVLlGte5WzRIMuB+Wwe734h3eSl/v37z7r4b9h+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SSX7U0wAAAAQBAAAPAAAAAAAAAAEAIAAAACIAAABkcnMvZG93bnJldi54bWxQ&#10;SwECFAAUAAAACACHTuJAF+76cTUCAABjBAAADgAAAAAAAAABACAAAAAiAQAAZHJzL2Uyb0RvYy54&#10;bWxQSwUGAAAAAAYABgBZAQAAyQUAAAAA&#10;">
              <v:fill on="f" focussize="0,0"/>
              <v:stroke on="f" weight="0.5pt"/>
              <v:imagedata o:title=""/>
              <o:lock v:ext="edit" aspectratio="f"/>
              <v:textbox inset="0mm,0mm,0mm,0mm">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0ZjA5OThhYmY5NzZhMTRjNGJmMDQ5YzExMTJlMzMifQ=="/>
  </w:docVars>
  <w:rsids>
    <w:rsidRoot w:val="00F1361C"/>
    <w:rsid w:val="000222C6"/>
    <w:rsid w:val="0002549F"/>
    <w:rsid w:val="0002561E"/>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5F481F"/>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00A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0A1D"/>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388D"/>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26D9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269"/>
    <w:rsid w:val="00DF34B9"/>
    <w:rsid w:val="00E01053"/>
    <w:rsid w:val="00E07ACF"/>
    <w:rsid w:val="00E20949"/>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86C64"/>
    <w:rsid w:val="012D0479"/>
    <w:rsid w:val="015975B8"/>
    <w:rsid w:val="017716F4"/>
    <w:rsid w:val="02143E91"/>
    <w:rsid w:val="023B0973"/>
    <w:rsid w:val="02551A35"/>
    <w:rsid w:val="026E6F9B"/>
    <w:rsid w:val="02781BC8"/>
    <w:rsid w:val="027C16B8"/>
    <w:rsid w:val="029F7154"/>
    <w:rsid w:val="02A93B2F"/>
    <w:rsid w:val="02AD361F"/>
    <w:rsid w:val="02B47C8B"/>
    <w:rsid w:val="02BD75DA"/>
    <w:rsid w:val="031E451D"/>
    <w:rsid w:val="03257B30"/>
    <w:rsid w:val="03553C8C"/>
    <w:rsid w:val="03DA15F5"/>
    <w:rsid w:val="03DD1B79"/>
    <w:rsid w:val="03F67248"/>
    <w:rsid w:val="040C0819"/>
    <w:rsid w:val="043D4E77"/>
    <w:rsid w:val="043F474B"/>
    <w:rsid w:val="048900BC"/>
    <w:rsid w:val="049251C3"/>
    <w:rsid w:val="04A42800"/>
    <w:rsid w:val="04D806FC"/>
    <w:rsid w:val="056A1C9B"/>
    <w:rsid w:val="059960DD"/>
    <w:rsid w:val="059B1E55"/>
    <w:rsid w:val="05A47FEE"/>
    <w:rsid w:val="060A6FDB"/>
    <w:rsid w:val="06190FCC"/>
    <w:rsid w:val="061E65E2"/>
    <w:rsid w:val="062C0CFF"/>
    <w:rsid w:val="064A5629"/>
    <w:rsid w:val="066E0107"/>
    <w:rsid w:val="068154EF"/>
    <w:rsid w:val="069A65B0"/>
    <w:rsid w:val="06AB60C8"/>
    <w:rsid w:val="06B917F9"/>
    <w:rsid w:val="06C21663"/>
    <w:rsid w:val="06D27AF8"/>
    <w:rsid w:val="070B3997"/>
    <w:rsid w:val="070E6657"/>
    <w:rsid w:val="071F6AB6"/>
    <w:rsid w:val="0757624F"/>
    <w:rsid w:val="07996F6E"/>
    <w:rsid w:val="07A92999"/>
    <w:rsid w:val="07B23486"/>
    <w:rsid w:val="07C66F31"/>
    <w:rsid w:val="07D478A0"/>
    <w:rsid w:val="07FC2953"/>
    <w:rsid w:val="08080695"/>
    <w:rsid w:val="08BF22FE"/>
    <w:rsid w:val="08C07E24"/>
    <w:rsid w:val="08CC0577"/>
    <w:rsid w:val="08DA7138"/>
    <w:rsid w:val="08FD4BD5"/>
    <w:rsid w:val="090441B5"/>
    <w:rsid w:val="094B3B92"/>
    <w:rsid w:val="09570789"/>
    <w:rsid w:val="098175B4"/>
    <w:rsid w:val="09A137B2"/>
    <w:rsid w:val="09ED69F7"/>
    <w:rsid w:val="0A195A3E"/>
    <w:rsid w:val="0A2032A3"/>
    <w:rsid w:val="0A4505E1"/>
    <w:rsid w:val="0A8F3F52"/>
    <w:rsid w:val="0AAC240E"/>
    <w:rsid w:val="0B064214"/>
    <w:rsid w:val="0B0D2543"/>
    <w:rsid w:val="0B26148B"/>
    <w:rsid w:val="0B416FFB"/>
    <w:rsid w:val="0B725406"/>
    <w:rsid w:val="0B7F3FC7"/>
    <w:rsid w:val="0B852C60"/>
    <w:rsid w:val="0BAA1044"/>
    <w:rsid w:val="0BC639A4"/>
    <w:rsid w:val="0C230DF6"/>
    <w:rsid w:val="0C9413AC"/>
    <w:rsid w:val="0C965124"/>
    <w:rsid w:val="0CB8153E"/>
    <w:rsid w:val="0CC46135"/>
    <w:rsid w:val="0D091D9A"/>
    <w:rsid w:val="0DDD6D83"/>
    <w:rsid w:val="0DF30354"/>
    <w:rsid w:val="0E032C8D"/>
    <w:rsid w:val="0E1E7AC7"/>
    <w:rsid w:val="0E7019A5"/>
    <w:rsid w:val="0EAA135B"/>
    <w:rsid w:val="0F052A35"/>
    <w:rsid w:val="0F061822"/>
    <w:rsid w:val="0F2F360E"/>
    <w:rsid w:val="0F39623B"/>
    <w:rsid w:val="0F470958"/>
    <w:rsid w:val="0F625791"/>
    <w:rsid w:val="0F791E82"/>
    <w:rsid w:val="0F98263C"/>
    <w:rsid w:val="0FD541B5"/>
    <w:rsid w:val="10067F4A"/>
    <w:rsid w:val="100E76C7"/>
    <w:rsid w:val="101860EC"/>
    <w:rsid w:val="102D3FF1"/>
    <w:rsid w:val="10303AE2"/>
    <w:rsid w:val="1045758D"/>
    <w:rsid w:val="10596B94"/>
    <w:rsid w:val="10703EDE"/>
    <w:rsid w:val="107838CD"/>
    <w:rsid w:val="10881228"/>
    <w:rsid w:val="10BB784F"/>
    <w:rsid w:val="10BF041C"/>
    <w:rsid w:val="10C055FF"/>
    <w:rsid w:val="10D4446D"/>
    <w:rsid w:val="10ED3781"/>
    <w:rsid w:val="10FB40F0"/>
    <w:rsid w:val="110034B4"/>
    <w:rsid w:val="11124F95"/>
    <w:rsid w:val="118107EC"/>
    <w:rsid w:val="11875983"/>
    <w:rsid w:val="119D51A7"/>
    <w:rsid w:val="11AF4B82"/>
    <w:rsid w:val="11B20C52"/>
    <w:rsid w:val="11C91AF8"/>
    <w:rsid w:val="11DF131B"/>
    <w:rsid w:val="11E76422"/>
    <w:rsid w:val="11EB7CC0"/>
    <w:rsid w:val="12103BCB"/>
    <w:rsid w:val="12415B32"/>
    <w:rsid w:val="12527D3F"/>
    <w:rsid w:val="12535865"/>
    <w:rsid w:val="127203E1"/>
    <w:rsid w:val="12BB3B36"/>
    <w:rsid w:val="12F901BB"/>
    <w:rsid w:val="12FC5EFD"/>
    <w:rsid w:val="13373D29"/>
    <w:rsid w:val="136A10B9"/>
    <w:rsid w:val="13702B73"/>
    <w:rsid w:val="13AC16D1"/>
    <w:rsid w:val="13B10A95"/>
    <w:rsid w:val="13B30CB1"/>
    <w:rsid w:val="13D50BC4"/>
    <w:rsid w:val="13FC4407"/>
    <w:rsid w:val="141C6857"/>
    <w:rsid w:val="145204CA"/>
    <w:rsid w:val="14535FF1"/>
    <w:rsid w:val="146B50E8"/>
    <w:rsid w:val="147026FF"/>
    <w:rsid w:val="147C72F5"/>
    <w:rsid w:val="14922675"/>
    <w:rsid w:val="14A14FAE"/>
    <w:rsid w:val="14B06F9F"/>
    <w:rsid w:val="15512530"/>
    <w:rsid w:val="15593193"/>
    <w:rsid w:val="15A30C01"/>
    <w:rsid w:val="15DD5B72"/>
    <w:rsid w:val="15E338E5"/>
    <w:rsid w:val="15F64E85"/>
    <w:rsid w:val="15FD6214"/>
    <w:rsid w:val="1609105D"/>
    <w:rsid w:val="16573B76"/>
    <w:rsid w:val="165A5414"/>
    <w:rsid w:val="16B07BAF"/>
    <w:rsid w:val="16B25250"/>
    <w:rsid w:val="16BB723D"/>
    <w:rsid w:val="16E41182"/>
    <w:rsid w:val="16ED0036"/>
    <w:rsid w:val="16F72C63"/>
    <w:rsid w:val="16F92E7F"/>
    <w:rsid w:val="17237EFC"/>
    <w:rsid w:val="17345881"/>
    <w:rsid w:val="1750188B"/>
    <w:rsid w:val="17E21B65"/>
    <w:rsid w:val="17EC4792"/>
    <w:rsid w:val="17EC7880"/>
    <w:rsid w:val="18023FB5"/>
    <w:rsid w:val="182201B4"/>
    <w:rsid w:val="18495740"/>
    <w:rsid w:val="185C36C6"/>
    <w:rsid w:val="185F6D12"/>
    <w:rsid w:val="187529D9"/>
    <w:rsid w:val="187D363C"/>
    <w:rsid w:val="18AE1A47"/>
    <w:rsid w:val="18DC0363"/>
    <w:rsid w:val="1910625E"/>
    <w:rsid w:val="19410B0E"/>
    <w:rsid w:val="19832ED4"/>
    <w:rsid w:val="199E1ABC"/>
    <w:rsid w:val="19A60971"/>
    <w:rsid w:val="19AC242B"/>
    <w:rsid w:val="19D76D7C"/>
    <w:rsid w:val="19F31E08"/>
    <w:rsid w:val="1A1D50D7"/>
    <w:rsid w:val="1A330456"/>
    <w:rsid w:val="1A70129E"/>
    <w:rsid w:val="1A864A2A"/>
    <w:rsid w:val="1A952EBF"/>
    <w:rsid w:val="1AC75042"/>
    <w:rsid w:val="1ADF05DE"/>
    <w:rsid w:val="1B027E29"/>
    <w:rsid w:val="1B065B6B"/>
    <w:rsid w:val="1B124510"/>
    <w:rsid w:val="1B18764C"/>
    <w:rsid w:val="1BE8440E"/>
    <w:rsid w:val="1BFC1A3F"/>
    <w:rsid w:val="1C00080C"/>
    <w:rsid w:val="1C4C3A51"/>
    <w:rsid w:val="1C6074FD"/>
    <w:rsid w:val="1C67088B"/>
    <w:rsid w:val="1C6C2C10"/>
    <w:rsid w:val="1C7B60E4"/>
    <w:rsid w:val="1CDA2E0B"/>
    <w:rsid w:val="1D077978"/>
    <w:rsid w:val="1D155CEE"/>
    <w:rsid w:val="1D4F1A4B"/>
    <w:rsid w:val="1D84721B"/>
    <w:rsid w:val="1DBC4C07"/>
    <w:rsid w:val="1DC51D0D"/>
    <w:rsid w:val="1DF47EFC"/>
    <w:rsid w:val="1DFC5003"/>
    <w:rsid w:val="1E827BFE"/>
    <w:rsid w:val="1ECE2E43"/>
    <w:rsid w:val="1F185E6D"/>
    <w:rsid w:val="1FB060A5"/>
    <w:rsid w:val="1FD2426D"/>
    <w:rsid w:val="1FF35744"/>
    <w:rsid w:val="1FF71F26"/>
    <w:rsid w:val="1FFB74E5"/>
    <w:rsid w:val="20370574"/>
    <w:rsid w:val="20B16579"/>
    <w:rsid w:val="20BD316F"/>
    <w:rsid w:val="20C444FE"/>
    <w:rsid w:val="20DD111C"/>
    <w:rsid w:val="20EE3329"/>
    <w:rsid w:val="20EF0E4F"/>
    <w:rsid w:val="2120725A"/>
    <w:rsid w:val="214B42D7"/>
    <w:rsid w:val="214C004F"/>
    <w:rsid w:val="214C62A1"/>
    <w:rsid w:val="21521B0A"/>
    <w:rsid w:val="21BC3427"/>
    <w:rsid w:val="21EE1107"/>
    <w:rsid w:val="221C5C74"/>
    <w:rsid w:val="221F7512"/>
    <w:rsid w:val="22590C76"/>
    <w:rsid w:val="22AD4B1E"/>
    <w:rsid w:val="22BD2FB3"/>
    <w:rsid w:val="22D221CB"/>
    <w:rsid w:val="22F1787E"/>
    <w:rsid w:val="22FF7A6F"/>
    <w:rsid w:val="231132FF"/>
    <w:rsid w:val="23353491"/>
    <w:rsid w:val="23860B96"/>
    <w:rsid w:val="23963804"/>
    <w:rsid w:val="23B95E70"/>
    <w:rsid w:val="23C245F9"/>
    <w:rsid w:val="23D34A58"/>
    <w:rsid w:val="240371BF"/>
    <w:rsid w:val="241C01AD"/>
    <w:rsid w:val="24532D12"/>
    <w:rsid w:val="24925E82"/>
    <w:rsid w:val="24967F5F"/>
    <w:rsid w:val="249B5576"/>
    <w:rsid w:val="24C06D8A"/>
    <w:rsid w:val="24C20D54"/>
    <w:rsid w:val="24CC1BD3"/>
    <w:rsid w:val="250273A3"/>
    <w:rsid w:val="25203CCD"/>
    <w:rsid w:val="252E0198"/>
    <w:rsid w:val="25476CD1"/>
    <w:rsid w:val="255120D8"/>
    <w:rsid w:val="255C2942"/>
    <w:rsid w:val="258B383C"/>
    <w:rsid w:val="25AB3597"/>
    <w:rsid w:val="25B20DC9"/>
    <w:rsid w:val="25D32AED"/>
    <w:rsid w:val="25FA451E"/>
    <w:rsid w:val="260A4BA1"/>
    <w:rsid w:val="26170C2C"/>
    <w:rsid w:val="26211AAB"/>
    <w:rsid w:val="263A0DBE"/>
    <w:rsid w:val="26A34BB6"/>
    <w:rsid w:val="26AF5308"/>
    <w:rsid w:val="27070CA1"/>
    <w:rsid w:val="270C275B"/>
    <w:rsid w:val="271819FB"/>
    <w:rsid w:val="27260CC1"/>
    <w:rsid w:val="27483067"/>
    <w:rsid w:val="27513C7C"/>
    <w:rsid w:val="27F154AD"/>
    <w:rsid w:val="28164F13"/>
    <w:rsid w:val="288051AE"/>
    <w:rsid w:val="288822B5"/>
    <w:rsid w:val="28CC797B"/>
    <w:rsid w:val="28D948BF"/>
    <w:rsid w:val="28ED036A"/>
    <w:rsid w:val="290F02E0"/>
    <w:rsid w:val="2920429C"/>
    <w:rsid w:val="2920604A"/>
    <w:rsid w:val="29312005"/>
    <w:rsid w:val="2936586D"/>
    <w:rsid w:val="29567CBD"/>
    <w:rsid w:val="29656152"/>
    <w:rsid w:val="296F6939"/>
    <w:rsid w:val="29852351"/>
    <w:rsid w:val="29D11A3A"/>
    <w:rsid w:val="29FD04D3"/>
    <w:rsid w:val="2A094D30"/>
    <w:rsid w:val="2A44220C"/>
    <w:rsid w:val="2A571F3F"/>
    <w:rsid w:val="2A9E7B6E"/>
    <w:rsid w:val="2AB0164F"/>
    <w:rsid w:val="2AD73080"/>
    <w:rsid w:val="2B02634F"/>
    <w:rsid w:val="2B0A0D5F"/>
    <w:rsid w:val="2B1971F4"/>
    <w:rsid w:val="2B6C669C"/>
    <w:rsid w:val="2BF81500"/>
    <w:rsid w:val="2C155C0E"/>
    <w:rsid w:val="2C5F7BAE"/>
    <w:rsid w:val="2C8114F5"/>
    <w:rsid w:val="2C815051"/>
    <w:rsid w:val="2C83526D"/>
    <w:rsid w:val="2C8A61B5"/>
    <w:rsid w:val="2CA174A1"/>
    <w:rsid w:val="2CC3566A"/>
    <w:rsid w:val="2CD77367"/>
    <w:rsid w:val="2CDD4252"/>
    <w:rsid w:val="2D241E80"/>
    <w:rsid w:val="2DEA4E78"/>
    <w:rsid w:val="2DF04E50"/>
    <w:rsid w:val="2E114AFB"/>
    <w:rsid w:val="2E1819E5"/>
    <w:rsid w:val="2E4C78E1"/>
    <w:rsid w:val="2E5549E7"/>
    <w:rsid w:val="2E620EB2"/>
    <w:rsid w:val="2EA94D33"/>
    <w:rsid w:val="2F040D46"/>
    <w:rsid w:val="2F1C72B3"/>
    <w:rsid w:val="2F2B74F6"/>
    <w:rsid w:val="2F631386"/>
    <w:rsid w:val="2F8D7364"/>
    <w:rsid w:val="301306B6"/>
    <w:rsid w:val="303A20E7"/>
    <w:rsid w:val="304C5976"/>
    <w:rsid w:val="30FF0C3A"/>
    <w:rsid w:val="31096990"/>
    <w:rsid w:val="311B77D4"/>
    <w:rsid w:val="312A215B"/>
    <w:rsid w:val="317038E6"/>
    <w:rsid w:val="31745184"/>
    <w:rsid w:val="319475D5"/>
    <w:rsid w:val="319E48F7"/>
    <w:rsid w:val="319F7F4E"/>
    <w:rsid w:val="31AF08B2"/>
    <w:rsid w:val="31B47C77"/>
    <w:rsid w:val="31F42769"/>
    <w:rsid w:val="321815D1"/>
    <w:rsid w:val="32317519"/>
    <w:rsid w:val="32546D64"/>
    <w:rsid w:val="32562ADC"/>
    <w:rsid w:val="32C36DD3"/>
    <w:rsid w:val="32E75E2A"/>
    <w:rsid w:val="3304709D"/>
    <w:rsid w:val="33072028"/>
    <w:rsid w:val="3310254A"/>
    <w:rsid w:val="331C3D26"/>
    <w:rsid w:val="33454487"/>
    <w:rsid w:val="33704071"/>
    <w:rsid w:val="33792F26"/>
    <w:rsid w:val="338418CB"/>
    <w:rsid w:val="33857B1D"/>
    <w:rsid w:val="3390201E"/>
    <w:rsid w:val="339A10EE"/>
    <w:rsid w:val="339E0DDD"/>
    <w:rsid w:val="33BB353F"/>
    <w:rsid w:val="33EA3E24"/>
    <w:rsid w:val="341E7629"/>
    <w:rsid w:val="34272982"/>
    <w:rsid w:val="343E1A7A"/>
    <w:rsid w:val="347E631A"/>
    <w:rsid w:val="34A35D81"/>
    <w:rsid w:val="34B61F58"/>
    <w:rsid w:val="34F32864"/>
    <w:rsid w:val="350E3B42"/>
    <w:rsid w:val="35131158"/>
    <w:rsid w:val="352073D1"/>
    <w:rsid w:val="355359F9"/>
    <w:rsid w:val="35577297"/>
    <w:rsid w:val="35633E8E"/>
    <w:rsid w:val="3600792F"/>
    <w:rsid w:val="36203B2D"/>
    <w:rsid w:val="362C0724"/>
    <w:rsid w:val="3652180C"/>
    <w:rsid w:val="366A124C"/>
    <w:rsid w:val="36962041"/>
    <w:rsid w:val="36AA5135"/>
    <w:rsid w:val="371B42F4"/>
    <w:rsid w:val="376D39B2"/>
    <w:rsid w:val="37773C20"/>
    <w:rsid w:val="37D921E5"/>
    <w:rsid w:val="37E16F03"/>
    <w:rsid w:val="38044D88"/>
    <w:rsid w:val="38066D52"/>
    <w:rsid w:val="380D00E1"/>
    <w:rsid w:val="382D2531"/>
    <w:rsid w:val="3842549E"/>
    <w:rsid w:val="38575800"/>
    <w:rsid w:val="385950D4"/>
    <w:rsid w:val="386A68D5"/>
    <w:rsid w:val="38763ED8"/>
    <w:rsid w:val="38A02D03"/>
    <w:rsid w:val="38B13162"/>
    <w:rsid w:val="38D469F0"/>
    <w:rsid w:val="391E1E7A"/>
    <w:rsid w:val="39447B32"/>
    <w:rsid w:val="396A50BF"/>
    <w:rsid w:val="39846F28"/>
    <w:rsid w:val="39912B88"/>
    <w:rsid w:val="39A55C08"/>
    <w:rsid w:val="39CB3DB0"/>
    <w:rsid w:val="3A2C2B3E"/>
    <w:rsid w:val="3A5F274A"/>
    <w:rsid w:val="3A791A5E"/>
    <w:rsid w:val="3ACA22B9"/>
    <w:rsid w:val="3ACE7FFB"/>
    <w:rsid w:val="3B273268"/>
    <w:rsid w:val="3B4F27BE"/>
    <w:rsid w:val="3B5D5B82"/>
    <w:rsid w:val="3B60677A"/>
    <w:rsid w:val="3B6B3A9C"/>
    <w:rsid w:val="3BA7084C"/>
    <w:rsid w:val="3BB54D17"/>
    <w:rsid w:val="3BDC1195"/>
    <w:rsid w:val="3C153A08"/>
    <w:rsid w:val="3C37397E"/>
    <w:rsid w:val="3C4B19ED"/>
    <w:rsid w:val="3C6978B0"/>
    <w:rsid w:val="3C6B7ACC"/>
    <w:rsid w:val="3C722C08"/>
    <w:rsid w:val="3C9708C1"/>
    <w:rsid w:val="3CED228F"/>
    <w:rsid w:val="3CED6733"/>
    <w:rsid w:val="3CFD6976"/>
    <w:rsid w:val="3D332398"/>
    <w:rsid w:val="3D3B56F0"/>
    <w:rsid w:val="3D595B76"/>
    <w:rsid w:val="3D654F9D"/>
    <w:rsid w:val="3D6562C9"/>
    <w:rsid w:val="3D714C6E"/>
    <w:rsid w:val="3D8A5D30"/>
    <w:rsid w:val="3D98207C"/>
    <w:rsid w:val="3DA46DF1"/>
    <w:rsid w:val="3DAB63D2"/>
    <w:rsid w:val="3DE713D4"/>
    <w:rsid w:val="3DF8538F"/>
    <w:rsid w:val="3E0D0E3B"/>
    <w:rsid w:val="3E2919ED"/>
    <w:rsid w:val="3E416D36"/>
    <w:rsid w:val="3E5325C6"/>
    <w:rsid w:val="3E5E3444"/>
    <w:rsid w:val="3E612F34"/>
    <w:rsid w:val="3E650498"/>
    <w:rsid w:val="3E6E2F0C"/>
    <w:rsid w:val="3E78745D"/>
    <w:rsid w:val="3E7F160D"/>
    <w:rsid w:val="3EC51715"/>
    <w:rsid w:val="3ECF7E9E"/>
    <w:rsid w:val="3EEA4CD8"/>
    <w:rsid w:val="3F19736B"/>
    <w:rsid w:val="3F2226C4"/>
    <w:rsid w:val="3F2D72BA"/>
    <w:rsid w:val="3F367F1D"/>
    <w:rsid w:val="3F6F1681"/>
    <w:rsid w:val="3F786788"/>
    <w:rsid w:val="3FC1012F"/>
    <w:rsid w:val="3FCB2D5B"/>
    <w:rsid w:val="3FCE7DED"/>
    <w:rsid w:val="3FD140EA"/>
    <w:rsid w:val="3FD61700"/>
    <w:rsid w:val="401D2E8B"/>
    <w:rsid w:val="40381A73"/>
    <w:rsid w:val="40664832"/>
    <w:rsid w:val="406C796F"/>
    <w:rsid w:val="40B01F51"/>
    <w:rsid w:val="40BB2DD0"/>
    <w:rsid w:val="40D75730"/>
    <w:rsid w:val="40E55CFB"/>
    <w:rsid w:val="40FA4E7B"/>
    <w:rsid w:val="41195D48"/>
    <w:rsid w:val="41264B4B"/>
    <w:rsid w:val="413C5593"/>
    <w:rsid w:val="4140047A"/>
    <w:rsid w:val="41C37A62"/>
    <w:rsid w:val="41D66F27"/>
    <w:rsid w:val="41F06AA9"/>
    <w:rsid w:val="41F30347"/>
    <w:rsid w:val="41F8595E"/>
    <w:rsid w:val="41FB36A0"/>
    <w:rsid w:val="4226071D"/>
    <w:rsid w:val="42274495"/>
    <w:rsid w:val="42AB29D0"/>
    <w:rsid w:val="42B21FB1"/>
    <w:rsid w:val="42BA2C13"/>
    <w:rsid w:val="42C910A8"/>
    <w:rsid w:val="42DE2DA6"/>
    <w:rsid w:val="43100A85"/>
    <w:rsid w:val="43193DDE"/>
    <w:rsid w:val="43291B47"/>
    <w:rsid w:val="432B1D63"/>
    <w:rsid w:val="4335673E"/>
    <w:rsid w:val="434846C3"/>
    <w:rsid w:val="43866F99"/>
    <w:rsid w:val="43A22025"/>
    <w:rsid w:val="43FB34E3"/>
    <w:rsid w:val="440A7BCA"/>
    <w:rsid w:val="443A563E"/>
    <w:rsid w:val="44627A06"/>
    <w:rsid w:val="44692B43"/>
    <w:rsid w:val="448D669E"/>
    <w:rsid w:val="44A678F3"/>
    <w:rsid w:val="44A771C7"/>
    <w:rsid w:val="44CC6C2E"/>
    <w:rsid w:val="44D206E8"/>
    <w:rsid w:val="44E268DA"/>
    <w:rsid w:val="454D7DA6"/>
    <w:rsid w:val="45594965"/>
    <w:rsid w:val="456D319A"/>
    <w:rsid w:val="45857508"/>
    <w:rsid w:val="45991206"/>
    <w:rsid w:val="45C049E4"/>
    <w:rsid w:val="45DF6BAF"/>
    <w:rsid w:val="45F621B4"/>
    <w:rsid w:val="46717A8D"/>
    <w:rsid w:val="467A2DE5"/>
    <w:rsid w:val="468C3BE4"/>
    <w:rsid w:val="46D544C0"/>
    <w:rsid w:val="46DC3AA0"/>
    <w:rsid w:val="46DD3374"/>
    <w:rsid w:val="46F25071"/>
    <w:rsid w:val="47044DA5"/>
    <w:rsid w:val="47411B55"/>
    <w:rsid w:val="47486A40"/>
    <w:rsid w:val="47777325"/>
    <w:rsid w:val="47887784"/>
    <w:rsid w:val="47A143A2"/>
    <w:rsid w:val="47AB5220"/>
    <w:rsid w:val="47AF2F63"/>
    <w:rsid w:val="48345216"/>
    <w:rsid w:val="484D0086"/>
    <w:rsid w:val="488D12CD"/>
    <w:rsid w:val="48926BEB"/>
    <w:rsid w:val="48C72D96"/>
    <w:rsid w:val="48D24C1A"/>
    <w:rsid w:val="48F549A5"/>
    <w:rsid w:val="49247038"/>
    <w:rsid w:val="492E6109"/>
    <w:rsid w:val="4933371F"/>
    <w:rsid w:val="49AB21BF"/>
    <w:rsid w:val="49B74350"/>
    <w:rsid w:val="49EA64D4"/>
    <w:rsid w:val="49ED38CE"/>
    <w:rsid w:val="49FA5FEB"/>
    <w:rsid w:val="4A01737A"/>
    <w:rsid w:val="4A02381D"/>
    <w:rsid w:val="4A050C18"/>
    <w:rsid w:val="4A394D65"/>
    <w:rsid w:val="4A3D4856"/>
    <w:rsid w:val="4A437992"/>
    <w:rsid w:val="4A627F82"/>
    <w:rsid w:val="4A875AD1"/>
    <w:rsid w:val="4AB97C54"/>
    <w:rsid w:val="4B0610EB"/>
    <w:rsid w:val="4B0E749A"/>
    <w:rsid w:val="4B4F25DA"/>
    <w:rsid w:val="4B555BCF"/>
    <w:rsid w:val="4B6E4EE3"/>
    <w:rsid w:val="4B991F60"/>
    <w:rsid w:val="4B9A1834"/>
    <w:rsid w:val="4BA83F51"/>
    <w:rsid w:val="4BD42F98"/>
    <w:rsid w:val="4BE068DB"/>
    <w:rsid w:val="4C25217C"/>
    <w:rsid w:val="4C341C88"/>
    <w:rsid w:val="4C3D70F7"/>
    <w:rsid w:val="4C991AEB"/>
    <w:rsid w:val="4CA7245A"/>
    <w:rsid w:val="4CA87F80"/>
    <w:rsid w:val="4D196FC1"/>
    <w:rsid w:val="4D53613E"/>
    <w:rsid w:val="4D577224"/>
    <w:rsid w:val="4D824513"/>
    <w:rsid w:val="4D891B60"/>
    <w:rsid w:val="4DC66910"/>
    <w:rsid w:val="4DE82D2A"/>
    <w:rsid w:val="4E0833CC"/>
    <w:rsid w:val="4E104E28"/>
    <w:rsid w:val="4E3B5550"/>
    <w:rsid w:val="4E4A7541"/>
    <w:rsid w:val="4E4D7031"/>
    <w:rsid w:val="4E5C1022"/>
    <w:rsid w:val="4E9702AC"/>
    <w:rsid w:val="4EA2112B"/>
    <w:rsid w:val="4EAB630A"/>
    <w:rsid w:val="4EC512BE"/>
    <w:rsid w:val="4ECE2238"/>
    <w:rsid w:val="4EDC6BBF"/>
    <w:rsid w:val="4EE71234"/>
    <w:rsid w:val="4F4E3061"/>
    <w:rsid w:val="4F7D3946"/>
    <w:rsid w:val="4F8E16AF"/>
    <w:rsid w:val="4F974A08"/>
    <w:rsid w:val="4FED4628"/>
    <w:rsid w:val="5060129E"/>
    <w:rsid w:val="507C1E50"/>
    <w:rsid w:val="507C775A"/>
    <w:rsid w:val="508F0A57"/>
    <w:rsid w:val="50D75B0C"/>
    <w:rsid w:val="50F73284"/>
    <w:rsid w:val="513A1AEF"/>
    <w:rsid w:val="516F2DD3"/>
    <w:rsid w:val="51962A9D"/>
    <w:rsid w:val="51EE6435"/>
    <w:rsid w:val="51F021AD"/>
    <w:rsid w:val="522E717A"/>
    <w:rsid w:val="5277467D"/>
    <w:rsid w:val="5285323E"/>
    <w:rsid w:val="530F2B07"/>
    <w:rsid w:val="531620E8"/>
    <w:rsid w:val="53163E96"/>
    <w:rsid w:val="533F163E"/>
    <w:rsid w:val="535B3F9E"/>
    <w:rsid w:val="537A201C"/>
    <w:rsid w:val="537E6D0A"/>
    <w:rsid w:val="538434F5"/>
    <w:rsid w:val="538E7ED0"/>
    <w:rsid w:val="53A45945"/>
    <w:rsid w:val="53B536AF"/>
    <w:rsid w:val="540E2DBF"/>
    <w:rsid w:val="545C1D7C"/>
    <w:rsid w:val="547370C6"/>
    <w:rsid w:val="54802A0E"/>
    <w:rsid w:val="548B2661"/>
    <w:rsid w:val="54994D7E"/>
    <w:rsid w:val="54E3424B"/>
    <w:rsid w:val="55243733"/>
    <w:rsid w:val="552A3C28"/>
    <w:rsid w:val="552F7491"/>
    <w:rsid w:val="55436576"/>
    <w:rsid w:val="55674E7D"/>
    <w:rsid w:val="556F5ADF"/>
    <w:rsid w:val="55985036"/>
    <w:rsid w:val="55A41C2D"/>
    <w:rsid w:val="55C93441"/>
    <w:rsid w:val="55CC4CE0"/>
    <w:rsid w:val="55D50038"/>
    <w:rsid w:val="55FF6E63"/>
    <w:rsid w:val="564231F4"/>
    <w:rsid w:val="567A298E"/>
    <w:rsid w:val="569D042A"/>
    <w:rsid w:val="571C57F3"/>
    <w:rsid w:val="573214BA"/>
    <w:rsid w:val="573C40E7"/>
    <w:rsid w:val="576D42A0"/>
    <w:rsid w:val="579E26AC"/>
    <w:rsid w:val="57C93BCD"/>
    <w:rsid w:val="57D32355"/>
    <w:rsid w:val="57D44215"/>
    <w:rsid w:val="5814471C"/>
    <w:rsid w:val="5838665C"/>
    <w:rsid w:val="583D1EC5"/>
    <w:rsid w:val="58675193"/>
    <w:rsid w:val="58B33F35"/>
    <w:rsid w:val="592D1F39"/>
    <w:rsid w:val="593603E8"/>
    <w:rsid w:val="595E6596"/>
    <w:rsid w:val="59965D30"/>
    <w:rsid w:val="59A541C5"/>
    <w:rsid w:val="59E940B2"/>
    <w:rsid w:val="59FB2037"/>
    <w:rsid w:val="5A0C5FF2"/>
    <w:rsid w:val="5A1B3807"/>
    <w:rsid w:val="5A2C21F1"/>
    <w:rsid w:val="5A557999"/>
    <w:rsid w:val="5A584D94"/>
    <w:rsid w:val="5AD563E4"/>
    <w:rsid w:val="5ADF7263"/>
    <w:rsid w:val="5AF92295"/>
    <w:rsid w:val="5B4B48F9"/>
    <w:rsid w:val="5B6D486F"/>
    <w:rsid w:val="5B7C4AB2"/>
    <w:rsid w:val="5B8C73EB"/>
    <w:rsid w:val="5BBB382C"/>
    <w:rsid w:val="5BD743DE"/>
    <w:rsid w:val="5BE30FD5"/>
    <w:rsid w:val="5C902F0B"/>
    <w:rsid w:val="5CCC3817"/>
    <w:rsid w:val="5CD71FC4"/>
    <w:rsid w:val="5CDF179C"/>
    <w:rsid w:val="5CFC1D60"/>
    <w:rsid w:val="5D1458EA"/>
    <w:rsid w:val="5D395350"/>
    <w:rsid w:val="5D3C6BEF"/>
    <w:rsid w:val="5D4635C9"/>
    <w:rsid w:val="5D537A94"/>
    <w:rsid w:val="5D885990"/>
    <w:rsid w:val="5D997B9D"/>
    <w:rsid w:val="5D9E6F62"/>
    <w:rsid w:val="5DCF1811"/>
    <w:rsid w:val="5DD40BD5"/>
    <w:rsid w:val="5DEA21A7"/>
    <w:rsid w:val="5E005E6E"/>
    <w:rsid w:val="5E054B47"/>
    <w:rsid w:val="5E1C432A"/>
    <w:rsid w:val="5E2C27BF"/>
    <w:rsid w:val="5E4044BD"/>
    <w:rsid w:val="5E453881"/>
    <w:rsid w:val="5E8551D4"/>
    <w:rsid w:val="5EAE1426"/>
    <w:rsid w:val="5EC46E9C"/>
    <w:rsid w:val="5F257D99"/>
    <w:rsid w:val="5F2C67EF"/>
    <w:rsid w:val="5F5521EA"/>
    <w:rsid w:val="5F6179CE"/>
    <w:rsid w:val="5F7C7776"/>
    <w:rsid w:val="5F906D7E"/>
    <w:rsid w:val="5F993E84"/>
    <w:rsid w:val="5FC058B5"/>
    <w:rsid w:val="60163727"/>
    <w:rsid w:val="60200102"/>
    <w:rsid w:val="604E1113"/>
    <w:rsid w:val="604F6C39"/>
    <w:rsid w:val="6065645C"/>
    <w:rsid w:val="606F6C7A"/>
    <w:rsid w:val="6094289E"/>
    <w:rsid w:val="60B92304"/>
    <w:rsid w:val="60BB7E2A"/>
    <w:rsid w:val="60BF3DBF"/>
    <w:rsid w:val="611C2857"/>
    <w:rsid w:val="6162474A"/>
    <w:rsid w:val="61774699"/>
    <w:rsid w:val="61A91BB9"/>
    <w:rsid w:val="61BA6334"/>
    <w:rsid w:val="61C80A51"/>
    <w:rsid w:val="61E433B1"/>
    <w:rsid w:val="6204238B"/>
    <w:rsid w:val="621A4DB8"/>
    <w:rsid w:val="623C4F9B"/>
    <w:rsid w:val="624A3B5C"/>
    <w:rsid w:val="62546789"/>
    <w:rsid w:val="625B18C5"/>
    <w:rsid w:val="6280132C"/>
    <w:rsid w:val="62856942"/>
    <w:rsid w:val="62883E4D"/>
    <w:rsid w:val="62E713AB"/>
    <w:rsid w:val="62EE44E7"/>
    <w:rsid w:val="63534C92"/>
    <w:rsid w:val="639808F7"/>
    <w:rsid w:val="63984453"/>
    <w:rsid w:val="63CB65D6"/>
    <w:rsid w:val="63DF6526"/>
    <w:rsid w:val="64151F48"/>
    <w:rsid w:val="64234664"/>
    <w:rsid w:val="642B176B"/>
    <w:rsid w:val="643B7C00"/>
    <w:rsid w:val="64485E79"/>
    <w:rsid w:val="646709F5"/>
    <w:rsid w:val="64A37553"/>
    <w:rsid w:val="64AC28AC"/>
    <w:rsid w:val="64C5571C"/>
    <w:rsid w:val="650224CC"/>
    <w:rsid w:val="65130235"/>
    <w:rsid w:val="653E102A"/>
    <w:rsid w:val="65424FBE"/>
    <w:rsid w:val="6550702A"/>
    <w:rsid w:val="65982E30"/>
    <w:rsid w:val="65A417D5"/>
    <w:rsid w:val="65FA31A3"/>
    <w:rsid w:val="660109D5"/>
    <w:rsid w:val="66552ACF"/>
    <w:rsid w:val="667271DD"/>
    <w:rsid w:val="6673555F"/>
    <w:rsid w:val="66815672"/>
    <w:rsid w:val="66A852F5"/>
    <w:rsid w:val="66AC6B93"/>
    <w:rsid w:val="66AD290B"/>
    <w:rsid w:val="66DC0AFB"/>
    <w:rsid w:val="66FB5425"/>
    <w:rsid w:val="6703252B"/>
    <w:rsid w:val="67281F92"/>
    <w:rsid w:val="673E5F91"/>
    <w:rsid w:val="675E1344"/>
    <w:rsid w:val="67746F85"/>
    <w:rsid w:val="6784366C"/>
    <w:rsid w:val="678A0557"/>
    <w:rsid w:val="679B2764"/>
    <w:rsid w:val="67B10565"/>
    <w:rsid w:val="67B850C4"/>
    <w:rsid w:val="6810519A"/>
    <w:rsid w:val="681E586F"/>
    <w:rsid w:val="682D3D04"/>
    <w:rsid w:val="68330BEE"/>
    <w:rsid w:val="68BB130F"/>
    <w:rsid w:val="68EC771B"/>
    <w:rsid w:val="68EF0FB9"/>
    <w:rsid w:val="6905258B"/>
    <w:rsid w:val="69A71894"/>
    <w:rsid w:val="69FF522C"/>
    <w:rsid w:val="6A38073E"/>
    <w:rsid w:val="6A3D5D54"/>
    <w:rsid w:val="6A6652AB"/>
    <w:rsid w:val="6A8F45B1"/>
    <w:rsid w:val="6A941E18"/>
    <w:rsid w:val="6AFB1E97"/>
    <w:rsid w:val="6B792DBC"/>
    <w:rsid w:val="6B797260"/>
    <w:rsid w:val="6B87372B"/>
    <w:rsid w:val="6B8E2D0B"/>
    <w:rsid w:val="6BC009EB"/>
    <w:rsid w:val="6BCD0D7C"/>
    <w:rsid w:val="6BD46244"/>
    <w:rsid w:val="6C0E1756"/>
    <w:rsid w:val="6C223454"/>
    <w:rsid w:val="6C270A6A"/>
    <w:rsid w:val="6C4A05C8"/>
    <w:rsid w:val="6C4D6722"/>
    <w:rsid w:val="6C69186D"/>
    <w:rsid w:val="6C6B0755"/>
    <w:rsid w:val="6C9500C9"/>
    <w:rsid w:val="6CAB1E0F"/>
    <w:rsid w:val="6CBA368C"/>
    <w:rsid w:val="6CF748E0"/>
    <w:rsid w:val="6D140FEE"/>
    <w:rsid w:val="6D323B6A"/>
    <w:rsid w:val="6D396CA7"/>
    <w:rsid w:val="6D763A57"/>
    <w:rsid w:val="6D800432"/>
    <w:rsid w:val="6D851EEC"/>
    <w:rsid w:val="6DA34120"/>
    <w:rsid w:val="6E1374F8"/>
    <w:rsid w:val="6E170016"/>
    <w:rsid w:val="6E2E79AC"/>
    <w:rsid w:val="6E7004A6"/>
    <w:rsid w:val="6E753D0F"/>
    <w:rsid w:val="6E7E3605"/>
    <w:rsid w:val="6E855978"/>
    <w:rsid w:val="6E91041D"/>
    <w:rsid w:val="6EB6414C"/>
    <w:rsid w:val="6EE113A4"/>
    <w:rsid w:val="6EE90507"/>
    <w:rsid w:val="6EE964B1"/>
    <w:rsid w:val="6F1572A0"/>
    <w:rsid w:val="6F3A0AB4"/>
    <w:rsid w:val="6F3E2352"/>
    <w:rsid w:val="6FC565D0"/>
    <w:rsid w:val="6FF5CC65"/>
    <w:rsid w:val="6FF62C2D"/>
    <w:rsid w:val="703F45D4"/>
    <w:rsid w:val="706A7177"/>
    <w:rsid w:val="706B361B"/>
    <w:rsid w:val="7072674B"/>
    <w:rsid w:val="70B0102E"/>
    <w:rsid w:val="70C60851"/>
    <w:rsid w:val="70CE5958"/>
    <w:rsid w:val="71121CE9"/>
    <w:rsid w:val="71245578"/>
    <w:rsid w:val="712B4B58"/>
    <w:rsid w:val="71436346"/>
    <w:rsid w:val="715C0E4B"/>
    <w:rsid w:val="71665B90"/>
    <w:rsid w:val="71724535"/>
    <w:rsid w:val="719C28B7"/>
    <w:rsid w:val="71DC5E53"/>
    <w:rsid w:val="71DF78C7"/>
    <w:rsid w:val="71F57FBF"/>
    <w:rsid w:val="72457E9C"/>
    <w:rsid w:val="724E4FA2"/>
    <w:rsid w:val="72734D90"/>
    <w:rsid w:val="727644F9"/>
    <w:rsid w:val="72E94CCB"/>
    <w:rsid w:val="731A30D6"/>
    <w:rsid w:val="73243F55"/>
    <w:rsid w:val="73830C7C"/>
    <w:rsid w:val="73AD73D5"/>
    <w:rsid w:val="73B6EB34"/>
    <w:rsid w:val="7428537F"/>
    <w:rsid w:val="742C1313"/>
    <w:rsid w:val="744731E5"/>
    <w:rsid w:val="7460720F"/>
    <w:rsid w:val="74732A9E"/>
    <w:rsid w:val="74A013B9"/>
    <w:rsid w:val="74CB0B2C"/>
    <w:rsid w:val="74E76FE8"/>
    <w:rsid w:val="75114065"/>
    <w:rsid w:val="752C70F1"/>
    <w:rsid w:val="75306BE1"/>
    <w:rsid w:val="75556648"/>
    <w:rsid w:val="756B7C19"/>
    <w:rsid w:val="75706FDE"/>
    <w:rsid w:val="75734D20"/>
    <w:rsid w:val="75DC28C5"/>
    <w:rsid w:val="75E55C1E"/>
    <w:rsid w:val="75FA75A9"/>
    <w:rsid w:val="761D53B8"/>
    <w:rsid w:val="767825EE"/>
    <w:rsid w:val="768A40CF"/>
    <w:rsid w:val="76AA4771"/>
    <w:rsid w:val="76C07AF1"/>
    <w:rsid w:val="76E3355F"/>
    <w:rsid w:val="76F459ED"/>
    <w:rsid w:val="7706409E"/>
    <w:rsid w:val="77161E07"/>
    <w:rsid w:val="771C566F"/>
    <w:rsid w:val="772C5186"/>
    <w:rsid w:val="773A6661"/>
    <w:rsid w:val="77420E4E"/>
    <w:rsid w:val="77440722"/>
    <w:rsid w:val="777262F7"/>
    <w:rsid w:val="778769C8"/>
    <w:rsid w:val="77AF64E3"/>
    <w:rsid w:val="77BA4E88"/>
    <w:rsid w:val="77DC4DFE"/>
    <w:rsid w:val="77EB6DF0"/>
    <w:rsid w:val="782347DB"/>
    <w:rsid w:val="7832511A"/>
    <w:rsid w:val="783B7D77"/>
    <w:rsid w:val="784A620C"/>
    <w:rsid w:val="785B5D23"/>
    <w:rsid w:val="786848E4"/>
    <w:rsid w:val="78922B2F"/>
    <w:rsid w:val="78C55892"/>
    <w:rsid w:val="78CA1149"/>
    <w:rsid w:val="78D67AA0"/>
    <w:rsid w:val="78FE2B52"/>
    <w:rsid w:val="79020895"/>
    <w:rsid w:val="793A6280"/>
    <w:rsid w:val="79420C91"/>
    <w:rsid w:val="79570BE0"/>
    <w:rsid w:val="798B2638"/>
    <w:rsid w:val="798B6ADC"/>
    <w:rsid w:val="79A74F98"/>
    <w:rsid w:val="79EE5BA4"/>
    <w:rsid w:val="79F0693F"/>
    <w:rsid w:val="79FA156C"/>
    <w:rsid w:val="7A17211E"/>
    <w:rsid w:val="7A396538"/>
    <w:rsid w:val="7A894339"/>
    <w:rsid w:val="7A8F6158"/>
    <w:rsid w:val="7A97325F"/>
    <w:rsid w:val="7AB94F83"/>
    <w:rsid w:val="7AC322A6"/>
    <w:rsid w:val="7AC81A95"/>
    <w:rsid w:val="7B0A57DF"/>
    <w:rsid w:val="7B551150"/>
    <w:rsid w:val="7B744583"/>
    <w:rsid w:val="7BD1454E"/>
    <w:rsid w:val="7BE2675B"/>
    <w:rsid w:val="7BF344C5"/>
    <w:rsid w:val="7C541407"/>
    <w:rsid w:val="7C5533D1"/>
    <w:rsid w:val="7C6D36CA"/>
    <w:rsid w:val="7C921F30"/>
    <w:rsid w:val="7CB4634A"/>
    <w:rsid w:val="7CBA515F"/>
    <w:rsid w:val="7D124C44"/>
    <w:rsid w:val="7D140B97"/>
    <w:rsid w:val="7D1670C9"/>
    <w:rsid w:val="7D4274B2"/>
    <w:rsid w:val="7D44147C"/>
    <w:rsid w:val="7D474AC8"/>
    <w:rsid w:val="7D6C2781"/>
    <w:rsid w:val="7D9D6DDE"/>
    <w:rsid w:val="7EA146AC"/>
    <w:rsid w:val="7ECF1219"/>
    <w:rsid w:val="7EEF11D3"/>
    <w:rsid w:val="7EFB0260"/>
    <w:rsid w:val="7F1135E0"/>
    <w:rsid w:val="7F286B7B"/>
    <w:rsid w:val="7F3C6183"/>
    <w:rsid w:val="7F8244DD"/>
    <w:rsid w:val="7F945FBF"/>
    <w:rsid w:val="7FA30C79"/>
    <w:rsid w:val="7FB14DC3"/>
    <w:rsid w:val="7FB7269E"/>
    <w:rsid w:val="7FC96657"/>
    <w:rsid w:val="7FCC7507"/>
    <w:rsid w:val="7FE72592"/>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章标题"/>
    <w:basedOn w:val="1"/>
    <w:next w:val="19"/>
    <w:qFormat/>
    <w:uiPriority w:val="99"/>
    <w:pPr>
      <w:widowControl/>
      <w:spacing w:before="0" w:after="0" w:line="560" w:lineRule="exact"/>
      <w:ind w:right="0" w:firstLine="880" w:firstLineChars="200"/>
      <w:jc w:val="left"/>
      <w:textAlignment w:val="baseline"/>
    </w:pPr>
    <w:rPr>
      <w:color w:val="auto"/>
    </w:rPr>
  </w:style>
  <w:style w:type="paragraph" w:customStyle="1" w:styleId="19">
    <w:name w:val="节标题"/>
    <w:basedOn w:val="1"/>
    <w:next w:val="1"/>
    <w:qFormat/>
    <w:uiPriority w:val="99"/>
    <w:pPr>
      <w:widowControl/>
      <w:spacing w:line="289" w:lineRule="atLeast"/>
      <w:jc w:val="center"/>
      <w:textAlignment w:val="baseline"/>
    </w:pPr>
    <w:rPr>
      <w:color w:val="000000"/>
      <w:sz w:val="28"/>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5"/>
    <w:semiHidden/>
    <w:qFormat/>
    <w:uiPriority w:val="99"/>
    <w:rPr>
      <w:rFonts w:ascii="Times New Roman" w:hAnsi="Times New Roman"/>
      <w:sz w:val="18"/>
      <w:szCs w:val="18"/>
    </w:rPr>
  </w:style>
  <w:style w:type="character" w:customStyle="1" w:styleId="22">
    <w:name w:val="页眉 Char"/>
    <w:link w:val="10"/>
    <w:semiHidden/>
    <w:qFormat/>
    <w:locked/>
    <w:uiPriority w:val="99"/>
    <w:rPr>
      <w:sz w:val="18"/>
    </w:rPr>
  </w:style>
  <w:style w:type="character" w:customStyle="1" w:styleId="23">
    <w:name w:val="Footer Char"/>
    <w:basedOn w:val="15"/>
    <w:semiHidden/>
    <w:qFormat/>
    <w:uiPriority w:val="99"/>
    <w:rPr>
      <w:rFonts w:ascii="Times New Roman" w:hAnsi="Times New Roman"/>
      <w:sz w:val="18"/>
      <w:szCs w:val="18"/>
    </w:rPr>
  </w:style>
  <w:style w:type="character" w:customStyle="1" w:styleId="24">
    <w:name w:val="页脚 Char"/>
    <w:link w:val="9"/>
    <w:qFormat/>
    <w:locked/>
    <w:uiPriority w:val="99"/>
    <w:rPr>
      <w:sz w:val="18"/>
    </w:rPr>
  </w:style>
  <w:style w:type="character" w:customStyle="1" w:styleId="25">
    <w:name w:val="Body Text Char"/>
    <w:basedOn w:val="15"/>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5"/>
    <w:link w:val="2"/>
    <w:qFormat/>
    <w:uiPriority w:val="9"/>
    <w:rPr>
      <w:rFonts w:ascii="Times New Roman" w:hAnsi="Times New Roman"/>
      <w:b/>
      <w:bCs/>
      <w:kern w:val="44"/>
      <w:sz w:val="44"/>
      <w:szCs w:val="44"/>
    </w:rPr>
  </w:style>
  <w:style w:type="character" w:customStyle="1" w:styleId="30">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5"/>
    <w:link w:val="8"/>
    <w:semiHidden/>
    <w:qFormat/>
    <w:uiPriority w:val="99"/>
    <w:rPr>
      <w:rFonts w:ascii="Times New Roman" w:hAnsi="Times New Roman"/>
      <w:kern w:val="2"/>
      <w:sz w:val="18"/>
      <w:szCs w:val="18"/>
    </w:rPr>
  </w:style>
  <w:style w:type="character" w:customStyle="1" w:styleId="33">
    <w:name w:val="标题 3 Char"/>
    <w:basedOn w:val="15"/>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font31"/>
    <w:basedOn w:val="15"/>
    <w:qFormat/>
    <w:uiPriority w:val="0"/>
    <w:rPr>
      <w:rFonts w:hint="eastAsia" w:ascii="宋体" w:hAnsi="宋体" w:eastAsia="宋体" w:cs="宋体"/>
      <w:color w:val="000000"/>
      <w:sz w:val="28"/>
      <w:szCs w:val="28"/>
      <w:u w:val="none"/>
    </w:rPr>
  </w:style>
  <w:style w:type="character" w:customStyle="1" w:styleId="37">
    <w:name w:val="font91"/>
    <w:basedOn w:val="15"/>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2&#24180;&#20915;&#31639;&#20844;&#24320;\&#20844;&#24320;&#20316;&#19994;\2022&#24180;&#20915;&#31639;&#20844;&#24320;%20-%20&#25968;&#25454;&#21152;&#20943;.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2&#24180;&#20915;&#31639;&#20844;&#24320;\&#20844;&#24320;&#20316;&#19994;\2022&#24180;&#20915;&#31639;&#20844;&#24320;%20-%20&#25968;&#25454;&#21152;&#20943;.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2&#24180;&#20915;&#31639;&#20844;&#24320;\&#20844;&#24320;&#20316;&#19994;\2022&#24180;&#20915;&#31639;&#20844;&#24320;%20-%20&#25968;&#25454;&#21152;&#20943;.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2&#24180;&#20915;&#31639;&#20844;&#24320;\&#20844;&#24320;&#20316;&#19994;\2022&#24180;&#20915;&#31639;&#20844;&#24320;%20-%20&#25968;&#25454;&#21152;&#20943;.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2&#24180;&#20915;&#31639;&#20844;&#24320;\&#20844;&#24320;&#20316;&#19994;\2022&#24180;&#20915;&#31639;&#20844;&#24320;%20-%20&#25968;&#25454;&#21152;&#20943;.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2&#24180;&#20915;&#31639;&#20844;&#24320;\&#20844;&#24320;&#20316;&#19994;\2022&#24180;&#20915;&#31639;&#20844;&#24320;%20-%20&#25968;&#25454;&#21152;&#20943;.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022&#24180;&#20915;&#31639;&#20844;&#24320;\&#20844;&#24320;&#20316;&#19994;\2022&#24180;&#20915;&#31639;&#20844;&#24320;%20-%20&#25968;&#25454;&#21152;&#2094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manualLayout>
          <c:xMode val="edge"/>
          <c:yMode val="edge"/>
          <c:x val="0.228752860411899"/>
          <c:y val="0.0284722222222222"/>
        </c:manualLayout>
      </c:layout>
      <c:overlay val="0"/>
      <c:spPr>
        <a:noFill/>
        <a:ln>
          <a:noFill/>
        </a:ln>
        <a:effectLst/>
      </c:spPr>
    </c:title>
    <c:autoTitleDeleted val="0"/>
    <c:plotArea>
      <c:layout/>
      <c:barChart>
        <c:barDir val="col"/>
        <c:grouping val="clustered"/>
        <c:varyColors val="0"/>
        <c:ser>
          <c:idx val="0"/>
          <c:order val="0"/>
          <c:tx>
            <c:strRef>
              <c:f>'[2022年决算公开 - 数据加减.xls]G01 收入支出决算总表(公开01表)'!$F$42</c:f>
              <c:strCache>
                <c:ptCount val="1"/>
                <c:pt idx="0">
                  <c:v>金额</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'[2022年决算公开 - 数据加减.xls]G01 收入支出决算总表(公开01表)'!$G$41:$H$41</c:f>
              <c:strCache>
                <c:ptCount val="2"/>
                <c:pt idx="0">
                  <c:v>2021年</c:v>
                </c:pt>
                <c:pt idx="1">
                  <c:v>2022年</c:v>
                </c:pt>
              </c:strCache>
            </c:strRef>
          </c:cat>
          <c:val>
            <c:numRef>
              <c:f>'[2022年决算公开 - 数据加减.xls]G01 收入支出决算总表(公开01表)'!$G$42:$H$42</c:f>
              <c:numCache>
                <c:formatCode>General</c:formatCode>
                <c:ptCount val="2"/>
                <c:pt idx="0">
                  <c:v>1610.34</c:v>
                </c:pt>
                <c:pt idx="1">
                  <c:v>1728.87</c:v>
                </c:pt>
              </c:numCache>
            </c:numRef>
          </c:val>
        </c:ser>
        <c:dLbls>
          <c:showLegendKey val="0"/>
          <c:showVal val="1"/>
          <c:showCatName val="0"/>
          <c:showSerName val="0"/>
          <c:showPercent val="0"/>
          <c:showBubbleSize val="0"/>
        </c:dLbls>
        <c:gapWidth val="219"/>
        <c:overlap val="-27"/>
        <c:axId val="737866516"/>
        <c:axId val="521767835"/>
      </c:barChart>
      <c:catAx>
        <c:axId val="7378665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1767835"/>
        <c:crosses val="autoZero"/>
        <c:auto val="1"/>
        <c:lblAlgn val="ctr"/>
        <c:lblOffset val="100"/>
        <c:noMultiLvlLbl val="0"/>
      </c:catAx>
      <c:valAx>
        <c:axId val="521767835"/>
        <c:scaling>
          <c:orientation val="minMax"/>
          <c:max val="1750"/>
          <c:min val="1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7866516"/>
        <c:crosses val="autoZero"/>
        <c:crossBetween val="between"/>
        <c:majorUnit val="5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58032509760288"/>
                  <c:y val="-0.11894421278725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26141439494739"/>
                  <c:y val="0.023761769431427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'[2022年决算公开 - 数据加减.xls]G01 收入支出决算总表(公开01表)'!$K$40:$L$40</c:f>
              <c:strCache>
                <c:ptCount val="2"/>
                <c:pt idx="0">
                  <c:v>一般公共预算财政拨款收入</c:v>
                </c:pt>
                <c:pt idx="1">
                  <c:v>政府性基金预算财政拨款收入</c:v>
                </c:pt>
              </c:strCache>
            </c:strRef>
          </c:cat>
          <c:val>
            <c:numRef>
              <c:f>'[2022年决算公开 - 数据加减.xls]G01 收入支出决算总表(公开01表)'!$K$41:$L$41</c:f>
              <c:numCache>
                <c:formatCode>General</c:formatCode>
                <c:ptCount val="2"/>
                <c:pt idx="0">
                  <c:v>1705.87</c:v>
                </c:pt>
                <c:pt idx="1">
                  <c:v>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701248548585216"/>
                  <c:y val="-0.1135474101211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98124833722152"/>
                  <c:y val="0.045812441818765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'[2022年决算公开 - 数据加减.xls]G03 支出决算表(公开03表)'!$M$12:$N$12</c:f>
              <c:strCache>
                <c:ptCount val="2"/>
                <c:pt idx="0">
                  <c:v>基本支出</c:v>
                </c:pt>
                <c:pt idx="1">
                  <c:v>项目支出</c:v>
                </c:pt>
              </c:strCache>
            </c:strRef>
          </c:cat>
          <c:val>
            <c:numRef>
              <c:f>'[2022年决算公开 - 数据加减.xls]G03 支出决算表(公开03表)'!$M$13:$N$13</c:f>
              <c:numCache>
                <c:formatCode>General</c:formatCode>
                <c:ptCount val="2"/>
                <c:pt idx="0">
                  <c:v>1395.71</c:v>
                </c:pt>
                <c:pt idx="1">
                  <c:v>333.15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200555555555556"/>
          <c:y val="0.0243055555555556"/>
        </c:manualLayout>
      </c:layout>
      <c:overlay val="0"/>
      <c:spPr>
        <a:noFill/>
        <a:ln>
          <a:noFill/>
        </a:ln>
        <a:effectLst/>
      </c:spPr>
    </c:title>
    <c:autoTitleDeleted val="0"/>
    <c:plotArea>
      <c:layout/>
      <c:barChart>
        <c:barDir val="col"/>
        <c:grouping val="clustered"/>
        <c:varyColors val="0"/>
        <c:ser>
          <c:idx val="0"/>
          <c:order val="0"/>
          <c:spPr>
            <a:solidFill>
              <a:schemeClr val="accent1"/>
            </a:solidFill>
            <a:ln w="19050">
              <a:solidFill>
                <a:schemeClr val="l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'[2022年决算公开 - 数据加减.xls]G01 收入支出决算总表(公开01表)'!$G$66:$H$66</c:f>
              <c:strCache>
                <c:ptCount val="2"/>
                <c:pt idx="0">
                  <c:v>2021年</c:v>
                </c:pt>
                <c:pt idx="1">
                  <c:v>2022年</c:v>
                </c:pt>
              </c:strCache>
            </c:strRef>
          </c:cat>
          <c:val>
            <c:numRef>
              <c:f>'[2022年决算公开 - 数据加减.xls]G01 收入支出决算总表(公开01表)'!$G$67:$H$67</c:f>
              <c:numCache>
                <c:formatCode>General</c:formatCode>
                <c:ptCount val="2"/>
                <c:pt idx="0">
                  <c:v>1610.34</c:v>
                </c:pt>
                <c:pt idx="1">
                  <c:v>1728.87</c:v>
                </c:pt>
              </c:numCache>
            </c:numRef>
          </c:val>
        </c:ser>
        <c:dLbls>
          <c:showLegendKey val="0"/>
          <c:showVal val="1"/>
          <c:showCatName val="0"/>
          <c:showSerName val="0"/>
          <c:showPercent val="0"/>
          <c:showBubbleSize val="0"/>
        </c:dLbls>
        <c:gapWidth val="150"/>
        <c:overlap val="0"/>
        <c:axId val="488123421"/>
        <c:axId val="15564916"/>
      </c:barChart>
      <c:catAx>
        <c:axId val="48812342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64916"/>
        <c:crosses val="autoZero"/>
        <c:auto val="1"/>
        <c:lblAlgn val="ctr"/>
        <c:lblOffset val="100"/>
        <c:noMultiLvlLbl val="0"/>
      </c:catAx>
      <c:valAx>
        <c:axId val="155649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8123421"/>
        <c:crosses val="autoZero"/>
        <c:crossBetween val="between"/>
        <c:majorUnit val="5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'[2022年决算公开 - 数据加减.xls]G05 财政拨款支出决算明细表(公开05表)'!$O$10:$P$10</c:f>
              <c:strCache>
                <c:ptCount val="2"/>
                <c:pt idx="0">
                  <c:v>2021年</c:v>
                </c:pt>
                <c:pt idx="1">
                  <c:v>2022年</c:v>
                </c:pt>
              </c:strCache>
            </c:strRef>
          </c:cat>
          <c:val>
            <c:numRef>
              <c:f>'[2022年决算公开 - 数据加减.xls]G05 财政拨款支出决算明细表(公开05表)'!$O$11:$P$11</c:f>
              <c:numCache>
                <c:formatCode>General</c:formatCode>
                <c:ptCount val="2"/>
                <c:pt idx="0">
                  <c:v>1610.34</c:v>
                </c:pt>
                <c:pt idx="1">
                  <c:v>1705.87</c:v>
                </c:pt>
              </c:numCache>
            </c:numRef>
          </c:val>
        </c:ser>
        <c:dLbls>
          <c:showLegendKey val="0"/>
          <c:showVal val="1"/>
          <c:showCatName val="0"/>
          <c:showSerName val="0"/>
          <c:showPercent val="0"/>
          <c:showBubbleSize val="0"/>
        </c:dLbls>
        <c:gapWidth val="219"/>
        <c:overlap val="-27"/>
        <c:axId val="369871894"/>
        <c:axId val="147986639"/>
      </c:barChart>
      <c:catAx>
        <c:axId val="36987189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986639"/>
        <c:crosses val="autoZero"/>
        <c:auto val="1"/>
        <c:lblAlgn val="ctr"/>
        <c:lblOffset val="100"/>
        <c:noMultiLvlLbl val="0"/>
      </c:catAx>
      <c:valAx>
        <c:axId val="147986639"/>
        <c:scaling>
          <c:orientation val="minMax"/>
          <c:max val="17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987189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974959205471564"/>
                  <c:y val="-0.10661430796750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78415692161085"/>
                  <c:y val="0.091127056197799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426840437316509"/>
                  <c:y val="0.01161694985643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788546753373378"/>
                  <c:y val="0.01184800179601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'[2022年决算公开 - 数据加减.xls]G04 财政拨款收入支出决算总表(公开04表)'!$K$8:$N$8</c:f>
              <c:strCache>
                <c:ptCount val="4"/>
                <c:pt idx="0">
                  <c:v>一般公共服务支出</c:v>
                </c:pt>
                <c:pt idx="1">
                  <c:v>社会保障和就业支出</c:v>
                </c:pt>
                <c:pt idx="2">
                  <c:v>卫生健康支出</c:v>
                </c:pt>
                <c:pt idx="3">
                  <c:v>住房保障支出</c:v>
                </c:pt>
              </c:strCache>
            </c:strRef>
          </c:cat>
          <c:val>
            <c:numRef>
              <c:f>'[2022年决算公开 - 数据加减.xls]G04 财政拨款收入支出决算总表(公开04表)'!$K$9:$N$9</c:f>
              <c:numCache>
                <c:formatCode>General</c:formatCode>
                <c:ptCount val="4"/>
                <c:pt idx="0">
                  <c:v>1470.36</c:v>
                </c:pt>
                <c:pt idx="1">
                  <c:v>81.15</c:v>
                </c:pt>
                <c:pt idx="2">
                  <c:v>53.61</c:v>
                </c:pt>
                <c:pt idx="3">
                  <c:v>100.75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manualLayout>
          <c:xMode val="edge"/>
          <c:yMode val="edge"/>
          <c:x val="0.206111111111111"/>
          <c:y val="0.0520833333333333"/>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01943641184889"/>
                  <c:y val="-0.099258525765245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902268416624966"/>
                  <c:y val="0.02573615281681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'[2022年决算公开 - 数据加减.xls]G13 财政拨款“三公”经费支出决算表(公开13表)'!$E$14:$F$14</c:f>
              <c:strCache>
                <c:ptCount val="2"/>
                <c:pt idx="0">
                  <c:v>公务用车运行维护费</c:v>
                </c:pt>
                <c:pt idx="1">
                  <c:v>公务接待费</c:v>
                </c:pt>
              </c:strCache>
            </c:strRef>
          </c:cat>
          <c:val>
            <c:numRef>
              <c:f>'[2022年决算公开 - 数据加减.xls]G13 财政拨款“三公”经费支出决算表(公开13表)'!$E$15:$F$15</c:f>
              <c:numCache>
                <c:formatCode>General</c:formatCode>
                <c:ptCount val="2"/>
                <c:pt idx="0">
                  <c:v>12</c:v>
                </c:pt>
                <c:pt idx="1">
                  <c:v>0.76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7003</Words>
  <Characters>7458</Characters>
  <Lines>61</Lines>
  <Paragraphs>17</Paragraphs>
  <TotalTime>1</TotalTime>
  <ScaleCrop>false</ScaleCrop>
  <LinksUpToDate>false</LinksUpToDate>
  <CharactersWithSpaces>7493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西门</cp:lastModifiedBy>
  <cp:lastPrinted>2023-08-24T06:17:00Z</cp:lastPrinted>
  <dcterms:modified xsi:type="dcterms:W3CDTF">2023-08-25T03:28:41Z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A3D82B06649646E7B4F24F9568A8F3D5_12</vt:lpwstr>
  </property>
</Properties>
</file>