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eastAsia="黑体" w:cs="Times New Roman"/>
        </w:rPr>
      </w:pPr>
      <w:bookmarkStart w:id="0" w:name="_Hlk99573979"/>
      <w:bookmarkEnd w:id="0"/>
      <w:bookmarkStart w:id="82" w:name="_GoBack"/>
      <w:bookmarkEnd w:id="82"/>
      <w:r>
        <w:rPr>
          <w:rFonts w:eastAsia="黑体" w:cs="Times New Roman"/>
        </w:rPr>
        <w:t>两项改革“后半篇”文章乡镇级片区应急体系专项规划</w:t>
      </w:r>
    </w:p>
    <w:p>
      <w:pPr>
        <w:ind w:firstLine="0" w:firstLineChars="0"/>
        <w:rPr>
          <w:rFonts w:cs="Times New Roman"/>
        </w:rPr>
      </w:pPr>
    </w:p>
    <w:p>
      <w:pPr>
        <w:spacing w:line="240" w:lineRule="auto"/>
        <w:ind w:firstLine="0" w:firstLineChars="0"/>
        <w:jc w:val="center"/>
        <w:rPr>
          <w:rFonts w:eastAsia="方正小标宋简体" w:cs="Times New Roman"/>
          <w:b/>
          <w:bCs/>
          <w:sz w:val="44"/>
          <w:szCs w:val="44"/>
        </w:rPr>
      </w:pPr>
    </w:p>
    <w:p>
      <w:pPr>
        <w:pStyle w:val="2"/>
        <w:ind w:firstLine="420"/>
        <w:rPr>
          <w:rFonts w:ascii="Times New Roman" w:hAnsi="Times New Roman" w:cs="Times New Roman"/>
        </w:rPr>
      </w:pPr>
    </w:p>
    <w:p>
      <w:pPr>
        <w:pStyle w:val="2"/>
        <w:ind w:firstLine="880"/>
        <w:rPr>
          <w:rFonts w:ascii="Times New Roman" w:hAnsi="Times New Roman" w:eastAsia="方正小标宋简体" w:cs="Times New Roman"/>
          <w:b/>
          <w:bCs/>
          <w:sz w:val="44"/>
          <w:szCs w:val="44"/>
        </w:rPr>
      </w:pPr>
    </w:p>
    <w:p>
      <w:pPr>
        <w:ind w:firstLine="0" w:firstLineChars="0"/>
        <w:jc w:val="center"/>
        <w:rPr>
          <w:rFonts w:eastAsia="方正小标宋简体" w:cs="Times New Roman"/>
          <w:b/>
          <w:bCs/>
          <w:sz w:val="44"/>
          <w:szCs w:val="44"/>
        </w:rPr>
      </w:pPr>
      <w:r>
        <w:rPr>
          <w:rFonts w:hint="eastAsia" w:ascii="华光小标宋_CNKI" w:hAnsi="华光小标宋_CNKI" w:eastAsia="华光小标宋_CNKI" w:cs="Times New Roman"/>
          <w:b/>
          <w:bCs/>
          <w:sz w:val="44"/>
          <w:szCs w:val="44"/>
        </w:rPr>
        <w:t>安居区莲花湖现代农业片区</w:t>
      </w:r>
      <w:r>
        <w:rPr>
          <w:rFonts w:ascii="华光小标宋_CNKI" w:hAnsi="华光小标宋_CNKI" w:eastAsia="华光小标宋_CNKI" w:cs="Times New Roman"/>
          <w:b/>
          <w:bCs/>
          <w:sz w:val="44"/>
          <w:szCs w:val="44"/>
        </w:rPr>
        <w:t>应急体系专项规划</w:t>
      </w:r>
      <w:r>
        <w:rPr>
          <w:rFonts w:eastAsia="方正小标宋简体" w:cs="Times New Roman"/>
          <w:b/>
          <w:bCs/>
          <w:sz w:val="44"/>
          <w:szCs w:val="44"/>
        </w:rPr>
        <w:t>（2021-2035）</w:t>
      </w: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pStyle w:val="2"/>
        <w:ind w:firstLine="0" w:firstLineChars="0"/>
        <w:rPr>
          <w:rFonts w:ascii="Times New Roman" w:hAnsi="Times New Roman" w:cs="Times New Roman"/>
        </w:rPr>
      </w:pPr>
    </w:p>
    <w:p>
      <w:pPr>
        <w:ind w:firstLine="0" w:firstLineChars="0"/>
        <w:rPr>
          <w:rFonts w:cs="Times New Roman"/>
        </w:rPr>
      </w:pPr>
    </w:p>
    <w:p>
      <w:pPr>
        <w:ind w:firstLine="0" w:firstLineChars="0"/>
        <w:jc w:val="center"/>
        <w:rPr>
          <w:rFonts w:eastAsia="黑体" w:cs="Times New Roman"/>
        </w:rPr>
      </w:pPr>
      <w:r>
        <w:rPr>
          <w:rFonts w:eastAsia="黑体" w:cs="Times New Roman"/>
        </w:rPr>
        <w:t>遂宁市</w:t>
      </w:r>
      <w:r>
        <w:rPr>
          <w:rFonts w:hint="eastAsia" w:eastAsia="黑体" w:cs="Times New Roman"/>
        </w:rPr>
        <w:t>安居</w:t>
      </w:r>
      <w:r>
        <w:rPr>
          <w:rFonts w:eastAsia="黑体" w:cs="Times New Roman"/>
        </w:rPr>
        <w:t>区应急管理局</w:t>
      </w:r>
    </w:p>
    <w:p>
      <w:pPr>
        <w:ind w:firstLine="0" w:firstLineChars="0"/>
        <w:jc w:val="center"/>
        <w:rPr>
          <w:rFonts w:eastAsia="黑体" w:cs="Times New Roman"/>
        </w:rPr>
      </w:pPr>
      <w:r>
        <w:rPr>
          <w:rFonts w:eastAsia="黑体" w:cs="Times New Roman"/>
        </w:rPr>
        <w:t>二〇二二年</w:t>
      </w:r>
      <w:r>
        <w:rPr>
          <w:rFonts w:hint="eastAsia" w:eastAsia="黑体" w:cs="Times New Roman"/>
        </w:rPr>
        <w:t>十一</w:t>
      </w:r>
      <w:r>
        <w:rPr>
          <w:rFonts w:eastAsia="黑体" w:cs="Times New Roman"/>
        </w:rPr>
        <w:t>月</w:t>
      </w:r>
    </w:p>
    <w:p>
      <w:pPr>
        <w:ind w:firstLine="0" w:firstLineChars="0"/>
        <w:jc w:val="center"/>
        <w:rPr>
          <w:rFonts w:eastAsia="方正小标宋简体" w:cs="Times New Roman"/>
        </w:rPr>
      </w:pPr>
      <w:r>
        <w:rPr>
          <w:rFonts w:eastAsia="方正小标宋简体" w:cs="Times New Roman"/>
        </w:rPr>
        <w:br w:type="page"/>
      </w:r>
    </w:p>
    <w:p>
      <w:pPr>
        <w:pStyle w:val="2"/>
        <w:ind w:firstLine="880"/>
        <w:jc w:val="center"/>
        <w:rPr>
          <w:rFonts w:ascii="Times New Roman" w:hAnsi="Times New Roman" w:eastAsia="黑体" w:cs="Times New Roman"/>
          <w:sz w:val="44"/>
          <w:szCs w:val="44"/>
        </w:rPr>
      </w:pPr>
      <w:r>
        <w:rPr>
          <w:rFonts w:ascii="Times New Roman" w:hAnsi="Times New Roman" w:eastAsia="黑体" w:cs="Times New Roman"/>
          <w:sz w:val="44"/>
          <w:szCs w:val="44"/>
        </w:rPr>
        <w:t>目 录</w:t>
      </w:r>
    </w:p>
    <w:p>
      <w:pPr>
        <w:pStyle w:val="2"/>
        <w:ind w:firstLine="640"/>
        <w:rPr>
          <w:rFonts w:ascii="Times New Roman" w:hAnsi="Times New Roman" w:eastAsia="黑体" w:cs="Times New Roman"/>
          <w:sz w:val="32"/>
          <w:szCs w:val="32"/>
        </w:rPr>
      </w:pPr>
    </w:p>
    <w:p>
      <w:pPr>
        <w:pStyle w:val="2"/>
        <w:ind w:firstLine="640"/>
        <w:rPr>
          <w:rFonts w:ascii="Times New Roman" w:hAnsi="Times New Roman" w:eastAsia="黑体" w:cs="Times New Roman"/>
          <w:sz w:val="32"/>
          <w:szCs w:val="32"/>
        </w:rPr>
      </w:pPr>
      <w:r>
        <w:rPr>
          <w:rFonts w:ascii="Times New Roman" w:hAnsi="Times New Roman" w:eastAsia="黑体" w:cs="Times New Roman"/>
          <w:sz w:val="32"/>
          <w:szCs w:val="32"/>
        </w:rPr>
        <w:t>一、规划文本、图集</w:t>
      </w:r>
    </w:p>
    <w:p>
      <w:pPr>
        <w:pStyle w:val="2"/>
        <w:ind w:firstLine="640"/>
        <w:rPr>
          <w:rFonts w:ascii="Times New Roman" w:hAnsi="Times New Roman" w:eastAsia="黑体" w:cs="Times New Roman"/>
          <w:sz w:val="32"/>
          <w:szCs w:val="32"/>
        </w:rPr>
      </w:pPr>
      <w:r>
        <w:rPr>
          <w:rFonts w:ascii="Times New Roman" w:hAnsi="Times New Roman" w:eastAsia="黑体" w:cs="Times New Roman"/>
          <w:sz w:val="32"/>
          <w:szCs w:val="32"/>
        </w:rPr>
        <w:t>二、征求公众意见情况</w:t>
      </w:r>
    </w:p>
    <w:p>
      <w:pPr>
        <w:pStyle w:val="2"/>
        <w:ind w:firstLine="640"/>
        <w:rPr>
          <w:rFonts w:ascii="Times New Roman" w:hAnsi="Times New Roman" w:eastAsia="黑体" w:cs="Times New Roman"/>
          <w:sz w:val="32"/>
          <w:szCs w:val="32"/>
        </w:rPr>
      </w:pPr>
      <w:r>
        <w:rPr>
          <w:rFonts w:ascii="Times New Roman" w:hAnsi="Times New Roman" w:eastAsia="黑体" w:cs="Times New Roman"/>
          <w:sz w:val="32"/>
          <w:szCs w:val="32"/>
        </w:rPr>
        <w:t>三、</w:t>
      </w:r>
      <w:r>
        <w:rPr>
          <w:rFonts w:hint="eastAsia" w:ascii="Times New Roman" w:hAnsi="Times New Roman" w:eastAsia="黑体" w:cs="Times New Roman"/>
          <w:sz w:val="32"/>
          <w:szCs w:val="32"/>
        </w:rPr>
        <w:t>区</w:t>
      </w:r>
      <w:r>
        <w:rPr>
          <w:rFonts w:ascii="Times New Roman" w:hAnsi="Times New Roman" w:eastAsia="黑体" w:cs="Times New Roman"/>
          <w:sz w:val="32"/>
          <w:szCs w:val="32"/>
        </w:rPr>
        <w:t>级征求部门、</w:t>
      </w:r>
      <w:r>
        <w:rPr>
          <w:rFonts w:hint="eastAsia" w:ascii="Times New Roman" w:hAnsi="Times New Roman" w:eastAsia="黑体" w:cs="Times New Roman"/>
          <w:sz w:val="32"/>
          <w:szCs w:val="32"/>
        </w:rPr>
        <w:t>各镇</w:t>
      </w:r>
      <w:r>
        <w:rPr>
          <w:rFonts w:ascii="Times New Roman" w:hAnsi="Times New Roman" w:eastAsia="黑体" w:cs="Times New Roman"/>
          <w:sz w:val="32"/>
          <w:szCs w:val="32"/>
        </w:rPr>
        <w:t>意见情况</w:t>
      </w:r>
    </w:p>
    <w:p>
      <w:pPr>
        <w:pStyle w:val="2"/>
        <w:ind w:firstLine="640"/>
        <w:rPr>
          <w:rFonts w:ascii="Times New Roman" w:hAnsi="Times New Roman" w:eastAsia="黑体" w:cs="Times New Roman"/>
          <w:sz w:val="32"/>
          <w:szCs w:val="32"/>
        </w:rPr>
      </w:pPr>
      <w:r>
        <w:rPr>
          <w:rFonts w:ascii="Times New Roman" w:hAnsi="Times New Roman" w:eastAsia="黑体" w:cs="Times New Roman"/>
          <w:sz w:val="32"/>
          <w:szCs w:val="32"/>
        </w:rPr>
        <w:t>四、</w:t>
      </w:r>
      <w:r>
        <w:rPr>
          <w:rFonts w:hint="eastAsia" w:ascii="Times New Roman" w:hAnsi="Times New Roman" w:eastAsia="黑体" w:cs="Times New Roman"/>
          <w:sz w:val="32"/>
          <w:szCs w:val="32"/>
        </w:rPr>
        <w:t>区</w:t>
      </w:r>
      <w:r>
        <w:rPr>
          <w:rFonts w:ascii="Times New Roman" w:hAnsi="Times New Roman" w:eastAsia="黑体" w:cs="Times New Roman"/>
          <w:sz w:val="32"/>
          <w:szCs w:val="32"/>
        </w:rPr>
        <w:t>级审查专家意见及采纳情况</w:t>
      </w:r>
    </w:p>
    <w:p>
      <w:pPr>
        <w:pStyle w:val="2"/>
        <w:ind w:firstLine="640"/>
        <w:rPr>
          <w:rFonts w:ascii="Times New Roman" w:hAnsi="Times New Roman" w:eastAsia="黑体" w:cs="Times New Roman"/>
          <w:sz w:val="32"/>
          <w:szCs w:val="32"/>
        </w:rPr>
      </w:pPr>
      <w:r>
        <w:rPr>
          <w:rFonts w:ascii="Times New Roman" w:hAnsi="Times New Roman" w:eastAsia="黑体" w:cs="Times New Roman"/>
          <w:sz w:val="32"/>
          <w:szCs w:val="32"/>
        </w:rPr>
        <w:t>五、市级复审专家意见及采纳情况</w:t>
      </w:r>
    </w:p>
    <w:p>
      <w:pPr>
        <w:pStyle w:val="2"/>
        <w:ind w:firstLine="420"/>
        <w:rPr>
          <w:rFonts w:ascii="Times New Roman" w:hAnsi="Times New Roman" w:cs="Times New Roman"/>
        </w:rPr>
      </w:pPr>
    </w:p>
    <w:p>
      <w:pPr>
        <w:pStyle w:val="2"/>
        <w:ind w:firstLine="420"/>
        <w:rPr>
          <w:rFonts w:ascii="Times New Roman" w:hAnsi="Times New Roman" w:cs="Times New Roman"/>
        </w:rPr>
      </w:pPr>
      <w:r>
        <w:rPr>
          <w:rFonts w:ascii="Times New Roman" w:hAnsi="Times New Roman" w:cs="Times New Roman"/>
        </w:rPr>
        <w:br w:type="page"/>
      </w:r>
    </w:p>
    <w:p>
      <w:pPr>
        <w:ind w:firstLine="0" w:firstLineChars="0"/>
        <w:jc w:val="center"/>
        <w:rPr>
          <w:rFonts w:eastAsia="黑体" w:cs="Times New Roman"/>
        </w:rPr>
      </w:pPr>
      <w:r>
        <w:rPr>
          <w:rFonts w:eastAsia="黑体" w:cs="Times New Roman"/>
        </w:rPr>
        <w:t>两项改革“后半篇”文章乡镇级片区应急体系专项规划</w:t>
      </w:r>
    </w:p>
    <w:p>
      <w:pPr>
        <w:ind w:firstLine="0" w:firstLineChars="0"/>
        <w:rPr>
          <w:rFonts w:cs="Times New Roman"/>
        </w:rPr>
      </w:pPr>
    </w:p>
    <w:p>
      <w:pPr>
        <w:spacing w:line="240" w:lineRule="auto"/>
        <w:ind w:firstLine="0" w:firstLineChars="0"/>
        <w:jc w:val="center"/>
        <w:rPr>
          <w:rFonts w:eastAsia="方正小标宋简体" w:cs="Times New Roman"/>
          <w:b/>
          <w:bCs/>
          <w:sz w:val="44"/>
          <w:szCs w:val="44"/>
        </w:rPr>
      </w:pPr>
    </w:p>
    <w:p>
      <w:pPr>
        <w:pStyle w:val="2"/>
        <w:ind w:firstLine="420"/>
        <w:rPr>
          <w:rFonts w:ascii="Times New Roman" w:hAnsi="Times New Roman" w:cs="Times New Roman"/>
        </w:rPr>
      </w:pPr>
    </w:p>
    <w:p>
      <w:pPr>
        <w:pStyle w:val="2"/>
        <w:ind w:firstLine="420"/>
        <w:rPr>
          <w:rFonts w:ascii="Times New Roman" w:hAnsi="Times New Roman" w:cs="Times New Roman"/>
        </w:rPr>
      </w:pPr>
    </w:p>
    <w:p>
      <w:pPr>
        <w:ind w:firstLine="0" w:firstLineChars="0"/>
        <w:jc w:val="center"/>
        <w:rPr>
          <w:rFonts w:eastAsia="方正小标宋简体" w:cs="Times New Roman"/>
          <w:b/>
          <w:bCs/>
          <w:sz w:val="44"/>
          <w:szCs w:val="44"/>
        </w:rPr>
      </w:pPr>
      <w:r>
        <w:rPr>
          <w:rFonts w:hint="eastAsia" w:ascii="华光小标宋_CNKI" w:hAnsi="华光小标宋_CNKI" w:eastAsia="华光小标宋_CNKI" w:cs="Times New Roman"/>
          <w:b/>
          <w:bCs/>
          <w:sz w:val="44"/>
          <w:szCs w:val="44"/>
        </w:rPr>
        <w:t>安居区莲花湖现代农业片区</w:t>
      </w:r>
      <w:r>
        <w:rPr>
          <w:rFonts w:ascii="华光小标宋_CNKI" w:hAnsi="华光小标宋_CNKI" w:eastAsia="华光小标宋_CNKI" w:cs="Times New Roman"/>
          <w:b/>
          <w:bCs/>
          <w:sz w:val="44"/>
          <w:szCs w:val="44"/>
        </w:rPr>
        <w:t>应急体系专项规划</w:t>
      </w:r>
      <w:r>
        <w:rPr>
          <w:rFonts w:eastAsia="方正小标宋简体" w:cs="Times New Roman"/>
          <w:b/>
          <w:bCs/>
          <w:sz w:val="44"/>
          <w:szCs w:val="44"/>
        </w:rPr>
        <w:t>（2021-2035）</w:t>
      </w:r>
    </w:p>
    <w:p>
      <w:pPr>
        <w:ind w:firstLine="0" w:firstLineChars="0"/>
        <w:rPr>
          <w:rFonts w:cs="Times New Roman"/>
        </w:rPr>
      </w:pPr>
    </w:p>
    <w:p>
      <w:pPr>
        <w:ind w:firstLine="0" w:firstLineChars="0"/>
        <w:rPr>
          <w:rFonts w:cs="Times New Roman"/>
        </w:rPr>
      </w:pPr>
    </w:p>
    <w:p>
      <w:pPr>
        <w:ind w:firstLine="0" w:firstLineChars="0"/>
        <w:rPr>
          <w:rFonts w:cs="Times New Roman"/>
        </w:rPr>
      </w:pPr>
      <w:r>
        <w:rPr>
          <w:rFonts w:cs="Times New Roman"/>
        </w:rPr>
        <w:t xml:space="preserve">        </w:t>
      </w:r>
    </w:p>
    <w:p>
      <w:pPr>
        <w:ind w:firstLine="0" w:firstLineChars="0"/>
        <w:jc w:val="center"/>
        <w:rPr>
          <w:rFonts w:cs="Times New Roman"/>
        </w:rPr>
      </w:pPr>
      <w:r>
        <w:rPr>
          <w:rFonts w:cs="Times New Roman"/>
        </w:rPr>
        <w:t>（文本、图集）</w:t>
      </w: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pStyle w:val="2"/>
        <w:ind w:firstLine="0" w:firstLineChars="0"/>
        <w:rPr>
          <w:rFonts w:ascii="Times New Roman" w:hAnsi="Times New Roman" w:cs="Times New Roman"/>
        </w:rPr>
      </w:pPr>
    </w:p>
    <w:p>
      <w:pPr>
        <w:ind w:firstLine="0" w:firstLineChars="0"/>
        <w:rPr>
          <w:rFonts w:cs="Times New Roman"/>
        </w:rPr>
      </w:pPr>
    </w:p>
    <w:p>
      <w:pPr>
        <w:ind w:firstLine="0" w:firstLineChars="0"/>
        <w:jc w:val="center"/>
        <w:rPr>
          <w:rFonts w:eastAsia="黑体" w:cs="Times New Roman"/>
        </w:rPr>
      </w:pPr>
      <w:r>
        <w:rPr>
          <w:rFonts w:eastAsia="黑体" w:cs="Times New Roman"/>
        </w:rPr>
        <w:t>遂宁市</w:t>
      </w:r>
      <w:r>
        <w:rPr>
          <w:rFonts w:hint="eastAsia" w:eastAsia="黑体" w:cs="Times New Roman"/>
        </w:rPr>
        <w:t>安居</w:t>
      </w:r>
      <w:r>
        <w:rPr>
          <w:rFonts w:eastAsia="黑体" w:cs="Times New Roman"/>
        </w:rPr>
        <w:t>区应急管理局</w:t>
      </w:r>
    </w:p>
    <w:p>
      <w:pPr>
        <w:ind w:firstLine="0" w:firstLineChars="0"/>
        <w:jc w:val="center"/>
        <w:rPr>
          <w:rFonts w:cs="Times New Roman"/>
        </w:rPr>
      </w:pPr>
      <w:r>
        <w:rPr>
          <w:rFonts w:eastAsia="黑体" w:cs="Times New Roman"/>
        </w:rPr>
        <w:t>二〇二二年</w:t>
      </w:r>
      <w:r>
        <w:rPr>
          <w:rFonts w:hint="eastAsia" w:eastAsia="黑体" w:cs="Times New Roman"/>
        </w:rPr>
        <w:t>十一</w:t>
      </w:r>
      <w:r>
        <w:rPr>
          <w:rFonts w:eastAsia="黑体" w:cs="Times New Roman"/>
        </w:rPr>
        <w:t>月</w:t>
      </w:r>
      <w:r>
        <w:rPr>
          <w:rFonts w:cs="Times New Roman"/>
        </w:rPr>
        <w:br w:type="page"/>
      </w:r>
    </w:p>
    <w:p>
      <w:pPr>
        <w:pStyle w:val="16"/>
        <w:ind w:firstLine="640"/>
        <w:jc w:val="center"/>
        <w:rPr>
          <w:rFonts w:cs="Times New Roman"/>
          <w:sz w:val="44"/>
          <w:szCs w:val="44"/>
        </w:rPr>
      </w:pPr>
      <w:r>
        <w:rPr>
          <w:rFonts w:cs="Times New Roman"/>
          <w:sz w:val="44"/>
          <w:szCs w:val="44"/>
        </w:rPr>
        <w:t>目 录</w:t>
      </w:r>
    </w:p>
    <w:p>
      <w:pPr>
        <w:pStyle w:val="16"/>
        <w:tabs>
          <w:tab w:val="right" w:leader="dot" w:pos="8844"/>
        </w:tabs>
        <w:rPr>
          <w:rFonts w:cs="Times New Roman"/>
        </w:rPr>
      </w:pPr>
      <w:r>
        <w:rPr>
          <w:rFonts w:cs="Times New Roman"/>
        </w:rPr>
        <w:fldChar w:fldCharType="begin"/>
      </w:r>
      <w:r>
        <w:rPr>
          <w:rFonts w:cs="Times New Roman"/>
        </w:rPr>
        <w:instrText xml:space="preserve"> TOC \o "1-2" \h \z \u </w:instrText>
      </w:r>
      <w:r>
        <w:rPr>
          <w:rFonts w:cs="Times New Roman"/>
        </w:rPr>
        <w:fldChar w:fldCharType="separate"/>
      </w:r>
      <w:r>
        <w:fldChar w:fldCharType="begin"/>
      </w:r>
      <w:r>
        <w:instrText xml:space="preserve"> HYPERLINK \l "_Toc12518" </w:instrText>
      </w:r>
      <w:r>
        <w:fldChar w:fldCharType="separate"/>
      </w:r>
      <w:r>
        <w:rPr>
          <w:rFonts w:cs="Times New Roman"/>
        </w:rPr>
        <w:t>一、总则</w:t>
      </w:r>
      <w:r>
        <w:rPr>
          <w:rFonts w:cs="Times New Roman"/>
        </w:rPr>
        <w:tab/>
      </w:r>
      <w:r>
        <w:rPr>
          <w:rFonts w:cs="Times New Roman"/>
        </w:rPr>
        <w:fldChar w:fldCharType="begin"/>
      </w:r>
      <w:r>
        <w:rPr>
          <w:rFonts w:cs="Times New Roman"/>
        </w:rPr>
        <w:instrText xml:space="preserve"> PAGEREF _Toc12518 \h </w:instrText>
      </w:r>
      <w:r>
        <w:rPr>
          <w:rFonts w:cs="Times New Roman"/>
        </w:rPr>
        <w:fldChar w:fldCharType="separate"/>
      </w:r>
      <w:r>
        <w:rPr>
          <w:rFonts w:cs="Times New Roman"/>
        </w:rPr>
        <w:t>1</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"_Toc29662" </w:instrText>
      </w:r>
      <w:r>
        <w:fldChar w:fldCharType="separate"/>
      </w:r>
      <w:r>
        <w:rPr>
          <w:rFonts w:cs="Times New Roman"/>
        </w:rPr>
        <w:t>（一）地位作用</w:t>
      </w:r>
      <w:r>
        <w:rPr>
          <w:rFonts w:cs="Times New Roman"/>
        </w:rPr>
        <w:tab/>
      </w:r>
      <w:r>
        <w:rPr>
          <w:rFonts w:cs="Times New Roman"/>
        </w:rPr>
        <w:fldChar w:fldCharType="begin"/>
      </w:r>
      <w:r>
        <w:rPr>
          <w:rFonts w:cs="Times New Roman"/>
        </w:rPr>
        <w:instrText xml:space="preserve"> PAGEREF _Toc29662 \h </w:instrText>
      </w:r>
      <w:r>
        <w:rPr>
          <w:rFonts w:cs="Times New Roman"/>
        </w:rPr>
        <w:fldChar w:fldCharType="separate"/>
      </w:r>
      <w:r>
        <w:rPr>
          <w:rFonts w:cs="Times New Roman"/>
        </w:rPr>
        <w:t>1</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"_Toc13134" </w:instrText>
      </w:r>
      <w:r>
        <w:fldChar w:fldCharType="separate"/>
      </w:r>
      <w:r>
        <w:rPr>
          <w:rFonts w:cs="Times New Roman"/>
        </w:rPr>
        <w:t>（二）规划依据</w:t>
      </w:r>
      <w:r>
        <w:rPr>
          <w:rFonts w:cs="Times New Roman"/>
        </w:rPr>
        <w:tab/>
      </w:r>
      <w:r>
        <w:rPr>
          <w:rFonts w:cs="Times New Roman"/>
        </w:rPr>
        <w:fldChar w:fldCharType="begin"/>
      </w:r>
      <w:r>
        <w:rPr>
          <w:rFonts w:cs="Times New Roman"/>
        </w:rPr>
        <w:instrText xml:space="preserve"> PAGEREF _Toc13134 \h </w:instrText>
      </w:r>
      <w:r>
        <w:rPr>
          <w:rFonts w:cs="Times New Roman"/>
        </w:rPr>
        <w:fldChar w:fldCharType="separate"/>
      </w:r>
      <w:r>
        <w:rPr>
          <w:rFonts w:cs="Times New Roman"/>
        </w:rPr>
        <w:t>1</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"_Toc30698" </w:instrText>
      </w:r>
      <w:r>
        <w:fldChar w:fldCharType="separate"/>
      </w:r>
      <w:r>
        <w:rPr>
          <w:rFonts w:cs="Times New Roman"/>
        </w:rPr>
        <w:t>（三）规划原则</w:t>
      </w:r>
      <w:r>
        <w:rPr>
          <w:rFonts w:cs="Times New Roman"/>
        </w:rPr>
        <w:tab/>
      </w:r>
      <w:r>
        <w:rPr>
          <w:rFonts w:cs="Times New Roman"/>
        </w:rPr>
        <w:fldChar w:fldCharType="begin"/>
      </w:r>
      <w:r>
        <w:rPr>
          <w:rFonts w:cs="Times New Roman"/>
        </w:rPr>
        <w:instrText xml:space="preserve"> PAGEREF _Toc30698 \h </w:instrText>
      </w:r>
      <w:r>
        <w:rPr>
          <w:rFonts w:cs="Times New Roman"/>
        </w:rPr>
        <w:fldChar w:fldCharType="separate"/>
      </w:r>
      <w:r>
        <w:rPr>
          <w:rFonts w:cs="Times New Roman"/>
        </w:rPr>
        <w:t>2</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"_Toc3454" </w:instrText>
      </w:r>
      <w:r>
        <w:fldChar w:fldCharType="separate"/>
      </w:r>
      <w:r>
        <w:rPr>
          <w:rFonts w:cs="Times New Roman"/>
        </w:rPr>
        <w:t>（四）规划期限</w:t>
      </w:r>
      <w:r>
        <w:rPr>
          <w:rFonts w:cs="Times New Roman"/>
        </w:rPr>
        <w:tab/>
      </w:r>
      <w:r>
        <w:rPr>
          <w:rFonts w:cs="Times New Roman"/>
        </w:rPr>
        <w:fldChar w:fldCharType="begin"/>
      </w:r>
      <w:r>
        <w:rPr>
          <w:rFonts w:cs="Times New Roman"/>
        </w:rPr>
        <w:instrText xml:space="preserve"> PAGEREF _Toc3454 \h </w:instrText>
      </w:r>
      <w:r>
        <w:rPr>
          <w:rFonts w:cs="Times New Roman"/>
        </w:rPr>
        <w:fldChar w:fldCharType="separate"/>
      </w:r>
      <w:r>
        <w:rPr>
          <w:rFonts w:cs="Times New Roman"/>
        </w:rPr>
        <w:t>3</w:t>
      </w:r>
      <w:r>
        <w:rPr>
          <w:rFonts w:cs="Times New Roman"/>
        </w:rPr>
        <w:fldChar w:fldCharType="end"/>
      </w:r>
      <w:r>
        <w:rPr>
          <w:rFonts w:cs="Times New Roman"/>
        </w:rPr>
        <w:fldChar w:fldCharType="end"/>
      </w:r>
    </w:p>
    <w:p>
      <w:pPr>
        <w:pStyle w:val="16"/>
        <w:tabs>
          <w:tab w:val="right" w:leader="dot" w:pos="8844"/>
        </w:tabs>
        <w:rPr>
          <w:rFonts w:cs="Times New Roman"/>
        </w:rPr>
      </w:pPr>
      <w:r>
        <w:fldChar w:fldCharType="begin"/>
      </w:r>
      <w:r>
        <w:instrText xml:space="preserve"> HYPERLINK \l "_Toc7674" </w:instrText>
      </w:r>
      <w:r>
        <w:fldChar w:fldCharType="separate"/>
      </w:r>
      <w:r>
        <w:rPr>
          <w:rFonts w:cs="Times New Roman"/>
          <w:bCs w:val="0"/>
        </w:rPr>
        <w:t>二、规划背景</w:t>
      </w:r>
      <w:r>
        <w:rPr>
          <w:rFonts w:cs="Times New Roman"/>
        </w:rPr>
        <w:tab/>
      </w:r>
      <w:r>
        <w:rPr>
          <w:rFonts w:cs="Times New Roman"/>
        </w:rPr>
        <w:fldChar w:fldCharType="begin"/>
      </w:r>
      <w:r>
        <w:rPr>
          <w:rFonts w:cs="Times New Roman"/>
        </w:rPr>
        <w:instrText xml:space="preserve"> PAGEREF _Toc7674 \h </w:instrText>
      </w:r>
      <w:r>
        <w:rPr>
          <w:rFonts w:cs="Times New Roman"/>
        </w:rPr>
        <w:fldChar w:fldCharType="separate"/>
      </w:r>
      <w:r>
        <w:rPr>
          <w:rFonts w:cs="Times New Roman"/>
        </w:rPr>
        <w:t>5</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"_Toc18062" </w:instrText>
      </w:r>
      <w:r>
        <w:fldChar w:fldCharType="separate"/>
      </w:r>
      <w:r>
        <w:rPr>
          <w:rFonts w:cs="Times New Roman"/>
        </w:rPr>
        <w:t>（一）片区现状</w:t>
      </w:r>
      <w:r>
        <w:rPr>
          <w:rFonts w:cs="Times New Roman"/>
        </w:rPr>
        <w:tab/>
      </w:r>
      <w:r>
        <w:rPr>
          <w:rFonts w:cs="Times New Roman"/>
        </w:rPr>
        <w:fldChar w:fldCharType="begin"/>
      </w:r>
      <w:r>
        <w:rPr>
          <w:rFonts w:cs="Times New Roman"/>
        </w:rPr>
        <w:instrText xml:space="preserve"> PAGEREF _Toc18062 \h </w:instrText>
      </w:r>
      <w:r>
        <w:rPr>
          <w:rFonts w:cs="Times New Roman"/>
        </w:rPr>
        <w:fldChar w:fldCharType="separate"/>
      </w:r>
      <w:r>
        <w:rPr>
          <w:rFonts w:cs="Times New Roman"/>
        </w:rPr>
        <w:t>5</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"_Toc5545" </w:instrText>
      </w:r>
      <w:r>
        <w:fldChar w:fldCharType="separate"/>
      </w:r>
      <w:r>
        <w:rPr>
          <w:rFonts w:cs="Times New Roman"/>
        </w:rPr>
        <w:t>（二）面临形势</w:t>
      </w:r>
      <w:r>
        <w:rPr>
          <w:rFonts w:cs="Times New Roman"/>
        </w:rPr>
        <w:tab/>
      </w:r>
      <w:r>
        <w:rPr>
          <w:rFonts w:cs="Times New Roman"/>
        </w:rPr>
        <w:fldChar w:fldCharType="begin"/>
      </w:r>
      <w:r>
        <w:rPr>
          <w:rFonts w:cs="Times New Roman"/>
        </w:rPr>
        <w:instrText xml:space="preserve"> PAGEREF _Toc5545 \h </w:instrText>
      </w:r>
      <w:r>
        <w:rPr>
          <w:rFonts w:cs="Times New Roman"/>
        </w:rPr>
        <w:fldChar w:fldCharType="separate"/>
      </w:r>
      <w:r>
        <w:rPr>
          <w:rFonts w:cs="Times New Roman"/>
        </w:rPr>
        <w:t>10</w:t>
      </w:r>
      <w:r>
        <w:rPr>
          <w:rFonts w:cs="Times New Roman"/>
        </w:rPr>
        <w:fldChar w:fldCharType="end"/>
      </w:r>
      <w:r>
        <w:rPr>
          <w:rFonts w:cs="Times New Roman"/>
        </w:rPr>
        <w:fldChar w:fldCharType="end"/>
      </w:r>
    </w:p>
    <w:p>
      <w:pPr>
        <w:pStyle w:val="16"/>
        <w:tabs>
          <w:tab w:val="right" w:leader="dot" w:pos="8844"/>
        </w:tabs>
        <w:rPr>
          <w:rFonts w:cs="Times New Roman"/>
        </w:rPr>
      </w:pPr>
      <w:r>
        <w:fldChar w:fldCharType="begin"/>
      </w:r>
      <w:r>
        <w:instrText xml:space="preserve"> HYPERLINK \l "_Toc2312" </w:instrText>
      </w:r>
      <w:r>
        <w:fldChar w:fldCharType="separate"/>
      </w:r>
      <w:r>
        <w:rPr>
          <w:rFonts w:cs="Times New Roman"/>
          <w:bCs w:val="0"/>
        </w:rPr>
        <w:t>三、规划目标</w:t>
      </w:r>
      <w:r>
        <w:rPr>
          <w:rFonts w:cs="Times New Roman"/>
        </w:rPr>
        <w:tab/>
      </w:r>
      <w:r>
        <w:rPr>
          <w:rFonts w:cs="Times New Roman"/>
        </w:rPr>
        <w:fldChar w:fldCharType="begin"/>
      </w:r>
      <w:r>
        <w:rPr>
          <w:rFonts w:cs="Times New Roman"/>
        </w:rPr>
        <w:instrText xml:space="preserve"> PAGEREF _Toc2312 \h </w:instrText>
      </w:r>
      <w:r>
        <w:rPr>
          <w:rFonts w:cs="Times New Roman"/>
        </w:rPr>
        <w:fldChar w:fldCharType="separate"/>
      </w:r>
      <w:r>
        <w:rPr>
          <w:rFonts w:cs="Times New Roman"/>
        </w:rPr>
        <w:t>13</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"_Toc6985" </w:instrText>
      </w:r>
      <w:r>
        <w:fldChar w:fldCharType="separate"/>
      </w:r>
      <w:r>
        <w:rPr>
          <w:rFonts w:cs="Times New Roman"/>
        </w:rPr>
        <w:t>（一）近期目标</w:t>
      </w:r>
      <w:r>
        <w:rPr>
          <w:rFonts w:cs="Times New Roman"/>
        </w:rPr>
        <w:tab/>
      </w:r>
      <w:r>
        <w:rPr>
          <w:rFonts w:cs="Times New Roman"/>
        </w:rPr>
        <w:fldChar w:fldCharType="begin"/>
      </w:r>
      <w:r>
        <w:rPr>
          <w:rFonts w:cs="Times New Roman"/>
        </w:rPr>
        <w:instrText xml:space="preserve"> PAGEREF _Toc6985 \h </w:instrText>
      </w:r>
      <w:r>
        <w:rPr>
          <w:rFonts w:cs="Times New Roman"/>
        </w:rPr>
        <w:fldChar w:fldCharType="separate"/>
      </w:r>
      <w:r>
        <w:rPr>
          <w:rFonts w:cs="Times New Roman"/>
        </w:rPr>
        <w:t>13</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"_Toc13341" </w:instrText>
      </w:r>
      <w:r>
        <w:fldChar w:fldCharType="separate"/>
      </w:r>
      <w:r>
        <w:rPr>
          <w:rFonts w:cs="Times New Roman"/>
        </w:rPr>
        <w:t>（二）远景目标</w:t>
      </w:r>
      <w:r>
        <w:rPr>
          <w:rFonts w:cs="Times New Roman"/>
        </w:rPr>
        <w:tab/>
      </w:r>
      <w:r>
        <w:rPr>
          <w:rFonts w:cs="Times New Roman"/>
        </w:rPr>
        <w:fldChar w:fldCharType="begin"/>
      </w:r>
      <w:r>
        <w:rPr>
          <w:rFonts w:cs="Times New Roman"/>
        </w:rPr>
        <w:instrText xml:space="preserve"> PAGEREF _Toc13341 \h </w:instrText>
      </w:r>
      <w:r>
        <w:rPr>
          <w:rFonts w:cs="Times New Roman"/>
        </w:rPr>
        <w:fldChar w:fldCharType="separate"/>
      </w:r>
      <w:r>
        <w:rPr>
          <w:rFonts w:cs="Times New Roman"/>
        </w:rPr>
        <w:t>15</w:t>
      </w:r>
      <w:r>
        <w:rPr>
          <w:rFonts w:cs="Times New Roman"/>
        </w:rPr>
        <w:fldChar w:fldCharType="end"/>
      </w:r>
      <w:r>
        <w:rPr>
          <w:rFonts w:cs="Times New Roman"/>
        </w:rPr>
        <w:fldChar w:fldCharType="end"/>
      </w:r>
    </w:p>
    <w:p>
      <w:pPr>
        <w:pStyle w:val="16"/>
        <w:tabs>
          <w:tab w:val="right" w:leader="dot" w:pos="8844"/>
        </w:tabs>
        <w:rPr>
          <w:rFonts w:cs="Times New Roman"/>
        </w:rPr>
      </w:pPr>
      <w:r>
        <w:fldChar w:fldCharType="begin"/>
      </w:r>
      <w:r>
        <w:instrText xml:space="preserve"> HYPERLINK \l "_Toc31945" </w:instrText>
      </w:r>
      <w:r>
        <w:fldChar w:fldCharType="separate"/>
      </w:r>
      <w:r>
        <w:rPr>
          <w:rFonts w:cs="Times New Roman"/>
        </w:rPr>
        <w:t>四、主要任务和重点工程</w:t>
      </w:r>
      <w:r>
        <w:rPr>
          <w:rFonts w:cs="Times New Roman"/>
        </w:rPr>
        <w:tab/>
      </w:r>
      <w:r>
        <w:rPr>
          <w:rFonts w:cs="Times New Roman"/>
        </w:rPr>
        <w:fldChar w:fldCharType="begin"/>
      </w:r>
      <w:r>
        <w:rPr>
          <w:rFonts w:cs="Times New Roman"/>
        </w:rPr>
        <w:instrText xml:space="preserve"> PAGEREF _Toc31945 \h </w:instrText>
      </w:r>
      <w:r>
        <w:rPr>
          <w:rFonts w:cs="Times New Roman"/>
        </w:rPr>
        <w:fldChar w:fldCharType="separate"/>
      </w:r>
      <w:r>
        <w:rPr>
          <w:rFonts w:cs="Times New Roman"/>
        </w:rPr>
        <w:t>15</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"_Toc9082" </w:instrText>
      </w:r>
      <w:r>
        <w:fldChar w:fldCharType="separate"/>
      </w:r>
      <w:r>
        <w:rPr>
          <w:rFonts w:cs="Times New Roman"/>
        </w:rPr>
        <w:t>（一）应急管理机制方面</w:t>
      </w:r>
      <w:r>
        <w:rPr>
          <w:rFonts w:cs="Times New Roman"/>
        </w:rPr>
        <w:tab/>
      </w:r>
      <w:r>
        <w:rPr>
          <w:rFonts w:cs="Times New Roman"/>
        </w:rPr>
        <w:fldChar w:fldCharType="begin"/>
      </w:r>
      <w:r>
        <w:rPr>
          <w:rFonts w:cs="Times New Roman"/>
        </w:rPr>
        <w:instrText xml:space="preserve"> PAGEREF _Toc9082 \h </w:instrText>
      </w:r>
      <w:r>
        <w:rPr>
          <w:rFonts w:cs="Times New Roman"/>
        </w:rPr>
        <w:fldChar w:fldCharType="separate"/>
      </w:r>
      <w:r>
        <w:rPr>
          <w:rFonts w:cs="Times New Roman"/>
        </w:rPr>
        <w:t>16</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"_Toc16054" </w:instrText>
      </w:r>
      <w:r>
        <w:fldChar w:fldCharType="separate"/>
      </w:r>
      <w:r>
        <w:rPr>
          <w:rFonts w:cs="Times New Roman"/>
        </w:rPr>
        <w:t>（二）安全生产风险防控方面</w:t>
      </w:r>
      <w:r>
        <w:rPr>
          <w:rFonts w:cs="Times New Roman"/>
        </w:rPr>
        <w:tab/>
      </w:r>
      <w:r>
        <w:rPr>
          <w:rFonts w:cs="Times New Roman"/>
        </w:rPr>
        <w:fldChar w:fldCharType="begin"/>
      </w:r>
      <w:r>
        <w:rPr>
          <w:rFonts w:cs="Times New Roman"/>
        </w:rPr>
        <w:instrText xml:space="preserve"> PAGEREF _Toc16054 \h </w:instrText>
      </w:r>
      <w:r>
        <w:rPr>
          <w:rFonts w:cs="Times New Roman"/>
        </w:rPr>
        <w:fldChar w:fldCharType="separate"/>
      </w:r>
      <w:r>
        <w:rPr>
          <w:rFonts w:cs="Times New Roman"/>
        </w:rPr>
        <w:t>17</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"_Toc19143" </w:instrText>
      </w:r>
      <w:r>
        <w:fldChar w:fldCharType="separate"/>
      </w:r>
      <w:r>
        <w:rPr>
          <w:rFonts w:cs="Times New Roman"/>
        </w:rPr>
        <w:t>（三）自然灾害防治方面</w:t>
      </w:r>
      <w:r>
        <w:rPr>
          <w:rFonts w:cs="Times New Roman"/>
        </w:rPr>
        <w:tab/>
      </w:r>
      <w:r>
        <w:rPr>
          <w:rFonts w:cs="Times New Roman"/>
        </w:rPr>
        <w:fldChar w:fldCharType="begin"/>
      </w:r>
      <w:r>
        <w:rPr>
          <w:rFonts w:cs="Times New Roman"/>
        </w:rPr>
        <w:instrText xml:space="preserve"> PAGEREF _Toc19143 \h </w:instrText>
      </w:r>
      <w:r>
        <w:rPr>
          <w:rFonts w:cs="Times New Roman"/>
        </w:rPr>
        <w:fldChar w:fldCharType="separate"/>
      </w:r>
      <w:r>
        <w:rPr>
          <w:rFonts w:cs="Times New Roman"/>
        </w:rPr>
        <w:t>21</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"_Toc10813" </w:instrText>
      </w:r>
      <w:r>
        <w:fldChar w:fldCharType="separate"/>
      </w:r>
      <w:r>
        <w:rPr>
          <w:rFonts w:cs="Times New Roman"/>
        </w:rPr>
        <w:t>（四）应急救援和防灾减灾能力建设方面</w:t>
      </w:r>
      <w:r>
        <w:rPr>
          <w:rFonts w:cs="Times New Roman"/>
        </w:rPr>
        <w:tab/>
      </w:r>
      <w:r>
        <w:rPr>
          <w:rFonts w:cs="Times New Roman"/>
        </w:rPr>
        <w:fldChar w:fldCharType="begin"/>
      </w:r>
      <w:r>
        <w:rPr>
          <w:rFonts w:cs="Times New Roman"/>
        </w:rPr>
        <w:instrText xml:space="preserve"> PAGEREF _Toc10813 \h </w:instrText>
      </w:r>
      <w:r>
        <w:rPr>
          <w:rFonts w:cs="Times New Roman"/>
        </w:rPr>
        <w:fldChar w:fldCharType="separate"/>
      </w:r>
      <w:r>
        <w:rPr>
          <w:rFonts w:cs="Times New Roman"/>
        </w:rPr>
        <w:t>24</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"_Toc27153" </w:instrText>
      </w:r>
      <w:r>
        <w:fldChar w:fldCharType="separate"/>
      </w:r>
      <w:r>
        <w:rPr>
          <w:rFonts w:cs="Times New Roman"/>
        </w:rPr>
        <w:t>（五）先进信息技术应用方面</w:t>
      </w:r>
      <w:r>
        <w:rPr>
          <w:rFonts w:cs="Times New Roman"/>
        </w:rPr>
        <w:tab/>
      </w:r>
      <w:r>
        <w:rPr>
          <w:rFonts w:cs="Times New Roman"/>
        </w:rPr>
        <w:fldChar w:fldCharType="begin"/>
      </w:r>
      <w:r>
        <w:rPr>
          <w:rFonts w:cs="Times New Roman"/>
        </w:rPr>
        <w:instrText xml:space="preserve"> PAGEREF _Toc27153 \h </w:instrText>
      </w:r>
      <w:r>
        <w:rPr>
          <w:rFonts w:cs="Times New Roman"/>
        </w:rPr>
        <w:fldChar w:fldCharType="separate"/>
      </w:r>
      <w:r>
        <w:rPr>
          <w:rFonts w:cs="Times New Roman"/>
        </w:rPr>
        <w:t>29</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"_Toc5217" </w:instrText>
      </w:r>
      <w:r>
        <w:fldChar w:fldCharType="separate"/>
      </w:r>
      <w:r>
        <w:rPr>
          <w:rFonts w:cs="Times New Roman"/>
        </w:rPr>
        <w:t>（六）应急管理共建共治共享格局</w:t>
      </w:r>
      <w:r>
        <w:rPr>
          <w:rFonts w:cs="Times New Roman"/>
        </w:rPr>
        <w:tab/>
      </w:r>
      <w:r>
        <w:rPr>
          <w:rFonts w:cs="Times New Roman"/>
        </w:rPr>
        <w:fldChar w:fldCharType="begin"/>
      </w:r>
      <w:r>
        <w:rPr>
          <w:rFonts w:cs="Times New Roman"/>
        </w:rPr>
        <w:instrText xml:space="preserve"> PAGEREF _Toc5217 \h </w:instrText>
      </w:r>
      <w:r>
        <w:rPr>
          <w:rFonts w:cs="Times New Roman"/>
        </w:rPr>
        <w:fldChar w:fldCharType="separate"/>
      </w:r>
      <w:r>
        <w:rPr>
          <w:rFonts w:cs="Times New Roman"/>
        </w:rPr>
        <w:t>30</w:t>
      </w:r>
      <w:r>
        <w:rPr>
          <w:rFonts w:cs="Times New Roman"/>
        </w:rPr>
        <w:fldChar w:fldCharType="end"/>
      </w:r>
      <w:r>
        <w:rPr>
          <w:rFonts w:cs="Times New Roman"/>
        </w:rPr>
        <w:fldChar w:fldCharType="end"/>
      </w:r>
    </w:p>
    <w:p>
      <w:pPr>
        <w:pStyle w:val="16"/>
        <w:tabs>
          <w:tab w:val="right" w:leader="dot" w:pos="8844"/>
        </w:tabs>
        <w:rPr>
          <w:rFonts w:cs="Times New Roman"/>
        </w:rPr>
      </w:pPr>
      <w:r>
        <w:fldChar w:fldCharType="begin"/>
      </w:r>
      <w:r>
        <w:instrText xml:space="preserve"> HYPERLINK \l "_Toc2746" </w:instrText>
      </w:r>
      <w:r>
        <w:fldChar w:fldCharType="separate"/>
      </w:r>
      <w:r>
        <w:rPr>
          <w:rFonts w:cs="Times New Roman"/>
        </w:rPr>
        <w:t>五、保障措施</w:t>
      </w:r>
      <w:r>
        <w:rPr>
          <w:rFonts w:cs="Times New Roman"/>
        </w:rPr>
        <w:tab/>
      </w:r>
      <w:r>
        <w:rPr>
          <w:rFonts w:cs="Times New Roman"/>
        </w:rPr>
        <w:fldChar w:fldCharType="begin"/>
      </w:r>
      <w:r>
        <w:rPr>
          <w:rFonts w:cs="Times New Roman"/>
        </w:rPr>
        <w:instrText xml:space="preserve"> PAGEREF _Toc2746 \h </w:instrText>
      </w:r>
      <w:r>
        <w:rPr>
          <w:rFonts w:cs="Times New Roman"/>
        </w:rPr>
        <w:fldChar w:fldCharType="separate"/>
      </w:r>
      <w:r>
        <w:rPr>
          <w:rFonts w:cs="Times New Roman"/>
        </w:rPr>
        <w:t>33</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"_Toc28610" </w:instrText>
      </w:r>
      <w:r>
        <w:fldChar w:fldCharType="separate"/>
      </w:r>
      <w:r>
        <w:rPr>
          <w:rFonts w:cs="Times New Roman"/>
        </w:rPr>
        <w:t>（一）完善组织保障</w:t>
      </w:r>
      <w:r>
        <w:rPr>
          <w:rFonts w:cs="Times New Roman"/>
        </w:rPr>
        <w:tab/>
      </w:r>
      <w:r>
        <w:rPr>
          <w:rFonts w:cs="Times New Roman"/>
        </w:rPr>
        <w:fldChar w:fldCharType="begin"/>
      </w:r>
      <w:r>
        <w:rPr>
          <w:rFonts w:cs="Times New Roman"/>
        </w:rPr>
        <w:instrText xml:space="preserve"> PAGEREF _Toc28610 \h </w:instrText>
      </w:r>
      <w:r>
        <w:rPr>
          <w:rFonts w:cs="Times New Roman"/>
        </w:rPr>
        <w:fldChar w:fldCharType="separate"/>
      </w:r>
      <w:r>
        <w:rPr>
          <w:rFonts w:cs="Times New Roman"/>
        </w:rPr>
        <w:t>33</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"_Toc12446" </w:instrText>
      </w:r>
      <w:r>
        <w:fldChar w:fldCharType="separate"/>
      </w:r>
      <w:r>
        <w:rPr>
          <w:rFonts w:cs="Times New Roman"/>
        </w:rPr>
        <w:t>（二）强化资金保障</w:t>
      </w:r>
      <w:r>
        <w:rPr>
          <w:rFonts w:cs="Times New Roman"/>
        </w:rPr>
        <w:tab/>
      </w:r>
      <w:r>
        <w:rPr>
          <w:rFonts w:cs="Times New Roman"/>
        </w:rPr>
        <w:fldChar w:fldCharType="begin"/>
      </w:r>
      <w:r>
        <w:rPr>
          <w:rFonts w:cs="Times New Roman"/>
        </w:rPr>
        <w:instrText xml:space="preserve"> PAGEREF _Toc12446 \h </w:instrText>
      </w:r>
      <w:r>
        <w:rPr>
          <w:rFonts w:cs="Times New Roman"/>
        </w:rPr>
        <w:fldChar w:fldCharType="separate"/>
      </w:r>
      <w:r>
        <w:rPr>
          <w:rFonts w:cs="Times New Roman"/>
        </w:rPr>
        <w:t>33</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"_Toc1441" </w:instrText>
      </w:r>
      <w:r>
        <w:fldChar w:fldCharType="separate"/>
      </w:r>
      <w:r>
        <w:rPr>
          <w:rFonts w:cs="Times New Roman"/>
        </w:rPr>
        <w:t>（三）强化政策保障</w:t>
      </w:r>
      <w:r>
        <w:rPr>
          <w:rFonts w:cs="Times New Roman"/>
        </w:rPr>
        <w:tab/>
      </w:r>
      <w:r>
        <w:rPr>
          <w:rFonts w:cs="Times New Roman"/>
        </w:rPr>
        <w:fldChar w:fldCharType="begin"/>
      </w:r>
      <w:r>
        <w:rPr>
          <w:rFonts w:cs="Times New Roman"/>
        </w:rPr>
        <w:instrText xml:space="preserve"> PAGEREF _Toc1441 \h </w:instrText>
      </w:r>
      <w:r>
        <w:rPr>
          <w:rFonts w:cs="Times New Roman"/>
        </w:rPr>
        <w:fldChar w:fldCharType="separate"/>
      </w:r>
      <w:r>
        <w:rPr>
          <w:rFonts w:cs="Times New Roman"/>
        </w:rPr>
        <w:t>33</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"_Toc18819" </w:instrText>
      </w:r>
      <w:r>
        <w:fldChar w:fldCharType="separate"/>
      </w:r>
      <w:r>
        <w:rPr>
          <w:rFonts w:cs="Times New Roman"/>
        </w:rPr>
        <w:t>（四）加大督查问效</w:t>
      </w:r>
      <w:r>
        <w:rPr>
          <w:rFonts w:cs="Times New Roman"/>
        </w:rPr>
        <w:tab/>
      </w:r>
      <w:r>
        <w:rPr>
          <w:rFonts w:cs="Times New Roman"/>
        </w:rPr>
        <w:fldChar w:fldCharType="begin"/>
      </w:r>
      <w:r>
        <w:rPr>
          <w:rFonts w:cs="Times New Roman"/>
        </w:rPr>
        <w:instrText xml:space="preserve"> PAGEREF _Toc18819 \h </w:instrText>
      </w:r>
      <w:r>
        <w:rPr>
          <w:rFonts w:cs="Times New Roman"/>
        </w:rPr>
        <w:fldChar w:fldCharType="separate"/>
      </w:r>
      <w:r>
        <w:rPr>
          <w:rFonts w:cs="Times New Roman"/>
        </w:rPr>
        <w:t>33</w:t>
      </w:r>
      <w:r>
        <w:rPr>
          <w:rFonts w:cs="Times New Roman"/>
        </w:rPr>
        <w:fldChar w:fldCharType="end"/>
      </w:r>
      <w:r>
        <w:rPr>
          <w:rFonts w:cs="Times New Roman"/>
        </w:rPr>
        <w:fldChar w:fldCharType="end"/>
      </w:r>
    </w:p>
    <w:p>
      <w:pPr>
        <w:pStyle w:val="16"/>
        <w:tabs>
          <w:tab w:val="right" w:leader="dot" w:pos="8844"/>
        </w:tabs>
        <w:rPr>
          <w:rFonts w:cs="Times New Roman"/>
        </w:rPr>
      </w:pPr>
      <w:r>
        <w:fldChar w:fldCharType="begin"/>
      </w:r>
      <w:r>
        <w:instrText xml:space="preserve"> HYPERLINK \l "_Toc22538" </w:instrText>
      </w:r>
      <w:r>
        <w:fldChar w:fldCharType="separate"/>
      </w:r>
      <w:r>
        <w:rPr>
          <w:rFonts w:cs="Times New Roman"/>
        </w:rPr>
        <w:t>附表</w:t>
      </w:r>
      <w:r>
        <w:rPr>
          <w:rFonts w:cs="Times New Roman"/>
        </w:rPr>
        <w:tab/>
      </w:r>
      <w:r>
        <w:rPr>
          <w:rFonts w:cs="Times New Roman"/>
        </w:rPr>
        <w:fldChar w:fldCharType="begin"/>
      </w:r>
      <w:r>
        <w:rPr>
          <w:rFonts w:cs="Times New Roman"/>
        </w:rPr>
        <w:instrText xml:space="preserve"> PAGEREF _Toc22538 \h </w:instrText>
      </w:r>
      <w:r>
        <w:rPr>
          <w:rFonts w:cs="Times New Roman"/>
        </w:rPr>
        <w:fldChar w:fldCharType="separate"/>
      </w:r>
      <w:r>
        <w:rPr>
          <w:rFonts w:cs="Times New Roman"/>
        </w:rPr>
        <w:t>35</w:t>
      </w:r>
      <w:r>
        <w:rPr>
          <w:rFonts w:cs="Times New Roman"/>
        </w:rPr>
        <w:fldChar w:fldCharType="end"/>
      </w:r>
      <w:r>
        <w:rPr>
          <w:rFonts w:cs="Times New Roman"/>
        </w:rPr>
        <w:fldChar w:fldCharType="end"/>
      </w:r>
    </w:p>
    <w:p>
      <w:pPr>
        <w:pStyle w:val="16"/>
        <w:tabs>
          <w:tab w:val="right" w:leader="dot" w:pos="8844"/>
        </w:tabs>
        <w:rPr>
          <w:rFonts w:cs="Times New Roman"/>
        </w:rPr>
      </w:pPr>
      <w:r>
        <w:fldChar w:fldCharType="begin"/>
      </w:r>
      <w:r>
        <w:instrText xml:space="preserve"> HYPERLINK \l "_Toc29985" </w:instrText>
      </w:r>
      <w:r>
        <w:fldChar w:fldCharType="separate"/>
      </w:r>
      <w:r>
        <w:rPr>
          <w:rFonts w:cs="Times New Roman"/>
        </w:rPr>
        <w:t>附图</w:t>
      </w:r>
      <w:r>
        <w:rPr>
          <w:rFonts w:cs="Times New Roman"/>
        </w:rPr>
        <w:tab/>
      </w:r>
      <w:r>
        <w:rPr>
          <w:rFonts w:cs="Times New Roman"/>
        </w:rPr>
        <w:fldChar w:fldCharType="begin"/>
      </w:r>
      <w:r>
        <w:rPr>
          <w:rFonts w:cs="Times New Roman"/>
        </w:rPr>
        <w:instrText xml:space="preserve"> PAGEREF _Toc29985 \h </w:instrText>
      </w:r>
      <w:r>
        <w:rPr>
          <w:rFonts w:cs="Times New Roman"/>
        </w:rPr>
        <w:fldChar w:fldCharType="separate"/>
      </w:r>
      <w:r>
        <w:rPr>
          <w:rFonts w:cs="Times New Roman"/>
        </w:rPr>
        <w:t>58</w:t>
      </w:r>
      <w:r>
        <w:rPr>
          <w:rFonts w:cs="Times New Roman"/>
        </w:rPr>
        <w:fldChar w:fldCharType="end"/>
      </w:r>
      <w:r>
        <w:rPr>
          <w:rFonts w:cs="Times New Roman"/>
        </w:rPr>
        <w:fldChar w:fldCharType="end"/>
      </w:r>
    </w:p>
    <w:p>
      <w:pPr>
        <w:ind w:firstLine="640"/>
        <w:rPr>
          <w:rFonts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1134" w:gutter="0"/>
          <w:pgNumType w:start="1"/>
          <w:cols w:space="425" w:num="1"/>
          <w:titlePg/>
          <w:docGrid w:type="lines" w:linePitch="435" w:charSpace="0"/>
        </w:sectPr>
      </w:pPr>
      <w:r>
        <w:rPr>
          <w:rFonts w:cs="Times New Roman"/>
        </w:rPr>
        <w:fldChar w:fldCharType="end"/>
      </w:r>
    </w:p>
    <w:p>
      <w:pPr>
        <w:pStyle w:val="3"/>
        <w:ind w:left="165"/>
        <w:rPr>
          <w:rFonts w:cs="Times New Roman"/>
        </w:rPr>
      </w:pPr>
      <w:bookmarkStart w:id="1" w:name="_Toc12518"/>
      <w:bookmarkStart w:id="2" w:name="_Toc98773620"/>
      <w:r>
        <w:rPr>
          <w:rFonts w:cs="Times New Roman"/>
        </w:rPr>
        <w:t>一、总则</w:t>
      </w:r>
      <w:bookmarkEnd w:id="1"/>
    </w:p>
    <w:p>
      <w:pPr>
        <w:ind w:firstLine="640"/>
        <w:rPr>
          <w:rFonts w:cs="Times New Roman"/>
        </w:rPr>
      </w:pPr>
      <w:r>
        <w:rPr>
          <w:rFonts w:hint="eastAsia" w:cs="Times New Roman"/>
        </w:rPr>
        <w:t>为全面贯彻落实习近平总书记关于应急管理和防灾减灾救灾工作的重要批示指示精神，坚持以人民为中心的发展思想，按照省委省政府、市委市政府、区委区政府关于做好两项改革“后半篇”文章总体要求，统筹发展和安全两件大事，强化“两个根本”，坚持“三个必须”，积极融入乡村振兴战略，提高基层应急管理能力，建立健全</w:t>
      </w:r>
      <w:r>
        <w:rPr>
          <w:rFonts w:hint="eastAsia" w:cs="Times New Roman"/>
          <w:szCs w:val="32"/>
        </w:rPr>
        <w:t>莲花湖现代农业片区</w:t>
      </w:r>
      <w:r>
        <w:rPr>
          <w:rFonts w:hint="eastAsia" w:cs="Times New Roman"/>
        </w:rPr>
        <w:t>应急管理体系，强化安全生产风险防控能力，提升自然灾害防御能力，加强应急处置能力建设，提升基层应急管理水平，扎实推进基层治理体系和治理能力现代化，打造共建共治共享的应急管理格局。结合片区现状，特</w:t>
      </w:r>
      <w:r>
        <w:rPr>
          <w:rFonts w:cs="Times New Roman"/>
        </w:rPr>
        <w:t>编制《安居区莲花湖现代农业片区</w:t>
      </w:r>
      <w:r>
        <w:rPr>
          <w:rFonts w:cs="Times New Roman"/>
          <w:szCs w:val="32"/>
        </w:rPr>
        <w:t>应急体系专项规划（2021-2035）》（以下简称</w:t>
      </w:r>
      <w:r>
        <w:rPr>
          <w:rFonts w:hint="eastAsia" w:cs="Times New Roman"/>
          <w:szCs w:val="32"/>
        </w:rPr>
        <w:t>“</w:t>
      </w:r>
      <w:r>
        <w:rPr>
          <w:rFonts w:cs="Times New Roman"/>
          <w:szCs w:val="32"/>
        </w:rPr>
        <w:t>本规划</w:t>
      </w:r>
      <w:r>
        <w:rPr>
          <w:rFonts w:hint="eastAsia" w:cs="Times New Roman"/>
          <w:szCs w:val="32"/>
        </w:rPr>
        <w:t>”</w:t>
      </w:r>
      <w:r>
        <w:rPr>
          <w:rFonts w:cs="Times New Roman"/>
          <w:szCs w:val="32"/>
        </w:rPr>
        <w:t>）。</w:t>
      </w:r>
    </w:p>
    <w:bookmarkEnd w:id="2"/>
    <w:p>
      <w:pPr>
        <w:pStyle w:val="4"/>
        <w:rPr>
          <w:rFonts w:cs="Times New Roman"/>
        </w:rPr>
      </w:pPr>
      <w:bookmarkStart w:id="3" w:name="_Toc29662"/>
      <w:r>
        <w:rPr>
          <w:rFonts w:cs="Times New Roman"/>
        </w:rPr>
        <w:t>（一）地位作用</w:t>
      </w:r>
      <w:bookmarkEnd w:id="3"/>
    </w:p>
    <w:p>
      <w:pPr>
        <w:ind w:firstLine="640"/>
        <w:rPr>
          <w:rFonts w:cs="Times New Roman"/>
          <w:szCs w:val="32"/>
        </w:rPr>
      </w:pPr>
      <w:bookmarkStart w:id="4" w:name="_Toc91790469"/>
      <w:bookmarkStart w:id="5" w:name="_Toc98773621"/>
      <w:r>
        <w:rPr>
          <w:rFonts w:hint="eastAsia" w:cs="Times New Roman"/>
        </w:rPr>
        <w:t>编制乡镇级片区应急体系专项规划，是区委区政府关于全面贯彻落实全省统筹推进乡村国土空间规划编制和两项改革“后半篇”文章工作会议精神的重大举措，是融合衔接乡镇级片区国土空间规划的实际需求，是对安居</w:t>
      </w:r>
      <w:r>
        <w:rPr>
          <w:rFonts w:cs="Times New Roman"/>
          <w:szCs w:val="32"/>
        </w:rPr>
        <w:t>区</w:t>
      </w:r>
      <w:r>
        <w:rPr>
          <w:rFonts w:hint="eastAsia" w:cs="Times New Roman"/>
        </w:rPr>
        <w:t>“十四五”应急体系规划和提升基层应急能力工作方案的细化和深化，是自然灾害综合风险普查成果的具体应用，是指引片区未来应急工作，健全完善基层应急体系、提升基层应急能力的重要依据，对增强片区安全风险防控能力、应急救援能力、防灾减灾能力和社会共治能力，有效推动基层应急体系和应急能力现代化具有重要意义。</w:t>
      </w:r>
    </w:p>
    <w:p>
      <w:pPr>
        <w:pStyle w:val="4"/>
        <w:rPr>
          <w:rFonts w:cs="Times New Roman"/>
          <w:bCs w:val="0"/>
        </w:rPr>
      </w:pPr>
      <w:bookmarkStart w:id="6" w:name="_Toc13134"/>
      <w:r>
        <w:rPr>
          <w:rFonts w:cs="Times New Roman"/>
        </w:rPr>
        <w:t>（二）</w:t>
      </w:r>
      <w:r>
        <w:rPr>
          <w:rFonts w:cs="Times New Roman"/>
          <w:bCs w:val="0"/>
        </w:rPr>
        <w:t>规划</w:t>
      </w:r>
      <w:bookmarkEnd w:id="4"/>
      <w:r>
        <w:rPr>
          <w:rFonts w:cs="Times New Roman"/>
          <w:bCs w:val="0"/>
        </w:rPr>
        <w:t>依据</w:t>
      </w:r>
      <w:bookmarkEnd w:id="5"/>
      <w:bookmarkEnd w:id="6"/>
    </w:p>
    <w:p>
      <w:pPr>
        <w:ind w:firstLine="640"/>
        <w:rPr>
          <w:rFonts w:cs="Times New Roman"/>
          <w:szCs w:val="32"/>
        </w:rPr>
      </w:pPr>
      <w:bookmarkStart w:id="7" w:name="_Toc91790470"/>
      <w:r>
        <w:rPr>
          <w:rFonts w:cs="Times New Roman"/>
          <w:szCs w:val="32"/>
        </w:rPr>
        <w:t>《中华人民共和国安全生产法》（2021年修订版）</w:t>
      </w:r>
    </w:p>
    <w:p>
      <w:pPr>
        <w:ind w:firstLine="640"/>
        <w:rPr>
          <w:rFonts w:cs="Times New Roman"/>
          <w:szCs w:val="32"/>
        </w:rPr>
      </w:pPr>
      <w:r>
        <w:rPr>
          <w:rFonts w:cs="Times New Roman"/>
          <w:szCs w:val="32"/>
        </w:rPr>
        <w:t>《中华人民共和国突发事件应对法》（中华人民共和国主席令第六十九号）</w:t>
      </w:r>
    </w:p>
    <w:p>
      <w:pPr>
        <w:ind w:firstLine="640"/>
        <w:rPr>
          <w:rFonts w:cs="Times New Roman"/>
          <w:szCs w:val="32"/>
        </w:rPr>
      </w:pPr>
      <w:r>
        <w:rPr>
          <w:rFonts w:cs="Times New Roman"/>
          <w:szCs w:val="32"/>
        </w:rPr>
        <w:t>《四川省乡镇行政区划和村级建制调整改革</w:t>
      </w:r>
      <w:r>
        <w:rPr>
          <w:rFonts w:hint="eastAsia" w:cs="Times New Roman"/>
          <w:szCs w:val="32"/>
        </w:rPr>
        <w:t>“</w:t>
      </w:r>
      <w:r>
        <w:rPr>
          <w:rFonts w:cs="Times New Roman"/>
          <w:szCs w:val="32"/>
        </w:rPr>
        <w:t>后半篇</w:t>
      </w:r>
      <w:r>
        <w:rPr>
          <w:rFonts w:hint="eastAsia" w:cs="Times New Roman"/>
          <w:szCs w:val="32"/>
        </w:rPr>
        <w:t>”</w:t>
      </w:r>
      <w:r>
        <w:rPr>
          <w:rFonts w:cs="Times New Roman"/>
          <w:szCs w:val="32"/>
        </w:rPr>
        <w:t>文章专项工作领导小组关于印发〈优化乡镇机构编制资源配置〉等25个工作方案的通知》（川两改组〔2021〕2号）</w:t>
      </w:r>
    </w:p>
    <w:p>
      <w:pPr>
        <w:ind w:firstLine="640"/>
        <w:rPr>
          <w:rFonts w:cs="Times New Roman"/>
          <w:szCs w:val="32"/>
        </w:rPr>
      </w:pPr>
      <w:r>
        <w:rPr>
          <w:rFonts w:cs="Times New Roman"/>
          <w:szCs w:val="32"/>
        </w:rPr>
        <w:t>《中共四川省委办公厅 四川省人民政府办公厅印发〈关于做好乡镇行政区划和村级建制调整改革</w:t>
      </w:r>
      <w:r>
        <w:rPr>
          <w:rFonts w:hint="eastAsia" w:cs="Times New Roman"/>
          <w:szCs w:val="32"/>
        </w:rPr>
        <w:t>“</w:t>
      </w:r>
      <w:r>
        <w:rPr>
          <w:rFonts w:cs="Times New Roman"/>
          <w:szCs w:val="32"/>
        </w:rPr>
        <w:t>后半篇</w:t>
      </w:r>
      <w:r>
        <w:rPr>
          <w:rFonts w:hint="eastAsia" w:cs="Times New Roman"/>
          <w:szCs w:val="32"/>
        </w:rPr>
        <w:t>”</w:t>
      </w:r>
      <w:r>
        <w:rPr>
          <w:rFonts w:cs="Times New Roman"/>
          <w:szCs w:val="32"/>
        </w:rPr>
        <w:t>文章的实施方案〉的通知》（川委厅〔2021〕6号）</w:t>
      </w:r>
    </w:p>
    <w:p>
      <w:pPr>
        <w:ind w:firstLine="640"/>
        <w:rPr>
          <w:rFonts w:cs="Times New Roman"/>
          <w:szCs w:val="32"/>
        </w:rPr>
      </w:pPr>
      <w:r>
        <w:rPr>
          <w:rFonts w:cs="Times New Roman"/>
          <w:szCs w:val="32"/>
        </w:rPr>
        <w:t>《中共四川省委办公厅 四川省人民政府办公厅印发〈关于全省县域内片区划分的指导意见〉〈关于以片区单为单元编制乡村国土空间规划的指导意见〉的通知》（川委厅〔2021〕53号）</w:t>
      </w:r>
    </w:p>
    <w:p>
      <w:pPr>
        <w:ind w:firstLine="640"/>
        <w:rPr>
          <w:rFonts w:cs="Times New Roman"/>
          <w:szCs w:val="32"/>
        </w:rPr>
      </w:pPr>
      <w:r>
        <w:rPr>
          <w:rFonts w:cs="Times New Roman"/>
          <w:szCs w:val="32"/>
        </w:rPr>
        <w:t>《中共四川省委办公厅 四川省人民政府办公厅印发〈关于以乡村国土空间规划引领县域内片区高质量发展的指导意见〉的通知》（川委办〔2022〕16号）</w:t>
      </w:r>
    </w:p>
    <w:p>
      <w:pPr>
        <w:ind w:firstLine="640"/>
        <w:rPr>
          <w:rFonts w:cs="Times New Roman"/>
          <w:szCs w:val="32"/>
        </w:rPr>
      </w:pPr>
      <w:r>
        <w:rPr>
          <w:rFonts w:cs="Times New Roman"/>
          <w:szCs w:val="32"/>
        </w:rPr>
        <w:t>《四川省自然资源厅关于印发〈乡镇级片区专项规划省级工作方案〉的通知》（川自然资发〔2021〕43号）</w:t>
      </w:r>
    </w:p>
    <w:p>
      <w:pPr>
        <w:ind w:firstLine="640"/>
        <w:rPr>
          <w:rFonts w:cs="Times New Roman"/>
          <w:szCs w:val="32"/>
        </w:rPr>
      </w:pPr>
      <w:r>
        <w:rPr>
          <w:rFonts w:cs="Times New Roman"/>
          <w:szCs w:val="32"/>
        </w:rPr>
        <w:t>《四川省应急管理厅关于印发〈四川省乡镇级片区应急体系专项规划编制要点（试行）〉〈四川省乡镇级片区应急体系专项规划备案程序及审查要点（试行）〉的通知》（川应急〔2022〕3号）</w:t>
      </w:r>
    </w:p>
    <w:p>
      <w:pPr>
        <w:ind w:firstLine="640"/>
        <w:rPr>
          <w:rFonts w:cs="Times New Roman"/>
        </w:rPr>
      </w:pPr>
      <w:r>
        <w:rPr>
          <w:rFonts w:cs="Times New Roman"/>
        </w:rPr>
        <w:t>《四川省</w:t>
      </w:r>
      <w:r>
        <w:rPr>
          <w:rFonts w:hint="eastAsia" w:cs="Times New Roman"/>
        </w:rPr>
        <w:t>“</w:t>
      </w:r>
      <w:r>
        <w:rPr>
          <w:rFonts w:cs="Times New Roman"/>
        </w:rPr>
        <w:t>十四五</w:t>
      </w:r>
      <w:r>
        <w:rPr>
          <w:rFonts w:hint="eastAsia" w:cs="Times New Roman"/>
        </w:rPr>
        <w:t>”</w:t>
      </w:r>
      <w:r>
        <w:rPr>
          <w:rFonts w:cs="Times New Roman"/>
        </w:rPr>
        <w:t>应急体系规划》</w:t>
      </w:r>
    </w:p>
    <w:p>
      <w:pPr>
        <w:ind w:firstLine="640"/>
        <w:rPr>
          <w:rFonts w:cs="Times New Roman"/>
          <w:szCs w:val="32"/>
        </w:rPr>
      </w:pPr>
      <w:bookmarkStart w:id="8" w:name="_Toc30698"/>
      <w:r>
        <w:rPr>
          <w:rFonts w:cs="Times New Roman"/>
          <w:szCs w:val="32"/>
        </w:rPr>
        <w:t>《遂宁市国民经济和社会发展第十四个五年规划和二〇三五年远景目标纲要》</w:t>
      </w:r>
    </w:p>
    <w:p>
      <w:pPr>
        <w:ind w:firstLine="640"/>
        <w:rPr>
          <w:rFonts w:cs="Times New Roman"/>
          <w:szCs w:val="32"/>
        </w:rPr>
      </w:pPr>
      <w:r>
        <w:rPr>
          <w:rFonts w:cs="Times New Roman"/>
          <w:szCs w:val="32"/>
        </w:rPr>
        <w:t>《遂宁市</w:t>
      </w:r>
      <w:r>
        <w:rPr>
          <w:rFonts w:hint="eastAsia" w:cs="Times New Roman"/>
        </w:rPr>
        <w:t>“</w:t>
      </w:r>
      <w:r>
        <w:rPr>
          <w:rFonts w:cs="Times New Roman"/>
        </w:rPr>
        <w:t>十四五</w:t>
      </w:r>
      <w:r>
        <w:rPr>
          <w:rFonts w:hint="eastAsia" w:cs="Times New Roman"/>
        </w:rPr>
        <w:t>”</w:t>
      </w:r>
      <w:r>
        <w:rPr>
          <w:rFonts w:cs="Times New Roman"/>
          <w:szCs w:val="32"/>
        </w:rPr>
        <w:t>应急体系规划》</w:t>
      </w:r>
    </w:p>
    <w:p>
      <w:pPr>
        <w:ind w:firstLine="640"/>
        <w:rPr>
          <w:rFonts w:cs="Times New Roman"/>
          <w:szCs w:val="32"/>
        </w:rPr>
      </w:pPr>
      <w:r>
        <w:rPr>
          <w:rFonts w:cs="Times New Roman"/>
          <w:szCs w:val="32"/>
        </w:rPr>
        <w:t>《</w:t>
      </w:r>
      <w:r>
        <w:rPr>
          <w:rFonts w:hint="eastAsia" w:cs="Times New Roman"/>
          <w:szCs w:val="32"/>
        </w:rPr>
        <w:t>安居</w:t>
      </w:r>
      <w:r>
        <w:rPr>
          <w:rFonts w:cs="Times New Roman"/>
          <w:szCs w:val="32"/>
        </w:rPr>
        <w:t>区国民经济和社会发展第十四个五年规划和二〇三五年远景目标纲要》</w:t>
      </w:r>
    </w:p>
    <w:p>
      <w:pPr>
        <w:pStyle w:val="4"/>
        <w:rPr>
          <w:rFonts w:cs="Times New Roman"/>
          <w:bCs w:val="0"/>
        </w:rPr>
      </w:pPr>
      <w:r>
        <w:rPr>
          <w:rFonts w:cs="Times New Roman"/>
        </w:rPr>
        <w:t>（三）</w:t>
      </w:r>
      <w:r>
        <w:rPr>
          <w:rFonts w:cs="Times New Roman"/>
          <w:bCs w:val="0"/>
        </w:rPr>
        <w:t>规划原则</w:t>
      </w:r>
      <w:bookmarkEnd w:id="8"/>
    </w:p>
    <w:bookmarkEnd w:id="7"/>
    <w:p>
      <w:pPr>
        <w:pStyle w:val="37"/>
        <w:spacing w:line="550" w:lineRule="exact"/>
        <w:ind w:firstLine="643"/>
        <w:rPr>
          <w:rStyle w:val="70"/>
          <w:rFonts w:hint="default"/>
        </w:rPr>
      </w:pPr>
      <w:bookmarkStart w:id="9" w:name="_Toc3454"/>
      <w:bookmarkStart w:id="10" w:name="_Toc98773623"/>
      <w:r>
        <w:rPr>
          <w:rFonts w:cs="仿宋"/>
          <w:b/>
          <w:szCs w:val="22"/>
        </w:rPr>
        <w:t>坚持统筹协调，因地制宜。</w:t>
      </w:r>
      <w:r>
        <w:rPr>
          <w:rStyle w:val="70"/>
          <w:rFonts w:hint="default"/>
        </w:rPr>
        <w:t>充分衔接国民经济和社会发展规划、国土空间规划等相关专项规划，推动优势互补的城镇协同发展新格局和新趋势，准确把握全区的主导产业和未来发展方向， 促进应急资源要素优化配置，提升全区安全风险防控能力、应急救援能力、防灾减灾能力和社会共治能力，有效推动基层应急体系和应急能力现代化。</w:t>
      </w:r>
      <w:r>
        <w:rPr>
          <w:rFonts w:hint="eastAsia" w:ascii="仿宋" w:hAnsi="仿宋" w:eastAsia="仿宋"/>
          <w:color w:val="000000"/>
          <w:szCs w:val="32"/>
        </w:rPr>
        <w:br w:type="textWrapping"/>
      </w:r>
      <w:r>
        <w:rPr>
          <w:rStyle w:val="70"/>
          <w:rFonts w:hint="default"/>
        </w:rPr>
        <w:t xml:space="preserve">    </w:t>
      </w:r>
      <w:r>
        <w:rPr>
          <w:rFonts w:cs="仿宋"/>
          <w:b/>
          <w:szCs w:val="22"/>
        </w:rPr>
        <w:t>结合区域定位，补齐短板。</w:t>
      </w:r>
      <w:r>
        <w:rPr>
          <w:rStyle w:val="70"/>
          <w:rFonts w:hint="default"/>
        </w:rPr>
        <w:t>坚持“人民至上， 生命至上”</w:t>
      </w:r>
      <w:r>
        <w:rPr>
          <w:rFonts w:hint="eastAsia" w:ascii="仿宋" w:hAnsi="仿宋" w:eastAsia="仿宋"/>
          <w:color w:val="000000"/>
          <w:szCs w:val="32"/>
        </w:rPr>
        <w:br w:type="textWrapping"/>
      </w:r>
      <w:r>
        <w:rPr>
          <w:rStyle w:val="70"/>
          <w:rFonts w:hint="default"/>
        </w:rPr>
        <w:t>原则，系统梳理全区安全风险、自然灾害、应急管理体系、应急救援队伍、应急物资储备、应急避难场所现状和群众诉求期盼， 摸清底数、找准问题，做到“底数清、情况明”，精准规划近期目标和远景目标，补齐全区应急体系短板。</w:t>
      </w:r>
    </w:p>
    <w:p>
      <w:pPr>
        <w:pStyle w:val="37"/>
        <w:spacing w:line="550" w:lineRule="exact"/>
        <w:ind w:firstLine="643"/>
        <w:rPr>
          <w:rFonts w:ascii="仿宋" w:hAnsi="仿宋" w:eastAsia="仿宋" w:cs="仿宋"/>
        </w:rPr>
      </w:pPr>
      <w:r>
        <w:rPr>
          <w:rFonts w:cs="仿宋"/>
          <w:b/>
          <w:szCs w:val="22"/>
        </w:rPr>
        <w:t>强化资源整合，优化增量。</w:t>
      </w:r>
      <w:r>
        <w:rPr>
          <w:rStyle w:val="70"/>
          <w:rFonts w:hint="default"/>
        </w:rPr>
        <w:t>结合全区国土空间总体规划，充分利用</w:t>
      </w:r>
      <w:r>
        <w:rPr>
          <w:rStyle w:val="71"/>
        </w:rPr>
        <w:t>“</w:t>
      </w:r>
      <w:r>
        <w:rPr>
          <w:rStyle w:val="70"/>
          <w:rFonts w:hint="default"/>
        </w:rPr>
        <w:t>两项</w:t>
      </w:r>
      <w:r>
        <w:rPr>
          <w:rStyle w:val="71"/>
        </w:rPr>
        <w:t>”</w:t>
      </w:r>
      <w:r>
        <w:rPr>
          <w:rStyle w:val="70"/>
          <w:rFonts w:hint="default"/>
        </w:rPr>
        <w:t>改革后街道（镇）和村（社区）闲置房屋、学校、 广场，利用规划的学校、广场、文化活动站、聚居点全民健身广场，按照精准匹配要求，共建应急避难场所，新增应急设施和物资，提高全区应急资源利用效率。</w:t>
      </w:r>
    </w:p>
    <w:p>
      <w:pPr>
        <w:ind w:firstLine="643"/>
        <w:rPr>
          <w:rFonts w:ascii="仿宋" w:hAnsi="仿宋" w:cs="仿宋"/>
        </w:rPr>
      </w:pPr>
      <w:r>
        <w:rPr>
          <w:rFonts w:hint="eastAsia" w:ascii="仿宋" w:hAnsi="仿宋" w:cs="仿宋"/>
          <w:b/>
          <w:bCs/>
          <w:szCs w:val="32"/>
        </w:rPr>
        <w:t>坚持统筹协调，因地制宜。</w:t>
      </w:r>
      <w:r>
        <w:rPr>
          <w:rFonts w:hint="eastAsia" w:ascii="仿宋" w:hAnsi="仿宋" w:cs="仿宋"/>
          <w:szCs w:val="32"/>
        </w:rPr>
        <w:t>有机衔接各级各类规划，充分结合片区各镇实际情况，确定各镇防控重点，优化应急资源配置，</w:t>
      </w:r>
      <w:r>
        <w:rPr>
          <w:rFonts w:hint="eastAsia" w:ascii="仿宋" w:hAnsi="仿宋" w:cs="仿宋"/>
        </w:rPr>
        <w:t>提升片区安全风险防控能力、应急救援能力、防灾减灾救灾能力和社会共治能力，有效推动基层应急体系和应急能力现代化</w:t>
      </w:r>
      <w:r>
        <w:rPr>
          <w:rFonts w:hint="eastAsia" w:ascii="仿宋" w:hAnsi="仿宋" w:cs="仿宋"/>
          <w:szCs w:val="32"/>
        </w:rPr>
        <w:t>。</w:t>
      </w:r>
    </w:p>
    <w:p>
      <w:pPr>
        <w:ind w:firstLine="643"/>
        <w:rPr>
          <w:rFonts w:cs="Times New Roman"/>
          <w:szCs w:val="32"/>
        </w:rPr>
      </w:pPr>
      <w:r>
        <w:rPr>
          <w:rFonts w:hint="eastAsia" w:ascii="仿宋" w:hAnsi="仿宋" w:cs="仿宋"/>
          <w:b/>
          <w:bCs/>
          <w:szCs w:val="32"/>
        </w:rPr>
        <w:t>构建共建共治，强化宣传。</w:t>
      </w:r>
      <w:r>
        <w:rPr>
          <w:rFonts w:hint="eastAsia" w:ascii="仿宋" w:hAnsi="仿宋" w:cs="仿宋"/>
          <w:szCs w:val="32"/>
        </w:rPr>
        <w:t>充分发挥社会协同防范能力，加强示范项目建设，加大宣传培训和科普力度，积极发挥镇、村领导干部带头作用，把提高社会应对突发事件能力摆在更加突出位置，构建共商共建共治共享格局</w:t>
      </w:r>
      <w:r>
        <w:rPr>
          <w:rFonts w:cs="Times New Roman"/>
          <w:szCs w:val="32"/>
        </w:rPr>
        <w:t>。</w:t>
      </w:r>
    </w:p>
    <w:p>
      <w:pPr>
        <w:pStyle w:val="4"/>
        <w:rPr>
          <w:rFonts w:cs="Times New Roman"/>
        </w:rPr>
      </w:pPr>
      <w:r>
        <w:rPr>
          <w:rFonts w:cs="Times New Roman"/>
        </w:rPr>
        <w:t>（四）规划期限</w:t>
      </w:r>
      <w:bookmarkEnd w:id="9"/>
      <w:bookmarkEnd w:id="10"/>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本规划与《本规划与安居区莲花湖现代农业片区国土空间总体规划》期限一致，规划期限为2022~2035年，近期至2025年，远景至2035年。</w:t>
      </w:r>
      <w:r>
        <w:rPr>
          <w:rFonts w:cs="Times New Roman"/>
          <w:color w:val="000000" w:themeColor="text1"/>
          <w:szCs w:val="32"/>
          <w14:textFill>
            <w14:solidFill>
              <w14:schemeClr w14:val="tx1"/>
            </w14:solidFill>
          </w14:textFill>
        </w:rPr>
        <w:br w:type="page"/>
      </w:r>
    </w:p>
    <w:p>
      <w:pPr>
        <w:pStyle w:val="3"/>
        <w:rPr>
          <w:rFonts w:cs="Times New Roman"/>
          <w:bCs w:val="0"/>
        </w:rPr>
      </w:pPr>
      <w:bookmarkStart w:id="11" w:name="_Toc91790473"/>
      <w:bookmarkStart w:id="12" w:name="_Toc7674"/>
      <w:bookmarkStart w:id="13" w:name="_Toc98773624"/>
      <w:r>
        <w:rPr>
          <w:rFonts w:cs="Times New Roman"/>
          <w:bCs w:val="0"/>
        </w:rPr>
        <w:t>二、</w:t>
      </w:r>
      <w:bookmarkEnd w:id="11"/>
      <w:r>
        <w:rPr>
          <w:rFonts w:cs="Times New Roman"/>
          <w:bCs w:val="0"/>
        </w:rPr>
        <w:t>规划背景</w:t>
      </w:r>
      <w:bookmarkEnd w:id="12"/>
      <w:bookmarkEnd w:id="13"/>
      <w:bookmarkStart w:id="14" w:name="_Toc98773625"/>
    </w:p>
    <w:bookmarkEnd w:id="14"/>
    <w:p>
      <w:pPr>
        <w:pStyle w:val="4"/>
        <w:rPr>
          <w:rFonts w:cs="Times New Roman"/>
        </w:rPr>
      </w:pPr>
      <w:bookmarkStart w:id="15" w:name="_Toc18062"/>
      <w:r>
        <w:rPr>
          <w:rFonts w:cs="Times New Roman"/>
        </w:rPr>
        <w:t>（一）片区现状</w:t>
      </w:r>
      <w:bookmarkEnd w:id="15"/>
    </w:p>
    <w:p>
      <w:pPr>
        <w:spacing w:line="560" w:lineRule="exact"/>
        <w:ind w:firstLine="643"/>
        <w:rPr>
          <w:rFonts w:cs="Times New Roman"/>
          <w:szCs w:val="32"/>
        </w:rPr>
      </w:pPr>
      <w:r>
        <w:rPr>
          <w:rFonts w:cs="Times New Roman"/>
          <w:b/>
          <w:szCs w:val="32"/>
        </w:rPr>
        <w:t>片区基本情况。</w:t>
      </w:r>
      <w:r>
        <w:rPr>
          <w:rFonts w:cs="Times New Roman"/>
          <w:szCs w:val="32"/>
        </w:rPr>
        <w:t>遂宁安居区莲花湖现代农业片区位于</w:t>
      </w:r>
      <w:r>
        <w:rPr>
          <w:rFonts w:ascii="仿宋" w:hAnsi="仿宋"/>
          <w:szCs w:val="28"/>
        </w:rPr>
        <w:t>安居区</w:t>
      </w:r>
      <w:r>
        <w:rPr>
          <w:rFonts w:hint="eastAsia" w:ascii="仿宋" w:hAnsi="仿宋"/>
          <w:szCs w:val="28"/>
        </w:rPr>
        <w:t>西</w:t>
      </w:r>
      <w:r>
        <w:rPr>
          <w:rFonts w:ascii="仿宋" w:hAnsi="仿宋"/>
          <w:szCs w:val="28"/>
        </w:rPr>
        <w:t>部，南与</w:t>
      </w:r>
      <w:r>
        <w:rPr>
          <w:rFonts w:hint="eastAsia" w:ascii="仿宋" w:hAnsi="仿宋"/>
          <w:szCs w:val="28"/>
        </w:rPr>
        <w:t>乐至县石佛镇、安居区分水镇</w:t>
      </w:r>
      <w:r>
        <w:rPr>
          <w:rFonts w:ascii="仿宋" w:hAnsi="仿宋"/>
          <w:szCs w:val="28"/>
        </w:rPr>
        <w:t>接壤</w:t>
      </w:r>
      <w:r>
        <w:rPr>
          <w:rFonts w:hint="eastAsia" w:ascii="仿宋" w:hAnsi="仿宋"/>
          <w:szCs w:val="28"/>
        </w:rPr>
        <w:t>，</w:t>
      </w:r>
      <w:r>
        <w:rPr>
          <w:rFonts w:ascii="仿宋" w:hAnsi="仿宋"/>
          <w:szCs w:val="28"/>
        </w:rPr>
        <w:t>北与</w:t>
      </w:r>
      <w:r>
        <w:rPr>
          <w:rFonts w:hint="eastAsia" w:ascii="仿宋" w:hAnsi="仿宋"/>
          <w:szCs w:val="28"/>
        </w:rPr>
        <w:t>大英县河边镇、卓筒井镇、天保镇</w:t>
      </w:r>
      <w:r>
        <w:rPr>
          <w:rFonts w:ascii="仿宋" w:hAnsi="仿宋"/>
          <w:szCs w:val="28"/>
        </w:rPr>
        <w:t>接壤，西</w:t>
      </w:r>
      <w:r>
        <w:rPr>
          <w:rFonts w:hint="eastAsia" w:ascii="仿宋" w:hAnsi="仿宋"/>
          <w:szCs w:val="28"/>
        </w:rPr>
        <w:t>乐至县宝林镇</w:t>
      </w:r>
      <w:r>
        <w:rPr>
          <w:rFonts w:ascii="仿宋" w:hAnsi="仿宋"/>
          <w:szCs w:val="28"/>
        </w:rPr>
        <w:t>接壤，东与</w:t>
      </w:r>
      <w:r>
        <w:rPr>
          <w:rFonts w:hint="eastAsia" w:ascii="仿宋" w:hAnsi="仿宋"/>
          <w:szCs w:val="28"/>
        </w:rPr>
        <w:t>安居区横山镇、石洞镇</w:t>
      </w:r>
      <w:r>
        <w:rPr>
          <w:rFonts w:ascii="仿宋" w:hAnsi="仿宋"/>
          <w:szCs w:val="28"/>
        </w:rPr>
        <w:t>接壤</w:t>
      </w:r>
      <w:r>
        <w:rPr>
          <w:rFonts w:hint="eastAsia" w:ascii="仿宋" w:hAnsi="仿宋"/>
          <w:szCs w:val="28"/>
        </w:rPr>
        <w:t>，</w:t>
      </w:r>
      <w:r>
        <w:rPr>
          <w:rFonts w:ascii="仿宋" w:hAnsi="仿宋"/>
          <w:color w:val="000000" w:themeColor="text1"/>
          <w:szCs w:val="28"/>
          <w14:textFill>
            <w14:solidFill>
              <w14:schemeClr w14:val="tx1"/>
            </w14:solidFill>
          </w14:textFill>
        </w:rPr>
        <w:t>西距成都市</w:t>
      </w:r>
      <w:r>
        <w:rPr>
          <w:rFonts w:ascii="仿宋" w:hAnsi="仿宋"/>
          <w:szCs w:val="28"/>
        </w:rPr>
        <w:t>区约</w:t>
      </w:r>
      <w:r>
        <w:rPr>
          <w:rFonts w:hint="eastAsia" w:ascii="仿宋" w:hAnsi="仿宋"/>
          <w:szCs w:val="28"/>
        </w:rPr>
        <w:t>1</w:t>
      </w:r>
      <w:r>
        <w:rPr>
          <w:rFonts w:ascii="仿宋" w:hAnsi="仿宋"/>
          <w:szCs w:val="28"/>
        </w:rPr>
        <w:t>20公里，东距重庆市区约</w:t>
      </w:r>
      <w:r>
        <w:rPr>
          <w:rFonts w:hint="eastAsia" w:ascii="仿宋" w:hAnsi="仿宋"/>
          <w:szCs w:val="28"/>
        </w:rPr>
        <w:t>1</w:t>
      </w:r>
      <w:r>
        <w:rPr>
          <w:rFonts w:ascii="仿宋" w:hAnsi="仿宋"/>
          <w:szCs w:val="28"/>
        </w:rPr>
        <w:t>40公里</w:t>
      </w:r>
      <w:r>
        <w:rPr>
          <w:rFonts w:hint="eastAsia" w:ascii="仿宋" w:hAnsi="仿宋"/>
          <w:szCs w:val="28"/>
        </w:rPr>
        <w:t>。</w:t>
      </w:r>
      <w:r>
        <w:rPr>
          <w:rFonts w:hint="eastAsia" w:cs="Times New Roman"/>
          <w:szCs w:val="32"/>
        </w:rPr>
        <w:t>片区规划层次包含拦江镇、保石镇、中兴镇、白马镇4个乡镇行政辖区的全部地区，涉及73个村，7个社区，幅员面积285.23平方公里，</w:t>
      </w:r>
      <w:r>
        <w:rPr>
          <w:rFonts w:cs="Times New Roman"/>
          <w:szCs w:val="32"/>
        </w:rPr>
        <w:t>其中</w:t>
      </w:r>
      <w:r>
        <w:rPr>
          <w:rFonts w:hint="eastAsia" w:cs="Times New Roman"/>
          <w:szCs w:val="32"/>
        </w:rPr>
        <w:t>拦江</w:t>
      </w:r>
      <w:r>
        <w:rPr>
          <w:rFonts w:cs="Times New Roman"/>
          <w:szCs w:val="32"/>
        </w:rPr>
        <w:t>镇为中心镇，</w:t>
      </w:r>
      <w:r>
        <w:rPr>
          <w:rFonts w:hint="eastAsia" w:cs="Times New Roman"/>
          <w:szCs w:val="32"/>
        </w:rPr>
        <w:t>白马</w:t>
      </w:r>
      <w:r>
        <w:rPr>
          <w:rFonts w:cs="Times New Roman"/>
          <w:szCs w:val="32"/>
        </w:rPr>
        <w:t>镇</w:t>
      </w:r>
      <w:r>
        <w:rPr>
          <w:rFonts w:hint="eastAsia" w:cs="Times New Roman"/>
          <w:szCs w:val="32"/>
        </w:rPr>
        <w:t>、中兴镇、保石镇</w:t>
      </w:r>
      <w:r>
        <w:rPr>
          <w:rFonts w:cs="Times New Roman"/>
          <w:szCs w:val="32"/>
        </w:rPr>
        <w:t>为一般镇；</w:t>
      </w:r>
      <w:r>
        <w:rPr>
          <w:rFonts w:hint="eastAsia" w:ascii="仿宋" w:hAnsi="仿宋"/>
          <w:szCs w:val="28"/>
        </w:rPr>
        <w:t>平宁社区、</w:t>
      </w:r>
      <w:r>
        <w:rPr>
          <w:rFonts w:hint="eastAsia" w:cs="Times New Roman"/>
          <w:szCs w:val="32"/>
        </w:rPr>
        <w:t>接绍寺村、马河嘴村、水井村、莲花村、檬子垭村、五琅坝村、麻子滩村、响滩子村、毗庐寺村和青峰村等</w:t>
      </w:r>
      <w:r>
        <w:rPr>
          <w:rFonts w:cs="Times New Roman"/>
          <w:szCs w:val="32"/>
        </w:rPr>
        <w:t>11个中心村</w:t>
      </w:r>
      <w:r>
        <w:rPr>
          <w:rFonts w:hint="eastAsia" w:cs="Times New Roman"/>
          <w:szCs w:val="32"/>
        </w:rPr>
        <w:t>，其余为一般村</w:t>
      </w:r>
      <w:r>
        <w:rPr>
          <w:rFonts w:cs="Times New Roman"/>
          <w:szCs w:val="32"/>
        </w:rPr>
        <w:t>。</w:t>
      </w:r>
      <w:r>
        <w:rPr>
          <w:rFonts w:hint="eastAsia" w:cs="Times New Roman"/>
          <w:szCs w:val="32"/>
        </w:rPr>
        <w:t>截止2021年末，片区户籍人口约18.59万人，常住人口约10.45万人。七普人口数据显示，片区内总人口减少</w:t>
      </w:r>
      <w:r>
        <w:rPr>
          <w:rFonts w:cs="Times New Roman"/>
          <w:szCs w:val="32"/>
        </w:rPr>
        <w:t>33.5</w:t>
      </w:r>
      <w:r>
        <w:rPr>
          <w:rFonts w:hint="eastAsia" w:cs="Times New Roman"/>
          <w:szCs w:val="32"/>
        </w:rPr>
        <w:t>%，其中拦江镇人口减少率为</w:t>
      </w:r>
      <w:r>
        <w:rPr>
          <w:rFonts w:cs="Times New Roman"/>
          <w:szCs w:val="32"/>
        </w:rPr>
        <w:t>27</w:t>
      </w:r>
      <w:r>
        <w:rPr>
          <w:rFonts w:hint="eastAsia" w:cs="Times New Roman"/>
          <w:szCs w:val="32"/>
        </w:rPr>
        <w:t>%，保石镇人口减少率</w:t>
      </w:r>
      <w:r>
        <w:rPr>
          <w:rFonts w:cs="Times New Roman"/>
          <w:szCs w:val="32"/>
        </w:rPr>
        <w:t>42</w:t>
      </w:r>
      <w:r>
        <w:rPr>
          <w:rFonts w:hint="eastAsia" w:cs="Times New Roman"/>
          <w:szCs w:val="32"/>
        </w:rPr>
        <w:t>%，中兴镇人口减少率</w:t>
      </w:r>
      <w:r>
        <w:rPr>
          <w:rFonts w:cs="Times New Roman"/>
          <w:szCs w:val="32"/>
        </w:rPr>
        <w:t>33</w:t>
      </w:r>
      <w:r>
        <w:rPr>
          <w:rFonts w:hint="eastAsia" w:cs="Times New Roman"/>
          <w:szCs w:val="32"/>
        </w:rPr>
        <w:t>%，白马镇人口减少率</w:t>
      </w:r>
      <w:r>
        <w:rPr>
          <w:rFonts w:cs="Times New Roman"/>
          <w:szCs w:val="32"/>
        </w:rPr>
        <w:t>35</w:t>
      </w:r>
      <w:r>
        <w:rPr>
          <w:rFonts w:hint="eastAsia" w:cs="Times New Roman"/>
          <w:szCs w:val="32"/>
        </w:rPr>
        <w:t>%，预计十四五期间片区内总人口还将会持续减少。</w:t>
      </w:r>
      <w:r>
        <w:rPr>
          <w:rFonts w:hint="eastAsia" w:ascii="仿宋" w:hAnsi="仿宋"/>
          <w:szCs w:val="28"/>
        </w:rPr>
        <w:t>片区是安居优质粮油的重要生产基地，以白马镇、中兴镇为核心产区。</w:t>
      </w:r>
      <w:r>
        <w:rPr>
          <w:rFonts w:hint="eastAsia" w:cs="Times New Roman"/>
          <w:szCs w:val="32"/>
        </w:rPr>
        <w:t>片区水利资源、农业特色产业丰富，依托麻子滩水库（莲花湖）打造有时光莲花湖旅游景区，东北部有遂宁红薯市级四星现代农业园区。片区功能定位为: 全国乡村振兴、城乡融合发展示范样板；巴蜀文化旅游走廊上重要的农文旅协同发展示范节点；成渝地区双城经济圈重要的精品粮油、优质果蔬供应基地。</w:t>
      </w:r>
      <w:r>
        <w:rPr>
          <w:rFonts w:cs="Times New Roman"/>
          <w:szCs w:val="32"/>
        </w:rPr>
        <w:t>片区对外交通便捷，</w:t>
      </w:r>
      <w:r>
        <w:rPr>
          <w:rFonts w:ascii="仿宋" w:hAnsi="仿宋"/>
          <w:szCs w:val="28"/>
        </w:rPr>
        <w:t>片区内设有S40</w:t>
      </w:r>
      <w:r>
        <w:rPr>
          <w:rFonts w:hint="eastAsia" w:ascii="仿宋" w:hAnsi="仿宋"/>
          <w:szCs w:val="28"/>
        </w:rPr>
        <w:t>遂资眉高速1</w:t>
      </w:r>
      <w:r>
        <w:rPr>
          <w:rFonts w:ascii="仿宋" w:hAnsi="仿宋"/>
          <w:szCs w:val="28"/>
        </w:rPr>
        <w:t>条</w:t>
      </w:r>
      <w:r>
        <w:rPr>
          <w:rFonts w:hint="eastAsia" w:ascii="仿宋" w:hAnsi="仿宋"/>
          <w:szCs w:val="28"/>
        </w:rPr>
        <w:t>（覆盖保石镇、中兴镇、白马镇），在白马镇东侧、保石镇东北侧共设置2处出入口。</w:t>
      </w:r>
      <w:r>
        <w:rPr>
          <w:rFonts w:ascii="仿宋" w:hAnsi="仿宋"/>
          <w:szCs w:val="28"/>
        </w:rPr>
        <w:t>片区</w:t>
      </w:r>
      <w:r>
        <w:rPr>
          <w:rFonts w:hint="eastAsia" w:ascii="仿宋" w:hAnsi="仿宋"/>
          <w:szCs w:val="28"/>
        </w:rPr>
        <w:t>南侧</w:t>
      </w:r>
      <w:r>
        <w:rPr>
          <w:rFonts w:ascii="仿宋" w:hAnsi="仿宋"/>
          <w:szCs w:val="28"/>
        </w:rPr>
        <w:t>有国道G318</w:t>
      </w:r>
      <w:r>
        <w:rPr>
          <w:rFonts w:hint="eastAsia" w:ascii="仿宋" w:hAnsi="仿宋"/>
          <w:szCs w:val="28"/>
        </w:rPr>
        <w:t>穿过</w:t>
      </w:r>
      <w:r>
        <w:rPr>
          <w:rFonts w:ascii="仿宋" w:hAnsi="仿宋"/>
          <w:szCs w:val="28"/>
        </w:rPr>
        <w:t>，</w:t>
      </w:r>
      <w:r>
        <w:rPr>
          <w:rFonts w:hint="eastAsia" w:ascii="仿宋" w:hAnsi="仿宋"/>
          <w:szCs w:val="28"/>
        </w:rPr>
        <w:t>东北侧有省道S</w:t>
      </w:r>
      <w:r>
        <w:rPr>
          <w:rFonts w:ascii="仿宋" w:hAnsi="仿宋"/>
          <w:szCs w:val="28"/>
        </w:rPr>
        <w:t>209</w:t>
      </w:r>
      <w:r>
        <w:rPr>
          <w:rFonts w:hint="eastAsia" w:ascii="仿宋" w:hAnsi="仿宋"/>
          <w:szCs w:val="28"/>
        </w:rPr>
        <w:t>穿过，北侧有省道S</w:t>
      </w:r>
      <w:r>
        <w:rPr>
          <w:rFonts w:ascii="仿宋" w:hAnsi="仿宋"/>
          <w:szCs w:val="28"/>
        </w:rPr>
        <w:t>307</w:t>
      </w:r>
      <w:r>
        <w:rPr>
          <w:rFonts w:hint="eastAsia" w:ascii="仿宋" w:hAnsi="仿宋"/>
          <w:szCs w:val="28"/>
        </w:rPr>
        <w:t>穿过，串联北部大英县、资阳市部分乡镇，片区内长度1</w:t>
      </w:r>
      <w:r>
        <w:rPr>
          <w:rFonts w:ascii="仿宋" w:hAnsi="仿宋"/>
          <w:szCs w:val="28"/>
        </w:rPr>
        <w:t>.3</w:t>
      </w:r>
      <w:r>
        <w:rPr>
          <w:rFonts w:hint="eastAsia" w:ascii="仿宋" w:hAnsi="仿宋"/>
          <w:szCs w:val="28"/>
        </w:rPr>
        <w:t>公里左右。</w:t>
      </w:r>
      <w:r>
        <w:rPr>
          <w:rFonts w:hint="eastAsia" w:ascii="仿宋" w:hAnsi="仿宋"/>
          <w:color w:val="000000" w:themeColor="text1"/>
          <w:szCs w:val="28"/>
          <w14:textFill>
            <w14:solidFill>
              <w14:schemeClr w14:val="tx1"/>
            </w14:solidFill>
          </w14:textFill>
        </w:rPr>
        <w:t>片区内</w:t>
      </w:r>
      <w:r>
        <w:rPr>
          <w:rFonts w:ascii="仿宋" w:hAnsi="仿宋"/>
          <w:color w:val="000000" w:themeColor="text1"/>
          <w:szCs w:val="28"/>
          <w14:textFill>
            <w14:solidFill>
              <w14:schemeClr w14:val="tx1"/>
            </w14:solidFill>
          </w14:textFill>
        </w:rPr>
        <w:t>县道</w:t>
      </w:r>
      <w:r>
        <w:rPr>
          <w:rFonts w:hint="eastAsia" w:ascii="仿宋" w:hAnsi="仿宋"/>
          <w:color w:val="000000" w:themeColor="text1"/>
          <w:szCs w:val="28"/>
          <w14:textFill>
            <w14:solidFill>
              <w14:schemeClr w14:val="tx1"/>
            </w14:solidFill>
          </w14:textFill>
        </w:rPr>
        <w:t>X</w:t>
      </w:r>
      <w:r>
        <w:rPr>
          <w:rFonts w:ascii="仿宋" w:hAnsi="仿宋"/>
          <w:color w:val="000000" w:themeColor="text1"/>
          <w:szCs w:val="28"/>
          <w14:textFill>
            <w14:solidFill>
              <w14:schemeClr w14:val="tx1"/>
            </w14:solidFill>
          </w14:textFill>
        </w:rPr>
        <w:t>071、</w:t>
      </w:r>
      <w:r>
        <w:rPr>
          <w:rFonts w:hint="eastAsia" w:ascii="仿宋" w:hAnsi="仿宋"/>
          <w:color w:val="000000" w:themeColor="text1"/>
          <w:szCs w:val="28"/>
          <w14:textFill>
            <w14:solidFill>
              <w14:schemeClr w14:val="tx1"/>
            </w14:solidFill>
          </w14:textFill>
        </w:rPr>
        <w:t>X</w:t>
      </w:r>
      <w:r>
        <w:rPr>
          <w:rFonts w:ascii="仿宋" w:hAnsi="仿宋"/>
          <w:color w:val="000000" w:themeColor="text1"/>
          <w:szCs w:val="28"/>
          <w14:textFill>
            <w14:solidFill>
              <w14:schemeClr w14:val="tx1"/>
            </w14:solidFill>
          </w14:textFill>
        </w:rPr>
        <w:t>072、</w:t>
      </w:r>
      <w:r>
        <w:rPr>
          <w:rFonts w:hint="eastAsia" w:ascii="仿宋" w:hAnsi="仿宋"/>
          <w:color w:val="000000" w:themeColor="text1"/>
          <w:szCs w:val="28"/>
          <w14:textFill>
            <w14:solidFill>
              <w14:schemeClr w14:val="tx1"/>
            </w14:solidFill>
          </w14:textFill>
        </w:rPr>
        <w:t>X</w:t>
      </w:r>
      <w:r>
        <w:rPr>
          <w:rFonts w:ascii="仿宋" w:hAnsi="仿宋"/>
          <w:color w:val="000000" w:themeColor="text1"/>
          <w:szCs w:val="28"/>
          <w14:textFill>
            <w14:solidFill>
              <w14:schemeClr w14:val="tx1"/>
            </w14:solidFill>
          </w14:textFill>
        </w:rPr>
        <w:t>006</w:t>
      </w:r>
      <w:r>
        <w:rPr>
          <w:rFonts w:hint="eastAsia" w:ascii="仿宋" w:hAnsi="仿宋"/>
          <w:color w:val="000000" w:themeColor="text1"/>
          <w:szCs w:val="28"/>
          <w14:textFill>
            <w14:solidFill>
              <w14:schemeClr w14:val="tx1"/>
            </w14:solidFill>
          </w14:textFill>
        </w:rPr>
        <w:t>、X</w:t>
      </w:r>
      <w:r>
        <w:rPr>
          <w:rFonts w:ascii="仿宋" w:hAnsi="仿宋"/>
          <w:color w:val="000000" w:themeColor="text1"/>
          <w:szCs w:val="28"/>
          <w14:textFill>
            <w14:solidFill>
              <w14:schemeClr w14:val="tx1"/>
            </w14:solidFill>
          </w14:textFill>
        </w:rPr>
        <w:t>007</w:t>
      </w:r>
      <w:r>
        <w:rPr>
          <w:rFonts w:hint="eastAsia" w:ascii="仿宋" w:hAnsi="仿宋"/>
          <w:color w:val="000000" w:themeColor="text1"/>
          <w:szCs w:val="28"/>
          <w14:textFill>
            <w14:solidFill>
              <w14:schemeClr w14:val="tx1"/>
            </w14:solidFill>
          </w14:textFill>
        </w:rPr>
        <w:t>四条。</w:t>
      </w:r>
      <w:r>
        <w:rPr>
          <w:rFonts w:cs="Times New Roman"/>
          <w:szCs w:val="32"/>
        </w:rPr>
        <w:t xml:space="preserve"> </w:t>
      </w:r>
    </w:p>
    <w:p>
      <w:pPr>
        <w:spacing w:line="560" w:lineRule="exact"/>
        <w:ind w:firstLine="640"/>
        <w:rPr>
          <w:rFonts w:ascii="仿宋" w:hAnsi="仿宋"/>
          <w:szCs w:val="28"/>
        </w:rPr>
      </w:pPr>
      <w:r>
        <w:rPr>
          <w:rFonts w:hint="eastAsia" w:ascii="仿宋" w:hAnsi="仿宋"/>
          <w:szCs w:val="28"/>
        </w:rPr>
        <w:t>片区内涉及的最重要的河流为琼江河、桅杆溪和石洞河，琼江自西向东流经拦江、保石和白马三镇。其他重要支流包括、清泉河、冯家河、双福寺河、老堰河、断桥河、碾子河和烂泥河等，水面宽度均较窄。</w:t>
      </w:r>
    </w:p>
    <w:p>
      <w:pPr>
        <w:spacing w:line="560" w:lineRule="exact"/>
        <w:ind w:firstLine="640"/>
        <w:rPr>
          <w:rFonts w:cs="Times New Roman"/>
          <w:szCs w:val="32"/>
        </w:rPr>
      </w:pPr>
      <w:r>
        <w:rPr>
          <w:rFonts w:hint="eastAsia" w:ascii="仿宋" w:hAnsi="仿宋"/>
          <w:szCs w:val="28"/>
        </w:rPr>
        <w:t>片区整体属于川中丘陵腹地，区域地质构造简单，褶皱平缓，地貌类型单一，属中生代侏罗纪岩层，经流水侵蚀、切割、堆积形成侵蚀丘陵地貌，全境岩层下部以石灰岩为主，上部以紫红色沙土、泥岩为主，似为“红土地”。片区海拔高度约为300-550米之间，平均海拔高度350米，地形地势呈现低丘宽谷和中丘中谷，坡多为方形，西部较高，东面较低，多低丘宽谷；坡度多为6°-15°，坡向以正南、西南为主，整体境内沟谷河流纵横。</w:t>
      </w:r>
      <w:r>
        <w:rPr>
          <w:rFonts w:ascii="仿宋" w:hAnsi="仿宋"/>
          <w:szCs w:val="28"/>
        </w:rPr>
        <w:t>片区属于亚热带湿润季风气候，全年气候温和，四季分明，雨量充沛，年平均雨量1121.4毫米—1229.1毫米，无霜期</w:t>
      </w:r>
      <w:r>
        <w:rPr>
          <w:rFonts w:hint="eastAsia" w:ascii="仿宋" w:hAnsi="仿宋"/>
          <w:szCs w:val="28"/>
        </w:rPr>
        <w:t>2</w:t>
      </w:r>
      <w:r>
        <w:rPr>
          <w:rFonts w:ascii="仿宋" w:hAnsi="仿宋"/>
          <w:szCs w:val="28"/>
        </w:rPr>
        <w:t>96天</w:t>
      </w:r>
      <w:r>
        <w:rPr>
          <w:rFonts w:hint="eastAsia" w:ascii="仿宋" w:hAnsi="仿宋"/>
          <w:szCs w:val="28"/>
        </w:rPr>
        <w:t>，</w:t>
      </w:r>
      <w:r>
        <w:rPr>
          <w:rFonts w:cs="Times New Roman"/>
          <w:szCs w:val="32"/>
        </w:rPr>
        <w:t>热量充足，雨量充沛，湿度大，云雾多</w:t>
      </w:r>
      <w:r>
        <w:rPr>
          <w:rFonts w:hint="eastAsia" w:cs="Times New Roman"/>
          <w:szCs w:val="32"/>
        </w:rPr>
        <w:t>，</w:t>
      </w:r>
      <w:r>
        <w:rPr>
          <w:rFonts w:cs="Times New Roman"/>
          <w:szCs w:val="32"/>
        </w:rPr>
        <w:t>降水集中在6—8月</w:t>
      </w:r>
      <w:r>
        <w:rPr>
          <w:rFonts w:hint="eastAsia" w:cs="Times New Roman"/>
          <w:szCs w:val="32"/>
        </w:rPr>
        <w:t>，</w:t>
      </w:r>
      <w:r>
        <w:rPr>
          <w:rFonts w:hint="eastAsia" w:ascii="仿宋" w:hAnsi="仿宋"/>
          <w:szCs w:val="28"/>
        </w:rPr>
        <w:t>适合农作物耕种</w:t>
      </w:r>
      <w:r>
        <w:rPr>
          <w:rFonts w:ascii="仿宋" w:hAnsi="仿宋"/>
          <w:szCs w:val="28"/>
        </w:rPr>
        <w:t>。</w:t>
      </w:r>
    </w:p>
    <w:p>
      <w:pPr>
        <w:spacing w:line="560" w:lineRule="exact"/>
        <w:ind w:firstLine="643"/>
        <w:rPr>
          <w:rFonts w:cs="Times New Roman"/>
          <w:szCs w:val="32"/>
        </w:rPr>
      </w:pPr>
      <w:r>
        <w:rPr>
          <w:rFonts w:cs="Times New Roman"/>
          <w:b/>
          <w:bCs/>
          <w:szCs w:val="32"/>
        </w:rPr>
        <w:t>安全生产情况。</w:t>
      </w:r>
      <w:r>
        <w:rPr>
          <w:rFonts w:cs="Times New Roman"/>
          <w:szCs w:val="32"/>
        </w:rPr>
        <w:t>片区现有重点行业领域企业18家，其中建材</w:t>
      </w:r>
      <w:r>
        <w:rPr>
          <w:rFonts w:hint="eastAsia" w:cs="Times New Roman"/>
          <w:szCs w:val="32"/>
        </w:rPr>
        <w:t>企业1</w:t>
      </w:r>
      <w:r>
        <w:rPr>
          <w:rFonts w:cs="Times New Roman"/>
          <w:szCs w:val="32"/>
        </w:rPr>
        <w:t>家（</w:t>
      </w:r>
      <w:r>
        <w:rPr>
          <w:rFonts w:hint="eastAsia" w:cs="Times New Roman"/>
          <w:szCs w:val="32"/>
        </w:rPr>
        <w:t>拦江镇</w:t>
      </w:r>
      <w:r>
        <w:rPr>
          <w:rFonts w:cs="Times New Roman"/>
          <w:szCs w:val="32"/>
        </w:rPr>
        <w:t>），加油站5座（</w:t>
      </w:r>
      <w:r>
        <w:rPr>
          <w:rFonts w:hint="eastAsia" w:cs="Times New Roman"/>
          <w:szCs w:val="32"/>
        </w:rPr>
        <w:t>白马镇1家、中兴镇1家、拦江镇3家</w:t>
      </w:r>
      <w:r>
        <w:rPr>
          <w:rFonts w:cs="Times New Roman"/>
          <w:szCs w:val="32"/>
        </w:rPr>
        <w:t>），</w:t>
      </w:r>
      <w:r>
        <w:rPr>
          <w:rFonts w:hint="eastAsia" w:cs="Times New Roman"/>
          <w:szCs w:val="32"/>
        </w:rPr>
        <w:t>危险爆炸品存储企业1家（白马镇），工贸企业</w:t>
      </w:r>
      <w:r>
        <w:rPr>
          <w:rFonts w:cs="Times New Roman"/>
          <w:szCs w:val="32"/>
        </w:rPr>
        <w:t>7家（</w:t>
      </w:r>
      <w:r>
        <w:rPr>
          <w:rFonts w:hint="eastAsia" w:cs="Times New Roman"/>
          <w:szCs w:val="32"/>
        </w:rPr>
        <w:t>白马镇4家、保石镇1家、拦江镇1家、中兴镇1家</w:t>
      </w:r>
      <w:r>
        <w:rPr>
          <w:rFonts w:cs="Times New Roman"/>
          <w:szCs w:val="32"/>
        </w:rPr>
        <w:t>）</w:t>
      </w:r>
      <w:r>
        <w:rPr>
          <w:rFonts w:hint="eastAsia" w:cs="Times New Roman"/>
          <w:szCs w:val="32"/>
        </w:rPr>
        <w:t>，天然气井场</w:t>
      </w:r>
      <w:r>
        <w:rPr>
          <w:rFonts w:cs="Times New Roman"/>
          <w:szCs w:val="32"/>
        </w:rPr>
        <w:t>2</w:t>
      </w:r>
      <w:r>
        <w:rPr>
          <w:rFonts w:hint="eastAsia" w:cs="Times New Roman"/>
          <w:szCs w:val="32"/>
        </w:rPr>
        <w:t>处</w:t>
      </w:r>
      <w:r>
        <w:rPr>
          <w:rFonts w:cs="Times New Roman"/>
          <w:szCs w:val="32"/>
        </w:rPr>
        <w:t>（</w:t>
      </w:r>
      <w:r>
        <w:rPr>
          <w:rFonts w:hint="eastAsia" w:cs="Times New Roman"/>
          <w:szCs w:val="32"/>
        </w:rPr>
        <w:t>集中在白马镇</w:t>
      </w:r>
      <w:r>
        <w:rPr>
          <w:rFonts w:cs="Times New Roman"/>
          <w:szCs w:val="32"/>
        </w:rPr>
        <w:t>）</w:t>
      </w:r>
      <w:r>
        <w:rPr>
          <w:rFonts w:hint="eastAsia" w:cs="Times New Roman"/>
          <w:szCs w:val="32"/>
        </w:rPr>
        <w:t>，天然气销售公司2家（白马镇1家、拦江镇1家）</w:t>
      </w:r>
      <w:r>
        <w:rPr>
          <w:rFonts w:cs="Times New Roman"/>
          <w:szCs w:val="32"/>
        </w:rPr>
        <w:t>。</w:t>
      </w:r>
      <w:r>
        <w:rPr>
          <w:rFonts w:hint="eastAsia" w:ascii="仿宋" w:hAnsi="仿宋"/>
          <w:szCs w:val="28"/>
        </w:rPr>
        <w:t>片区内有2座中型水库，为新生水库和麻子滩水库；2座小(一)型水库，为双龙桥水库和吊石岩水库；4座小(二)型水库，为李家湾水库、安家沟水库、炭洞子水库和回龙寺水库。</w:t>
      </w:r>
      <w:r>
        <w:rPr>
          <w:rFonts w:cs="Times New Roman"/>
          <w:szCs w:val="32"/>
        </w:rPr>
        <w:t>片区各镇均设立了</w:t>
      </w:r>
      <w:r>
        <w:rPr>
          <w:rFonts w:hint="eastAsia" w:cs="Times New Roman"/>
          <w:szCs w:val="32"/>
        </w:rPr>
        <w:t>应急委员会</w:t>
      </w:r>
      <w:r>
        <w:rPr>
          <w:rFonts w:cs="Times New Roman"/>
          <w:szCs w:val="32"/>
        </w:rPr>
        <w:t>，安全风险分级管控和隐患排查治理双重预防机制基本建立，对以非煤矿山、危险化学品、烟花爆竹、道路交通、农业农村等行业领域为重点的安全生产专项整治持续开展。2016年至2021年</w:t>
      </w:r>
      <w:r>
        <w:rPr>
          <w:rFonts w:cs="Times New Roman"/>
          <w:color w:val="000000" w:themeColor="text1"/>
          <w:szCs w:val="32"/>
          <w14:textFill>
            <w14:solidFill>
              <w14:schemeClr w14:val="tx1"/>
            </w14:solidFill>
          </w14:textFill>
        </w:rPr>
        <w:t>片区</w:t>
      </w:r>
      <w:r>
        <w:rPr>
          <w:rFonts w:hint="eastAsia" w:cs="Times New Roman"/>
          <w:color w:val="000000" w:themeColor="text1"/>
          <w:szCs w:val="32"/>
          <w14:textFill>
            <w14:solidFill>
              <w14:schemeClr w14:val="tx1"/>
            </w14:solidFill>
          </w14:textFill>
        </w:rPr>
        <w:t>未发生</w:t>
      </w:r>
      <w:r>
        <w:rPr>
          <w:rFonts w:cs="Times New Roman"/>
          <w:color w:val="000000" w:themeColor="text1"/>
          <w:szCs w:val="32"/>
          <w14:textFill>
            <w14:solidFill>
              <w14:schemeClr w14:val="tx1"/>
            </w14:solidFill>
          </w14:textFill>
        </w:rPr>
        <w:t>安全生产事故</w:t>
      </w:r>
      <w:r>
        <w:rPr>
          <w:rFonts w:cs="Times New Roman"/>
          <w:szCs w:val="32"/>
        </w:rPr>
        <w:t>。</w:t>
      </w:r>
    </w:p>
    <w:p>
      <w:pPr>
        <w:ind w:firstLine="643"/>
        <w:rPr>
          <w:rFonts w:cs="Times New Roman"/>
        </w:rPr>
      </w:pPr>
      <w:r>
        <w:rPr>
          <w:rFonts w:cs="Times New Roman"/>
          <w:b/>
          <w:szCs w:val="32"/>
        </w:rPr>
        <w:t>自然灾害情况。</w:t>
      </w:r>
      <w:r>
        <w:rPr>
          <w:rFonts w:cs="Times New Roman"/>
        </w:rPr>
        <w:t>片区内存在山洪灾害、森林火灾、气象灾害、地质灾害和地震灾害等自然灾害</w:t>
      </w:r>
      <w:r>
        <w:rPr>
          <w:rFonts w:hint="eastAsia" w:cs="Times New Roman"/>
        </w:rPr>
        <w:t>，2016年至2021年片区未发生自然灾害事故，未造成人员伤亡和财产损失</w:t>
      </w:r>
      <w:r>
        <w:rPr>
          <w:rFonts w:cs="Times New Roman"/>
        </w:rPr>
        <w:t>。</w:t>
      </w:r>
    </w:p>
    <w:p>
      <w:pPr>
        <w:ind w:firstLine="640"/>
        <w:rPr>
          <w:rFonts w:cs="Times New Roman"/>
          <w:szCs w:val="32"/>
        </w:rPr>
      </w:pPr>
      <w:r>
        <w:rPr>
          <w:rFonts w:cs="Times New Roman"/>
          <w:szCs w:val="32"/>
        </w:rPr>
        <w:t>洪涝灾害：</w:t>
      </w:r>
      <w:r>
        <w:rPr>
          <w:rFonts w:hint="eastAsia" w:ascii="仿宋" w:hAnsi="仿宋"/>
          <w:szCs w:val="28"/>
        </w:rPr>
        <w:t>片区内涉及的最重要的河流为琼江河、桅杆溪和石洞河</w:t>
      </w:r>
      <w:r>
        <w:rPr>
          <w:rFonts w:hint="eastAsia" w:cs="Times New Roman"/>
          <w:szCs w:val="32"/>
        </w:rPr>
        <w:t>，有山洪沟5处，其中白马镇3处、保石镇和拦江镇各1处，受威胁人口达2</w:t>
      </w:r>
      <w:r>
        <w:rPr>
          <w:rFonts w:cs="Times New Roman"/>
          <w:szCs w:val="32"/>
        </w:rPr>
        <w:t>256</w:t>
      </w:r>
      <w:r>
        <w:rPr>
          <w:rFonts w:hint="eastAsia" w:cs="Times New Roman"/>
          <w:szCs w:val="32"/>
        </w:rPr>
        <w:t>人。</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森林火灾：</w:t>
      </w:r>
      <w:bookmarkStart w:id="16" w:name="_Hlk105320748"/>
      <w:r>
        <w:rPr>
          <w:rFonts w:cs="Times New Roman"/>
          <w:color w:val="000000" w:themeColor="text1"/>
          <w14:textFill>
            <w14:solidFill>
              <w14:schemeClr w14:val="tx1"/>
            </w14:solidFill>
          </w14:textFill>
        </w:rPr>
        <w:t>林地保有量为4204.07公顷，森林覆盖率19.01%，</w:t>
      </w:r>
      <w:r>
        <w:rPr>
          <w:rFonts w:hint="eastAsia" w:cs="Times New Roman"/>
          <w:color w:val="000000" w:themeColor="text1"/>
          <w14:textFill>
            <w14:solidFill>
              <w14:schemeClr w14:val="tx1"/>
            </w14:solidFill>
          </w14:textFill>
        </w:rPr>
        <w:t>火险等级为三级。片区内有1处国有林场，位于白马镇，</w:t>
      </w:r>
      <w:r>
        <w:rPr>
          <w:rFonts w:cs="Times New Roman"/>
          <w:color w:val="000000" w:themeColor="text1"/>
          <w14:textFill>
            <w14:solidFill>
              <w14:schemeClr w14:val="tx1"/>
            </w14:solidFill>
          </w14:textFill>
        </w:rPr>
        <w:t>林内可燃物长时间堆积产生可燃气体和穹隆山地共同叠加作用下，遇到雷击等恶劣天气或人类用火易发生森林火灾。</w:t>
      </w:r>
      <w:bookmarkStart w:id="17" w:name="_Hlk105323563"/>
      <w:r>
        <w:rPr>
          <w:rFonts w:cs="Times New Roman"/>
          <w:color w:val="000000" w:themeColor="text1"/>
          <w14:textFill>
            <w14:solidFill>
              <w14:schemeClr w14:val="tx1"/>
            </w14:solidFill>
          </w14:textFill>
        </w:rPr>
        <w:t>片区建有防火卡点80处</w:t>
      </w:r>
      <w:bookmarkEnd w:id="17"/>
      <w:r>
        <w:rPr>
          <w:rFonts w:cs="Times New Roman"/>
          <w:color w:val="000000" w:themeColor="text1"/>
          <w14:textFill>
            <w14:solidFill>
              <w14:schemeClr w14:val="tx1"/>
            </w14:solidFill>
          </w14:textFill>
        </w:rPr>
        <w:t>。</w:t>
      </w:r>
      <w:bookmarkEnd w:id="16"/>
      <w:r>
        <w:rPr>
          <w:rFonts w:cs="Times New Roman"/>
          <w:color w:val="000000" w:themeColor="text1"/>
          <w14:textFill>
            <w14:solidFill>
              <w14:schemeClr w14:val="tx1"/>
            </w14:solidFill>
          </w14:textFill>
        </w:rPr>
        <w:t>近年来未发生森林火灾。</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地质灾害：</w:t>
      </w:r>
      <w:r>
        <w:rPr>
          <w:rFonts w:hint="eastAsia" w:cs="Times New Roman"/>
          <w:color w:val="000000" w:themeColor="text1"/>
          <w:szCs w:val="32"/>
          <w14:textFill>
            <w14:solidFill>
              <w14:schemeClr w14:val="tx1"/>
            </w14:solidFill>
          </w14:textFill>
        </w:rPr>
        <w:t>片区内现有地质灾害隐患点共计</w:t>
      </w:r>
      <w:r>
        <w:rPr>
          <w:rFonts w:cs="Times New Roman"/>
          <w:color w:val="000000" w:themeColor="text1"/>
          <w:szCs w:val="32"/>
          <w14:textFill>
            <w14:solidFill>
              <w14:schemeClr w14:val="tx1"/>
            </w14:solidFill>
          </w14:textFill>
        </w:rPr>
        <w:t>9</w:t>
      </w:r>
      <w:r>
        <w:rPr>
          <w:rFonts w:hint="eastAsia" w:cs="Times New Roman"/>
          <w:color w:val="000000" w:themeColor="text1"/>
          <w:szCs w:val="32"/>
          <w14:textFill>
            <w14:solidFill>
              <w14:schemeClr w14:val="tx1"/>
            </w14:solidFill>
          </w14:textFill>
        </w:rPr>
        <w:t>处，其中滑坡2处，崩塌7处，涉及白马镇分布</w:t>
      </w:r>
      <w:r>
        <w:rPr>
          <w:rFonts w:cs="Times New Roman"/>
          <w:color w:val="000000" w:themeColor="text1"/>
          <w:szCs w:val="32"/>
          <w14:textFill>
            <w14:solidFill>
              <w14:schemeClr w14:val="tx1"/>
            </w14:solidFill>
          </w14:textFill>
        </w:rPr>
        <w:t>3</w:t>
      </w:r>
      <w:r>
        <w:rPr>
          <w:rFonts w:hint="eastAsia" w:cs="Times New Roman"/>
          <w:color w:val="000000" w:themeColor="text1"/>
          <w:szCs w:val="32"/>
          <w14:textFill>
            <w14:solidFill>
              <w14:schemeClr w14:val="tx1"/>
            </w14:solidFill>
          </w14:textFill>
        </w:rPr>
        <w:t>处、拦江镇分布</w:t>
      </w:r>
      <w:r>
        <w:rPr>
          <w:rFonts w:cs="Times New Roman"/>
          <w:color w:val="000000" w:themeColor="text1"/>
          <w:szCs w:val="32"/>
          <w14:textFill>
            <w14:solidFill>
              <w14:schemeClr w14:val="tx1"/>
            </w14:solidFill>
          </w14:textFill>
        </w:rPr>
        <w:t>4</w:t>
      </w:r>
      <w:r>
        <w:rPr>
          <w:rFonts w:hint="eastAsia" w:cs="Times New Roman"/>
          <w:color w:val="000000" w:themeColor="text1"/>
          <w:szCs w:val="32"/>
          <w14:textFill>
            <w14:solidFill>
              <w14:schemeClr w14:val="tx1"/>
            </w14:solidFill>
          </w14:textFill>
        </w:rPr>
        <w:t>处、中兴镇分布2处，</w:t>
      </w:r>
      <w:r>
        <w:rPr>
          <w:rFonts w:cs="Times New Roman"/>
          <w:szCs w:val="32"/>
        </w:rPr>
        <w:t>受威胁户数66户，威胁人数</w:t>
      </w:r>
      <w:r>
        <w:rPr>
          <w:rFonts w:hint="eastAsia" w:cs="Times New Roman"/>
          <w:szCs w:val="32"/>
        </w:rPr>
        <w:t>2</w:t>
      </w:r>
      <w:r>
        <w:rPr>
          <w:rFonts w:cs="Times New Roman"/>
          <w:szCs w:val="32"/>
        </w:rPr>
        <w:t>36人，威胁财产1375万</w:t>
      </w:r>
      <w:r>
        <w:rPr>
          <w:rFonts w:hint="eastAsia" w:cs="Times New Roman"/>
          <w:szCs w:val="32"/>
        </w:rPr>
        <w:t>元</w:t>
      </w:r>
      <w:r>
        <w:rPr>
          <w:rFonts w:cs="Times New Roman"/>
          <w:szCs w:val="32"/>
        </w:rPr>
        <w:t>。目前，</w:t>
      </w:r>
      <w:r>
        <w:rPr>
          <w:rFonts w:cs="Times New Roman"/>
          <w:color w:val="000000" w:themeColor="text1"/>
          <w:szCs w:val="32"/>
          <w14:textFill>
            <w14:solidFill>
              <w14:schemeClr w14:val="tx1"/>
            </w14:solidFill>
          </w14:textFill>
        </w:rPr>
        <w:t>地质灾害隐患点均采用</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群测群防-巡视-简易监测、群测群防、群测群防-专业监测-巡视</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多种模式开展了监测。</w:t>
      </w:r>
    </w:p>
    <w:p>
      <w:pPr>
        <w:ind w:firstLine="640"/>
        <w:rPr>
          <w:rFonts w:cs="Times New Roman"/>
          <w:szCs w:val="32"/>
        </w:rPr>
      </w:pPr>
      <w:r>
        <w:rPr>
          <w:rFonts w:cs="Times New Roman"/>
          <w:color w:val="000000" w:themeColor="text1"/>
          <w:szCs w:val="32"/>
          <w14:textFill>
            <w14:solidFill>
              <w14:schemeClr w14:val="tx1"/>
            </w14:solidFill>
          </w14:textFill>
        </w:rPr>
        <w:t>地震灾害：</w:t>
      </w:r>
      <w:r>
        <w:rPr>
          <w:rFonts w:cs="Times New Roman"/>
          <w:szCs w:val="32"/>
        </w:rPr>
        <w:t>片区地属川中丘陵地区，地质结构相对稳定，受地震断裂带或断层影响较小</w:t>
      </w:r>
      <w:r>
        <w:rPr>
          <w:rFonts w:hint="eastAsia" w:cs="Times New Roman"/>
          <w:szCs w:val="32"/>
        </w:rPr>
        <w:t>，无较大断裂和地震构造存在，近期构造运动微弱，主要表现为区域间歇性缓慢上升，据GB18306-2015《中国地震动参数区划图》，区域地震动峰值加速度0.05g，反应谱特征周期0.35s，对应的地震基本烈度＜Ⅵ度，区域稳定性好，未受地震灾害影响。</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气象灾害：片区处于四川盆地亚热带季风气候区，气候温和，雨量充沛</w:t>
      </w:r>
      <w:r>
        <w:rPr>
          <w:rFonts w:hint="eastAsia" w:cs="Times New Roman"/>
          <w:color w:val="000000" w:themeColor="text1"/>
          <w:szCs w:val="32"/>
          <w14:textFill>
            <w14:solidFill>
              <w14:schemeClr w14:val="tx1"/>
            </w14:solidFill>
          </w14:textFill>
        </w:rPr>
        <w:t>，7—8月平均气温26—28℃，12—2月平均气温6—8℃；降水集中在6—8月，4—5月和9—10月次之，11—3月降水较少。风速一年四季较小。片区冬暖春旱、无霜期长，夏季炎热、雨热同季、旱涝交错，秋多绵雨，冬多云雾、日照少、湿度大。降水分布不均，年季变幅大。</w:t>
      </w:r>
      <w:r>
        <w:rPr>
          <w:rFonts w:cs="Times New Roman"/>
          <w:color w:val="000000" w:themeColor="text1"/>
          <w:szCs w:val="32"/>
          <w14:textFill>
            <w14:solidFill>
              <w14:schemeClr w14:val="tx1"/>
            </w14:solidFill>
          </w14:textFill>
        </w:rPr>
        <w:t>气象灾害主要以暴雨为主，无人员伤亡，仅造成一定的经济损失。</w:t>
      </w:r>
    </w:p>
    <w:p>
      <w:pPr>
        <w:ind w:firstLine="643"/>
        <w:rPr>
          <w:rFonts w:cs="Times New Roman"/>
          <w:color w:val="000000" w:themeColor="text1"/>
          <w:szCs w:val="32"/>
          <w14:textFill>
            <w14:solidFill>
              <w14:schemeClr w14:val="tx1"/>
            </w14:solidFill>
          </w14:textFill>
        </w:rPr>
      </w:pPr>
      <w:r>
        <w:rPr>
          <w:rFonts w:cs="Times New Roman"/>
          <w:b/>
          <w:bCs/>
          <w:szCs w:val="32"/>
        </w:rPr>
        <w:t>应急能力</w:t>
      </w:r>
      <w:r>
        <w:rPr>
          <w:rFonts w:hint="eastAsia" w:cs="Times New Roman"/>
          <w:b/>
          <w:bCs/>
          <w:szCs w:val="32"/>
        </w:rPr>
        <w:t>现状。</w:t>
      </w:r>
      <w:r>
        <w:rPr>
          <w:rFonts w:cs="Times New Roman"/>
          <w:color w:val="000000" w:themeColor="text1"/>
          <w:szCs w:val="32"/>
          <w14:textFill>
            <w14:solidFill>
              <w14:schemeClr w14:val="tx1"/>
            </w14:solidFill>
          </w14:textFill>
        </w:rPr>
        <w:t>片区各镇成立由镇党政主要领导任主任的</w:t>
      </w:r>
      <w:r>
        <w:rPr>
          <w:rFonts w:hint="eastAsia" w:cs="Times New Roman"/>
          <w:color w:val="000000" w:themeColor="text1"/>
          <w:szCs w:val="32"/>
          <w14:textFill>
            <w14:solidFill>
              <w14:schemeClr w14:val="tx1"/>
            </w14:solidFill>
          </w14:textFill>
        </w:rPr>
        <w:t>应急委员会</w:t>
      </w:r>
      <w:r>
        <w:rPr>
          <w:rFonts w:cs="Times New Roman"/>
          <w:color w:val="000000" w:themeColor="text1"/>
          <w:szCs w:val="32"/>
          <w14:textFill>
            <w14:solidFill>
              <w14:schemeClr w14:val="tx1"/>
            </w14:solidFill>
          </w14:textFill>
        </w:rPr>
        <w:t>，承担安全生产和应急指挥决策职责。</w:t>
      </w:r>
      <w:r>
        <w:rPr>
          <w:rFonts w:hint="eastAsia" w:cs="Times New Roman"/>
          <w:color w:val="000000" w:themeColor="text1"/>
          <w:szCs w:val="32"/>
          <w14:textFill>
            <w14:solidFill>
              <w14:schemeClr w14:val="tx1"/>
            </w14:solidFill>
          </w14:textFill>
        </w:rPr>
        <w:t>应急委员会</w:t>
      </w:r>
      <w:r>
        <w:rPr>
          <w:rFonts w:cs="Times New Roman"/>
          <w:color w:val="000000" w:themeColor="text1"/>
          <w:szCs w:val="32"/>
          <w14:textFill>
            <w14:solidFill>
              <w14:schemeClr w14:val="tx1"/>
            </w14:solidFill>
          </w14:textFill>
        </w:rPr>
        <w:t>办公室设在</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镇应急办，负责本区域森林防灭火、防汛防地灾、安全生产等工作。</w:t>
      </w:r>
      <w:bookmarkStart w:id="18" w:name="_Hlk100676448"/>
      <w:r>
        <w:rPr>
          <w:rFonts w:hint="eastAsia" w:cs="Times New Roman"/>
          <w:color w:val="000000" w:themeColor="text1"/>
          <w:szCs w:val="32"/>
          <w14:textFill>
            <w14:solidFill>
              <w14:schemeClr w14:val="tx1"/>
            </w14:solidFill>
          </w14:textFill>
        </w:rPr>
        <w:t>各镇（街道）、村（社区）已经配置有相应的地质灾害监测员、山洪监测巡查员、灾害信息员、网格员等，建立了群测群防网络体系。</w:t>
      </w:r>
      <w:r>
        <w:rPr>
          <w:rFonts w:cs="Times New Roman"/>
          <w:color w:val="000000" w:themeColor="text1"/>
          <w:szCs w:val="32"/>
          <w14:textFill>
            <w14:solidFill>
              <w14:schemeClr w14:val="tx1"/>
            </w14:solidFill>
          </w14:textFill>
        </w:rPr>
        <w:t>各镇应急办配备专兼职工作人员1到3名</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各</w:t>
      </w:r>
      <w:bookmarkEnd w:id="18"/>
      <w:r>
        <w:rPr>
          <w:rFonts w:hint="eastAsia" w:cs="Times New Roman"/>
          <w:color w:val="000000" w:themeColor="text1"/>
          <w:szCs w:val="32"/>
          <w14:textFill>
            <w14:solidFill>
              <w14:schemeClr w14:val="tx1"/>
            </w14:solidFill>
          </w14:textFill>
        </w:rPr>
        <w:t>镇</w:t>
      </w:r>
      <w:r>
        <w:rPr>
          <w:rFonts w:hint="eastAsia" w:cs="Times New Roman"/>
          <w:szCs w:val="32"/>
        </w:rPr>
        <w:t>“</w:t>
      </w:r>
      <w:r>
        <w:rPr>
          <w:rFonts w:cs="Times New Roman"/>
          <w:szCs w:val="32"/>
        </w:rPr>
        <w:t>三长两员</w:t>
      </w:r>
      <w:r>
        <w:rPr>
          <w:rFonts w:hint="eastAsia" w:cs="Times New Roman"/>
          <w:szCs w:val="32"/>
        </w:rPr>
        <w:t>”</w:t>
      </w:r>
      <w:r>
        <w:rPr>
          <w:rFonts w:cs="Times New Roman"/>
          <w:color w:val="000000" w:themeColor="text1"/>
          <w:szCs w:val="32"/>
          <w14:textFill>
            <w14:solidFill>
              <w14:schemeClr w14:val="tx1"/>
            </w14:solidFill>
          </w14:textFill>
        </w:rPr>
        <w:t>为重点的山洪灾害、地质灾害的管理体系，建有山洪灾害、地质灾害点检测与巡查制度，每个山洪灾害隐患点</w:t>
      </w:r>
      <w:r>
        <w:rPr>
          <w:rFonts w:hint="eastAsia" w:cs="Times New Roman"/>
          <w:color w:val="000000" w:themeColor="text1"/>
          <w:szCs w:val="32"/>
          <w14:textFill>
            <w14:solidFill>
              <w14:schemeClr w14:val="tx1"/>
            </w14:solidFill>
          </w14:textFill>
        </w:rPr>
        <w:t>及</w:t>
      </w:r>
      <w:r>
        <w:rPr>
          <w:rFonts w:cs="Times New Roman"/>
          <w:color w:val="000000" w:themeColor="text1"/>
          <w:szCs w:val="32"/>
          <w14:textFill>
            <w14:solidFill>
              <w14:schemeClr w14:val="tx1"/>
            </w14:solidFill>
          </w14:textFill>
        </w:rPr>
        <w:t>地质灾害隐患点均设置有监测责任人。</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应急救援队伍。</w:t>
      </w:r>
      <w:r>
        <w:rPr>
          <w:rFonts w:hint="eastAsia" w:cs="Times New Roman"/>
          <w:color w:val="000000" w:themeColor="text1"/>
          <w:szCs w:val="32"/>
          <w14:textFill>
            <w14:solidFill>
              <w14:schemeClr w14:val="tx1"/>
            </w14:solidFill>
          </w14:textFill>
        </w:rPr>
        <w:t>片区已建立镇级综合应急救援队伍</w:t>
      </w:r>
      <w:r>
        <w:rPr>
          <w:rFonts w:cs="Times New Roman"/>
          <w:color w:val="000000" w:themeColor="text1"/>
          <w:szCs w:val="32"/>
          <w14:textFill>
            <w14:solidFill>
              <w14:schemeClr w14:val="tx1"/>
            </w14:solidFill>
          </w14:textFill>
        </w:rPr>
        <w:t>4</w:t>
      </w:r>
      <w:r>
        <w:rPr>
          <w:rFonts w:hint="eastAsia" w:cs="Times New Roman"/>
          <w:color w:val="000000" w:themeColor="text1"/>
          <w:szCs w:val="32"/>
          <w14:textFill>
            <w14:solidFill>
              <w14:schemeClr w14:val="tx1"/>
            </w14:solidFill>
          </w14:textFill>
        </w:rPr>
        <w:t>支80人，各村（社区）已建成应急救援分队共</w:t>
      </w:r>
      <w:r>
        <w:rPr>
          <w:rFonts w:cs="Times New Roman"/>
          <w:color w:val="000000" w:themeColor="text1"/>
          <w:szCs w:val="32"/>
          <w14:textFill>
            <w14:solidFill>
              <w14:schemeClr w14:val="tx1"/>
            </w14:solidFill>
          </w14:textFill>
        </w:rPr>
        <w:t>80</w:t>
      </w:r>
      <w:r>
        <w:rPr>
          <w:rFonts w:hint="eastAsia" w:cs="Times New Roman"/>
          <w:color w:val="000000" w:themeColor="text1"/>
          <w:szCs w:val="32"/>
          <w14:textFill>
            <w14:solidFill>
              <w14:schemeClr w14:val="tx1"/>
            </w14:solidFill>
          </w14:textFill>
        </w:rPr>
        <w:t>支1</w:t>
      </w:r>
      <w:r>
        <w:rPr>
          <w:rFonts w:cs="Times New Roman"/>
          <w:color w:val="000000" w:themeColor="text1"/>
          <w:szCs w:val="32"/>
          <w14:textFill>
            <w14:solidFill>
              <w14:schemeClr w14:val="tx1"/>
            </w14:solidFill>
          </w14:textFill>
        </w:rPr>
        <w:t>60</w:t>
      </w:r>
      <w:r>
        <w:rPr>
          <w:rFonts w:hint="eastAsia" w:cs="Times New Roman"/>
          <w:color w:val="000000" w:themeColor="text1"/>
          <w:szCs w:val="32"/>
          <w14:textFill>
            <w14:solidFill>
              <w14:schemeClr w14:val="tx1"/>
            </w14:solidFill>
          </w14:textFill>
        </w:rPr>
        <w:t>0人，均为兼职人员，承担本辖区内地震、地质灾害、洪涝灾害、森林火灾的前期处置工作；各镇有森林防火半专业扑火队，共</w:t>
      </w:r>
      <w:r>
        <w:rPr>
          <w:rFonts w:cs="Times New Roman"/>
          <w:color w:val="000000" w:themeColor="text1"/>
          <w:szCs w:val="32"/>
          <w14:textFill>
            <w14:solidFill>
              <w14:schemeClr w14:val="tx1"/>
            </w14:solidFill>
          </w14:textFill>
        </w:rPr>
        <w:t>4</w:t>
      </w:r>
      <w:r>
        <w:rPr>
          <w:rFonts w:hint="eastAsia" w:cs="Times New Roman"/>
          <w:color w:val="000000" w:themeColor="text1"/>
          <w:szCs w:val="32"/>
          <w14:textFill>
            <w14:solidFill>
              <w14:schemeClr w14:val="tx1"/>
            </w14:solidFill>
          </w14:textFill>
        </w:rPr>
        <w:t>支</w:t>
      </w:r>
      <w:r>
        <w:rPr>
          <w:rFonts w:cs="Times New Roman"/>
          <w:color w:val="000000" w:themeColor="text1"/>
          <w:szCs w:val="32"/>
          <w14:textFill>
            <w14:solidFill>
              <w14:schemeClr w14:val="tx1"/>
            </w14:solidFill>
          </w14:textFill>
        </w:rPr>
        <w:t>16</w:t>
      </w:r>
      <w:r>
        <w:rPr>
          <w:rFonts w:hint="eastAsia" w:cs="Times New Roman"/>
          <w:color w:val="000000" w:themeColor="text1"/>
          <w:szCs w:val="32"/>
          <w14:textFill>
            <w14:solidFill>
              <w14:schemeClr w14:val="tx1"/>
            </w14:solidFill>
          </w14:textFill>
        </w:rPr>
        <w:t>0人，配备有高压接力水泵、抽水机、发电机、油锯、对讲机、背负式灭火器等装备。</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应急预案。片区各镇编制了突发事件总体应急预案、突发重特大地震灾害应急处置工作方案、森林火灾应急预案、山洪灾害应急预案、地质灾害应急预案等，并开展</w:t>
      </w:r>
      <w:r>
        <w:rPr>
          <w:rFonts w:hint="eastAsia" w:cs="Times New Roman"/>
          <w:color w:val="000000" w:themeColor="text1"/>
          <w:szCs w:val="32"/>
          <w14:textFill>
            <w14:solidFill>
              <w14:schemeClr w14:val="tx1"/>
            </w14:solidFill>
          </w14:textFill>
        </w:rPr>
        <w:t>了</w:t>
      </w:r>
      <w:r>
        <w:rPr>
          <w:rFonts w:cs="Times New Roman"/>
          <w:color w:val="000000" w:themeColor="text1"/>
          <w:szCs w:val="32"/>
          <w14:textFill>
            <w14:solidFill>
              <w14:schemeClr w14:val="tx1"/>
            </w14:solidFill>
          </w14:textFill>
        </w:rPr>
        <w:t>地震、地灾、森林防火、防汛等应急演练。</w:t>
      </w:r>
      <w:r>
        <w:rPr>
          <w:rFonts w:hint="eastAsia" w:cs="Times New Roman"/>
          <w:color w:val="000000" w:themeColor="text1"/>
          <w:szCs w:val="32"/>
          <w14:textFill>
            <w14:solidFill>
              <w14:schemeClr w14:val="tx1"/>
            </w14:solidFill>
          </w14:textFill>
        </w:rPr>
        <w:t>各村根据实际制定了灾害现场处置方案，不定期开展现场处置演练。</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应急避难场所。</w:t>
      </w:r>
      <w:r>
        <w:rPr>
          <w:rFonts w:hint="eastAsia" w:cs="Times New Roman"/>
          <w:color w:val="000000" w:themeColor="text1"/>
          <w:szCs w:val="32"/>
          <w14:textFill>
            <w14:solidFill>
              <w14:schemeClr w14:val="tx1"/>
            </w14:solidFill>
          </w14:textFill>
        </w:rPr>
        <w:t>片区以学校、政府驻地、敬老院、医院和公园等为基础，共设置有临时应急避难场所</w:t>
      </w:r>
      <w:r>
        <w:rPr>
          <w:rFonts w:cs="Times New Roman"/>
          <w:color w:val="000000" w:themeColor="text1"/>
          <w:szCs w:val="32"/>
          <w14:textFill>
            <w14:solidFill>
              <w14:schemeClr w14:val="tx1"/>
            </w14:solidFill>
          </w14:textFill>
        </w:rPr>
        <w:t>32</w:t>
      </w:r>
      <w:r>
        <w:rPr>
          <w:rFonts w:hint="eastAsia" w:cs="Times New Roman"/>
          <w:color w:val="000000" w:themeColor="text1"/>
          <w:szCs w:val="32"/>
          <w14:textFill>
            <w14:solidFill>
              <w14:schemeClr w14:val="tx1"/>
            </w14:solidFill>
          </w14:textFill>
        </w:rPr>
        <w:t>处，总面积</w:t>
      </w:r>
      <w:r>
        <w:rPr>
          <w:rFonts w:cs="Times New Roman"/>
          <w:color w:val="000000" w:themeColor="text1"/>
          <w:szCs w:val="32"/>
          <w14:textFill>
            <w14:solidFill>
              <w14:schemeClr w14:val="tx1"/>
            </w14:solidFill>
          </w14:textFill>
        </w:rPr>
        <w:t>93300</w:t>
      </w:r>
      <w:r>
        <w:rPr>
          <w:rFonts w:hint="eastAsia" w:cs="Times New Roman"/>
          <w:color w:val="000000" w:themeColor="text1"/>
          <w:szCs w:val="32"/>
          <w14:textFill>
            <w14:solidFill>
              <w14:schemeClr w14:val="tx1"/>
            </w14:solidFill>
          </w14:textFill>
        </w:rPr>
        <w:t>m</w:t>
      </w:r>
      <w:r>
        <w:rPr>
          <w:rFonts w:hint="eastAsia" w:cs="Times New Roman"/>
          <w:color w:val="000000" w:themeColor="text1"/>
          <w:szCs w:val="32"/>
          <w:vertAlign w:val="superscript"/>
          <w14:textFill>
            <w14:solidFill>
              <w14:schemeClr w14:val="tx1"/>
            </w14:solidFill>
          </w14:textFill>
        </w:rPr>
        <w:t>2</w:t>
      </w:r>
      <w:r>
        <w:rPr>
          <w:rFonts w:hint="eastAsia" w:cs="Times New Roman"/>
          <w:color w:val="000000" w:themeColor="text1"/>
          <w:szCs w:val="32"/>
          <w14:textFill>
            <w14:solidFill>
              <w14:schemeClr w14:val="tx1"/>
            </w14:solidFill>
          </w14:textFill>
        </w:rPr>
        <w:t>。</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应急物资。片区目前</w:t>
      </w:r>
      <w:r>
        <w:rPr>
          <w:rFonts w:hint="eastAsia" w:cs="Times New Roman"/>
          <w:color w:val="000000" w:themeColor="text1"/>
          <w:szCs w:val="32"/>
          <w14:textFill>
            <w14:solidFill>
              <w14:schemeClr w14:val="tx1"/>
            </w14:solidFill>
          </w14:textFill>
        </w:rPr>
        <w:t>有</w:t>
      </w:r>
      <w:r>
        <w:rPr>
          <w:rFonts w:cs="Times New Roman"/>
          <w:color w:val="000000" w:themeColor="text1"/>
          <w:szCs w:val="32"/>
          <w14:textFill>
            <w14:solidFill>
              <w14:schemeClr w14:val="tx1"/>
            </w14:solidFill>
          </w14:textFill>
        </w:rPr>
        <w:t>应急物资储备库4</w:t>
      </w:r>
      <w:r>
        <w:rPr>
          <w:rFonts w:hint="eastAsia" w:cs="Times New Roman"/>
          <w:color w:val="000000" w:themeColor="text1"/>
          <w:szCs w:val="32"/>
          <w14:textFill>
            <w14:solidFill>
              <w14:schemeClr w14:val="tx1"/>
            </w14:solidFill>
          </w14:textFill>
        </w:rPr>
        <w:t>处</w:t>
      </w:r>
      <w:r>
        <w:rPr>
          <w:rFonts w:cs="Times New Roman"/>
          <w:color w:val="000000" w:themeColor="text1"/>
          <w:szCs w:val="32"/>
          <w14:textFill>
            <w14:solidFill>
              <w14:schemeClr w14:val="tx1"/>
            </w14:solidFill>
          </w14:textFill>
        </w:rPr>
        <w:t>，应急物资储备主要依托于镇政府和</w:t>
      </w:r>
      <w:r>
        <w:rPr>
          <w:rFonts w:hint="eastAsia" w:cs="Times New Roman"/>
          <w:color w:val="000000" w:themeColor="text1"/>
          <w:szCs w:val="32"/>
          <w14:textFill>
            <w14:solidFill>
              <w14:schemeClr w14:val="tx1"/>
            </w14:solidFill>
          </w14:textFill>
        </w:rPr>
        <w:t>敬老院</w:t>
      </w:r>
      <w:r>
        <w:rPr>
          <w:rFonts w:cs="Times New Roman"/>
          <w:color w:val="000000" w:themeColor="text1"/>
          <w:szCs w:val="32"/>
          <w14:textFill>
            <w14:solidFill>
              <w14:schemeClr w14:val="tx1"/>
            </w14:solidFill>
          </w14:textFill>
        </w:rPr>
        <w:t>库房，存放有电筒、雨鞋、救生衣、雨衣、铁锹、发电机、应急照明灯、编织袋等应急物资，共计物资</w:t>
      </w:r>
      <w:r>
        <w:rPr>
          <w:rFonts w:hint="eastAsia" w:cs="Times New Roman"/>
          <w:color w:val="000000" w:themeColor="text1"/>
          <w:szCs w:val="32"/>
          <w14:textFill>
            <w14:solidFill>
              <w14:schemeClr w14:val="tx1"/>
            </w14:solidFill>
          </w14:textFill>
        </w:rPr>
        <w:t>1</w:t>
      </w:r>
      <w:r>
        <w:rPr>
          <w:rFonts w:cs="Times New Roman"/>
          <w:color w:val="000000" w:themeColor="text1"/>
          <w:szCs w:val="32"/>
          <w14:textFill>
            <w14:solidFill>
              <w14:schemeClr w14:val="tx1"/>
            </w14:solidFill>
          </w14:textFill>
        </w:rPr>
        <w:t>863</w:t>
      </w:r>
      <w:r>
        <w:rPr>
          <w:rFonts w:hint="eastAsia" w:cs="Times New Roman"/>
          <w:color w:val="000000" w:themeColor="text1"/>
          <w:szCs w:val="32"/>
          <w14:textFill>
            <w14:solidFill>
              <w14:schemeClr w14:val="tx1"/>
            </w14:solidFill>
          </w14:textFill>
        </w:rPr>
        <w:t>件</w:t>
      </w:r>
      <w:r>
        <w:rPr>
          <w:rFonts w:cs="Times New Roman"/>
          <w:color w:val="000000" w:themeColor="text1"/>
          <w:szCs w:val="32"/>
          <w14:textFill>
            <w14:solidFill>
              <w14:schemeClr w14:val="tx1"/>
            </w14:solidFill>
          </w14:textFill>
        </w:rPr>
        <w:t>套</w:t>
      </w:r>
      <w:r>
        <w:rPr>
          <w:rFonts w:hint="eastAsia" w:cs="Times New Roman"/>
          <w:color w:val="000000" w:themeColor="text1"/>
          <w:szCs w:val="32"/>
          <w14:textFill>
            <w14:solidFill>
              <w14:schemeClr w14:val="tx1"/>
            </w14:solidFill>
          </w14:textFill>
        </w:rPr>
        <w:t>，价值</w:t>
      </w:r>
      <w:r>
        <w:rPr>
          <w:rFonts w:cs="Times New Roman"/>
          <w:color w:val="000000" w:themeColor="text1"/>
          <w:szCs w:val="32"/>
          <w14:textFill>
            <w14:solidFill>
              <w14:schemeClr w14:val="tx1"/>
            </w14:solidFill>
          </w14:textFill>
        </w:rPr>
        <w:t>10.57</w:t>
      </w:r>
      <w:r>
        <w:rPr>
          <w:rFonts w:hint="eastAsia" w:cs="Times New Roman"/>
          <w:color w:val="000000" w:themeColor="text1"/>
          <w:szCs w:val="32"/>
          <w14:textFill>
            <w14:solidFill>
              <w14:schemeClr w14:val="tx1"/>
            </w14:solidFill>
          </w14:textFill>
        </w:rPr>
        <w:t>万余元</w:t>
      </w:r>
      <w:r>
        <w:rPr>
          <w:rFonts w:cs="Times New Roman"/>
          <w:color w:val="000000" w:themeColor="text1"/>
          <w:szCs w:val="32"/>
          <w14:textFill>
            <w14:solidFill>
              <w14:schemeClr w14:val="tx1"/>
            </w14:solidFill>
          </w14:textFill>
        </w:rPr>
        <w:t>。</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基础设施建设。</w:t>
      </w:r>
      <w:r>
        <w:rPr>
          <w:rFonts w:hint="eastAsia" w:cs="Times New Roman"/>
          <w:color w:val="000000" w:themeColor="text1"/>
          <w:szCs w:val="32"/>
          <w14:textFill>
            <w14:solidFill>
              <w14:schemeClr w14:val="tx1"/>
            </w14:solidFill>
          </w14:textFill>
        </w:rPr>
        <w:t>山洪灾害防治方面，片区现有雨量监测站7个。地质灾害防治方面，片区现有地质灾害隐患点</w:t>
      </w:r>
      <w:r>
        <w:rPr>
          <w:rFonts w:cs="Times New Roman"/>
          <w:color w:val="000000" w:themeColor="text1"/>
          <w:szCs w:val="32"/>
          <w14:textFill>
            <w14:solidFill>
              <w14:schemeClr w14:val="tx1"/>
            </w14:solidFill>
          </w14:textFill>
        </w:rPr>
        <w:t>9</w:t>
      </w:r>
      <w:r>
        <w:rPr>
          <w:rFonts w:hint="eastAsia" w:cs="Times New Roman"/>
          <w:color w:val="000000" w:themeColor="text1"/>
          <w:szCs w:val="32"/>
          <w14:textFill>
            <w14:solidFill>
              <w14:schemeClr w14:val="tx1"/>
            </w14:solidFill>
          </w14:textFill>
        </w:rPr>
        <w:t>处，均安装了地质灾害监测预警设备。森林防灭火方面，在白马镇平宁国有林场建有森林防火视频监控系统</w:t>
      </w:r>
      <w:r>
        <w:rPr>
          <w:rFonts w:cs="Times New Roman"/>
          <w:color w:val="000000" w:themeColor="text1"/>
          <w:szCs w:val="32"/>
          <w14:textFill>
            <w14:solidFill>
              <w14:schemeClr w14:val="tx1"/>
            </w14:solidFill>
          </w14:textFill>
        </w:rPr>
        <w:t>1</w:t>
      </w:r>
      <w:r>
        <w:rPr>
          <w:rFonts w:hint="eastAsia" w:cs="Times New Roman"/>
          <w:color w:val="000000" w:themeColor="text1"/>
          <w:szCs w:val="32"/>
          <w14:textFill>
            <w14:solidFill>
              <w14:schemeClr w14:val="tx1"/>
            </w14:solidFill>
          </w14:textFill>
        </w:rPr>
        <w:t>处，片区各镇建有防火物资储备库</w:t>
      </w:r>
      <w:r>
        <w:rPr>
          <w:rFonts w:cs="Times New Roman"/>
          <w:color w:val="000000" w:themeColor="text1"/>
          <w:szCs w:val="32"/>
          <w14:textFill>
            <w14:solidFill>
              <w14:schemeClr w14:val="tx1"/>
            </w14:solidFill>
          </w14:textFill>
        </w:rPr>
        <w:t>4</w:t>
      </w:r>
      <w:r>
        <w:rPr>
          <w:rFonts w:hint="eastAsia" w:cs="Times New Roman"/>
          <w:color w:val="000000" w:themeColor="text1"/>
          <w:szCs w:val="32"/>
          <w14:textFill>
            <w14:solidFill>
              <w14:schemeClr w14:val="tx1"/>
            </w14:solidFill>
          </w14:textFill>
        </w:rPr>
        <w:t>个，森林防火卡点</w:t>
      </w:r>
      <w:r>
        <w:rPr>
          <w:rFonts w:cs="Times New Roman"/>
          <w:color w:val="000000" w:themeColor="text1"/>
          <w:szCs w:val="32"/>
          <w14:textFill>
            <w14:solidFill>
              <w14:schemeClr w14:val="tx1"/>
            </w14:solidFill>
          </w14:textFill>
        </w:rPr>
        <w:t>80</w:t>
      </w:r>
      <w:r>
        <w:rPr>
          <w:rFonts w:hint="eastAsia" w:cs="Times New Roman"/>
          <w:color w:val="000000" w:themeColor="text1"/>
          <w:szCs w:val="32"/>
          <w14:textFill>
            <w14:solidFill>
              <w14:schemeClr w14:val="tx1"/>
            </w14:solidFill>
          </w14:textFill>
        </w:rPr>
        <w:t>处。地震灾害方面，片区暂未建有地震监测点。</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信息化建设。片区各镇配备了卫星电话1部。片区各镇、村</w:t>
      </w:r>
      <w:r>
        <w:rPr>
          <w:rFonts w:hint="eastAsia" w:cs="Times New Roman"/>
          <w:color w:val="000000" w:themeColor="text1"/>
          <w:szCs w:val="32"/>
          <w14:textFill>
            <w14:solidFill>
              <w14:schemeClr w14:val="tx1"/>
            </w14:solidFill>
          </w14:textFill>
        </w:rPr>
        <w:t>（社区）</w:t>
      </w:r>
      <w:r>
        <w:rPr>
          <w:rFonts w:cs="Times New Roman"/>
          <w:color w:val="000000" w:themeColor="text1"/>
          <w:szCs w:val="32"/>
          <w14:textFill>
            <w14:solidFill>
              <w14:schemeClr w14:val="tx1"/>
            </w14:solidFill>
          </w14:textFill>
        </w:rPr>
        <w:t>通过运用手机、微信群、卫星电话、广播村村响系统、手持对讲机、护林员巡护定位系统APP等搭建信息化网络。</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应急宣传。片区各镇利用电视、广播、防灾减灾日、安全生产月、消防月、交通安全月等形式，开展消防、安全生产、森林火灾、防震减灾、交通安全等宣传活动；</w:t>
      </w:r>
      <w:bookmarkStart w:id="19" w:name="_Hlk109650357"/>
      <w:r>
        <w:rPr>
          <w:rFonts w:cs="Times New Roman"/>
          <w:color w:val="000000" w:themeColor="text1"/>
          <w:szCs w:val="32"/>
          <w14:textFill>
            <w14:solidFill>
              <w14:schemeClr w14:val="tx1"/>
            </w14:solidFill>
          </w14:textFill>
        </w:rPr>
        <w:t>各镇</w:t>
      </w:r>
      <w:bookmarkEnd w:id="19"/>
      <w:r>
        <w:rPr>
          <w:rFonts w:cs="Times New Roman"/>
          <w:color w:val="000000" w:themeColor="text1"/>
          <w:szCs w:val="32"/>
          <w14:textFill>
            <w14:solidFill>
              <w14:schemeClr w14:val="tx1"/>
            </w14:solidFill>
          </w14:textFill>
        </w:rPr>
        <w:t>开展进企业、进农村、进村社、进校园、进家庭安全知识宣传培训。</w:t>
      </w:r>
    </w:p>
    <w:p>
      <w:pPr>
        <w:pStyle w:val="4"/>
        <w:rPr>
          <w:rFonts w:cs="Times New Roman"/>
        </w:rPr>
      </w:pPr>
      <w:bookmarkStart w:id="20" w:name="_Toc5545"/>
      <w:bookmarkStart w:id="21" w:name="_Toc98773627"/>
      <w:r>
        <w:rPr>
          <w:rFonts w:cs="Times New Roman"/>
        </w:rPr>
        <w:t>（二）面临</w:t>
      </w:r>
      <w:bookmarkEnd w:id="20"/>
      <w:r>
        <w:rPr>
          <w:rFonts w:cs="Times New Roman"/>
        </w:rPr>
        <w:t>形势</w:t>
      </w:r>
    </w:p>
    <w:p>
      <w:pPr>
        <w:spacing w:line="560" w:lineRule="exact"/>
        <w:ind w:firstLine="643"/>
        <w:rPr>
          <w:rFonts w:cs="Times New Roman"/>
        </w:rPr>
      </w:pPr>
      <w:r>
        <w:rPr>
          <w:rFonts w:cs="Times New Roman"/>
          <w:b/>
        </w:rPr>
        <w:t>安全生产方面。</w:t>
      </w:r>
      <w:r>
        <w:rPr>
          <w:rFonts w:cs="Times New Roman"/>
          <w:color w:val="000000" w:themeColor="text1"/>
          <w:szCs w:val="32"/>
          <w14:textFill>
            <w14:solidFill>
              <w14:schemeClr w14:val="tx1"/>
            </w14:solidFill>
          </w14:textFill>
        </w:rPr>
        <w:t>片区内有加油站、</w:t>
      </w:r>
      <w:r>
        <w:rPr>
          <w:rFonts w:hint="eastAsia" w:cs="Times New Roman"/>
          <w:color w:val="000000" w:themeColor="text1"/>
          <w:szCs w:val="32"/>
          <w14:textFill>
            <w14:solidFill>
              <w14:schemeClr w14:val="tx1"/>
            </w14:solidFill>
          </w14:textFill>
        </w:rPr>
        <w:t>天然气供应设施和危险爆炸品存储设施</w:t>
      </w:r>
      <w:r>
        <w:rPr>
          <w:rFonts w:cs="Times New Roman"/>
          <w:color w:val="000000" w:themeColor="text1"/>
          <w:szCs w:val="32"/>
          <w14:textFill>
            <w14:solidFill>
              <w14:schemeClr w14:val="tx1"/>
            </w14:solidFill>
          </w14:textFill>
        </w:rPr>
        <w:t>，存在燃烧爆炸、窒息等</w:t>
      </w:r>
      <w:r>
        <w:rPr>
          <w:rFonts w:hint="eastAsia" w:cs="Times New Roman"/>
          <w:color w:val="000000" w:themeColor="text1"/>
          <w:szCs w:val="32"/>
          <w14:textFill>
            <w14:solidFill>
              <w14:schemeClr w14:val="tx1"/>
            </w14:solidFill>
          </w14:textFill>
        </w:rPr>
        <w:t>危</w:t>
      </w:r>
      <w:r>
        <w:rPr>
          <w:rFonts w:cs="Times New Roman"/>
          <w:color w:val="000000" w:themeColor="text1"/>
          <w:szCs w:val="32"/>
          <w14:textFill>
            <w14:solidFill>
              <w14:schemeClr w14:val="tx1"/>
            </w14:solidFill>
          </w14:textFill>
        </w:rPr>
        <w:t>险</w:t>
      </w:r>
      <w:r>
        <w:rPr>
          <w:rFonts w:hint="eastAsia" w:cs="Times New Roman"/>
          <w:color w:val="000000" w:themeColor="text1"/>
          <w:szCs w:val="32"/>
          <w14:textFill>
            <w14:solidFill>
              <w14:schemeClr w14:val="tx1"/>
            </w14:solidFill>
          </w14:textFill>
        </w:rPr>
        <w:t>因素</w:t>
      </w:r>
      <w:r>
        <w:rPr>
          <w:rFonts w:cs="Times New Roman"/>
          <w:color w:val="000000" w:themeColor="text1"/>
          <w:szCs w:val="32"/>
          <w14:textFill>
            <w14:solidFill>
              <w14:schemeClr w14:val="tx1"/>
            </w14:solidFill>
          </w14:textFill>
        </w:rPr>
        <w:t>；片区内页岩砖厂，存在</w:t>
      </w:r>
      <w:r>
        <w:rPr>
          <w:rFonts w:hint="eastAsia" w:cs="Times New Roman"/>
          <w:color w:val="000000" w:themeColor="text1"/>
          <w:szCs w:val="32"/>
          <w14:textFill>
            <w14:solidFill>
              <w14:schemeClr w14:val="tx1"/>
            </w14:solidFill>
          </w14:textFill>
        </w:rPr>
        <w:t>机械伤害</w:t>
      </w:r>
      <w:r>
        <w:rPr>
          <w:rFonts w:cs="Times New Roman"/>
          <w:color w:val="000000" w:themeColor="text1"/>
          <w:szCs w:val="32"/>
          <w14:textFill>
            <w14:solidFill>
              <w14:schemeClr w14:val="tx1"/>
            </w14:solidFill>
          </w14:textFill>
        </w:rPr>
        <w:t>、</w:t>
      </w:r>
      <w:r>
        <w:rPr>
          <w:rFonts w:hint="eastAsia" w:cs="Times New Roman"/>
          <w:color w:val="000000" w:themeColor="text1"/>
          <w:szCs w:val="32"/>
          <w14:textFill>
            <w14:solidFill>
              <w14:schemeClr w14:val="tx1"/>
            </w14:solidFill>
          </w14:textFill>
        </w:rPr>
        <w:t>车辆伤害</w:t>
      </w:r>
      <w:r>
        <w:rPr>
          <w:rFonts w:cs="Times New Roman"/>
          <w:color w:val="000000" w:themeColor="text1"/>
          <w:szCs w:val="32"/>
          <w14:textFill>
            <w14:solidFill>
              <w14:schemeClr w14:val="tx1"/>
            </w14:solidFill>
          </w14:textFill>
        </w:rPr>
        <w:t>等</w:t>
      </w:r>
      <w:r>
        <w:rPr>
          <w:rFonts w:hint="eastAsia" w:cs="Times New Roman"/>
          <w:color w:val="000000" w:themeColor="text1"/>
          <w:szCs w:val="32"/>
          <w14:textFill>
            <w14:solidFill>
              <w14:schemeClr w14:val="tx1"/>
            </w14:solidFill>
          </w14:textFill>
        </w:rPr>
        <w:t>危</w:t>
      </w:r>
      <w:r>
        <w:rPr>
          <w:rFonts w:cs="Times New Roman"/>
          <w:color w:val="000000" w:themeColor="text1"/>
          <w:szCs w:val="32"/>
          <w14:textFill>
            <w14:solidFill>
              <w14:schemeClr w14:val="tx1"/>
            </w14:solidFill>
          </w14:textFill>
        </w:rPr>
        <w:t>险</w:t>
      </w:r>
      <w:r>
        <w:rPr>
          <w:rFonts w:hint="eastAsia" w:cs="Times New Roman"/>
          <w:color w:val="000000" w:themeColor="text1"/>
          <w:szCs w:val="32"/>
          <w14:textFill>
            <w14:solidFill>
              <w14:schemeClr w14:val="tx1"/>
            </w14:solidFill>
          </w14:textFill>
        </w:rPr>
        <w:t>因素；片区工贸企业主要以食品、酒厂为主，存在机械伤害、火灾爆炸、中毒窒息等危险因素，特别要注意有限空间作业时的安全防护，同时有木材加工、制衣等工厂存在粉尘涉爆、火灾等风险。片区</w:t>
      </w:r>
      <w:r>
        <w:rPr>
          <w:rFonts w:hint="eastAsia" w:ascii="仿宋" w:hAnsi="仿宋"/>
          <w:color w:val="000000" w:themeColor="text1"/>
          <w:szCs w:val="28"/>
          <w14:textFill>
            <w14:solidFill>
              <w14:schemeClr w14:val="tx1"/>
            </w14:solidFill>
          </w14:textFill>
        </w:rPr>
        <w:t>镇村燃气供给率达到9</w:t>
      </w:r>
      <w:r>
        <w:rPr>
          <w:rFonts w:ascii="仿宋" w:hAnsi="仿宋"/>
          <w:color w:val="000000" w:themeColor="text1"/>
          <w:szCs w:val="28"/>
          <w14:textFill>
            <w14:solidFill>
              <w14:schemeClr w14:val="tx1"/>
            </w14:solidFill>
          </w14:textFill>
        </w:rPr>
        <w:t>0%</w:t>
      </w:r>
      <w:r>
        <w:rPr>
          <w:rFonts w:hint="eastAsia" w:ascii="仿宋" w:hAnsi="仿宋"/>
          <w:color w:val="000000" w:themeColor="text1"/>
          <w:szCs w:val="28"/>
          <w14:textFill>
            <w14:solidFill>
              <w14:schemeClr w14:val="tx1"/>
            </w14:solidFill>
          </w14:textFill>
        </w:rPr>
        <w:t>以上，供应水平较高，但部分区域存在供气管道建成时间较长等问题，配建水平亟需提升。</w:t>
      </w:r>
      <w:r>
        <w:t>各镇急弯陡坡百余处，警示标志和临崖、临水防护设施不完善，危险地段事故易发</w:t>
      </w:r>
      <w:r>
        <w:rPr>
          <w:rFonts w:hint="eastAsia"/>
        </w:rPr>
        <w:t>，</w:t>
      </w:r>
      <w:r>
        <w:t>道路交通事故防控形势仍然严峻。</w:t>
      </w:r>
      <w:r>
        <w:rPr>
          <w:rFonts w:hint="eastAsia" w:cs="Times New Roman"/>
          <w:color w:val="000000" w:themeColor="text1"/>
          <w:szCs w:val="32"/>
          <w14:textFill>
            <w14:solidFill>
              <w14:schemeClr w14:val="tx1"/>
            </w14:solidFill>
          </w14:textFill>
        </w:rPr>
        <w:t>非煤矿山</w:t>
      </w:r>
      <w:r>
        <w:rPr>
          <w:rFonts w:cs="Times New Roman"/>
          <w:color w:val="000000" w:themeColor="text1"/>
          <w:szCs w:val="32"/>
          <w14:textFill>
            <w14:solidFill>
              <w14:schemeClr w14:val="tx1"/>
            </w14:solidFill>
          </w14:textFill>
        </w:rPr>
        <w:t>采挖形成高陡边坡以及道路建设边坡开挖等，容易诱发地面塌陷、滑坡等地质灾害</w:t>
      </w:r>
      <w:r>
        <w:rPr>
          <w:rFonts w:cs="Times New Roman"/>
        </w:rPr>
        <w:t>。片区有多个现代农业产业园及养殖园，主要的安全生产风险有火灾、触电、机械伤害等。</w:t>
      </w:r>
      <w:r>
        <w:rPr>
          <w:rFonts w:hint="eastAsia" w:cs="Times New Roman"/>
        </w:rPr>
        <w:t>片区主要安全生产风险包括生产生活类交通事故，生产作业类机械伤害，石油、天然气和酒厂</w:t>
      </w:r>
      <w:r>
        <w:rPr>
          <w:rFonts w:cs="Times New Roman"/>
          <w:color w:val="000000" w:themeColor="text1"/>
          <w:szCs w:val="32"/>
          <w14:textFill>
            <w14:solidFill>
              <w14:schemeClr w14:val="tx1"/>
            </w14:solidFill>
          </w14:textFill>
        </w:rPr>
        <w:t>燃烧爆炸</w:t>
      </w:r>
      <w:r>
        <w:rPr>
          <w:rFonts w:hint="eastAsia" w:cs="Times New Roman"/>
          <w:color w:val="000000" w:themeColor="text1"/>
          <w:szCs w:val="32"/>
          <w14:textFill>
            <w14:solidFill>
              <w14:schemeClr w14:val="tx1"/>
            </w14:solidFill>
          </w14:textFill>
        </w:rPr>
        <w:t>，</w:t>
      </w:r>
      <w:r>
        <w:rPr>
          <w:rFonts w:hint="eastAsia" w:cs="Times New Roman"/>
        </w:rPr>
        <w:t>食品加工类中毒窒息等。同时，片区内消防安全、老旧房屋安全、暑期溺水事故也需要引起重视。</w:t>
      </w:r>
    </w:p>
    <w:p>
      <w:pPr>
        <w:ind w:firstLine="640"/>
        <w:rPr>
          <w:rFonts w:cs="Times New Roman"/>
        </w:rPr>
      </w:pPr>
      <w:r>
        <w:rPr>
          <w:rFonts w:cs="Times New Roman"/>
        </w:rPr>
        <w:t>虽片区安全生产总体可控，但片区内部分企业主体责任落实力度不够，未全面建立健全安全生产责任清单制管理，规章制度建立不完善，风险辨识不全面，安全培训教育质量不高，</w:t>
      </w:r>
      <w:r>
        <w:rPr>
          <w:rFonts w:hint="eastAsia" w:cs="Times New Roman"/>
        </w:rPr>
        <w:t>公众</w:t>
      </w:r>
      <w:r>
        <w:rPr>
          <w:rFonts w:cs="Times New Roman"/>
        </w:rPr>
        <w:t>安全意识淡薄，</w:t>
      </w:r>
      <w:r>
        <w:rPr>
          <w:rFonts w:hint="eastAsia" w:cs="Times New Roman"/>
        </w:rPr>
        <w:t>消防安全意识较弱，</w:t>
      </w:r>
      <w:r>
        <w:rPr>
          <w:rFonts w:cs="Times New Roman"/>
        </w:rPr>
        <w:t>执行操作规程不熟练，还存在隐患排查治理不到位现象。</w:t>
      </w:r>
    </w:p>
    <w:p>
      <w:pPr>
        <w:ind w:firstLine="643"/>
        <w:rPr>
          <w:rFonts w:cs="Times New Roman"/>
        </w:rPr>
      </w:pPr>
      <w:r>
        <w:rPr>
          <w:rFonts w:cs="Times New Roman"/>
          <w:b/>
        </w:rPr>
        <w:t>自然灾害方面。</w:t>
      </w:r>
      <w:r>
        <w:rPr>
          <w:rFonts w:cs="Times New Roman"/>
        </w:rPr>
        <w:t>片区</w:t>
      </w:r>
      <w:r>
        <w:rPr>
          <w:rFonts w:hint="eastAsia" w:cs="Times New Roman"/>
        </w:rPr>
        <w:t>主要自然灾害以</w:t>
      </w:r>
      <w:r>
        <w:rPr>
          <w:rFonts w:hint="eastAsia" w:cs="Times New Roman"/>
          <w:color w:val="000000" w:themeColor="text1"/>
          <w:szCs w:val="32"/>
          <w14:textFill>
            <w14:solidFill>
              <w14:schemeClr w14:val="tx1"/>
            </w14:solidFill>
          </w14:textFill>
        </w:rPr>
        <w:t>洪涝灾害及地质灾害</w:t>
      </w:r>
      <w:r>
        <w:rPr>
          <w:rFonts w:hint="eastAsia" w:cs="Times New Roman"/>
        </w:rPr>
        <w:t>为主，还会受到森林火灾、气象灾害的影响</w:t>
      </w:r>
      <w:r>
        <w:rPr>
          <w:rFonts w:cs="Times New Roman"/>
        </w:rPr>
        <w:t>。</w:t>
      </w:r>
    </w:p>
    <w:p>
      <w:pPr>
        <w:widowControl/>
        <w:ind w:firstLine="640"/>
        <w:rPr>
          <w:rFonts w:cs="Times New Roman"/>
        </w:rPr>
      </w:pPr>
      <w:r>
        <w:rPr>
          <w:rFonts w:cs="Times New Roman"/>
          <w:color w:val="000000" w:themeColor="text1"/>
          <w:szCs w:val="32"/>
          <w14:textFill>
            <w14:solidFill>
              <w14:schemeClr w14:val="tx1"/>
            </w14:solidFill>
          </w14:textFill>
        </w:rPr>
        <w:t>山洪灾害。片区</w:t>
      </w:r>
      <w:r>
        <w:rPr>
          <w:rFonts w:hint="eastAsia" w:cs="Times New Roman"/>
          <w:color w:val="000000" w:themeColor="text1"/>
          <w:szCs w:val="32"/>
          <w14:textFill>
            <w14:solidFill>
              <w14:schemeClr w14:val="tx1"/>
            </w14:solidFill>
          </w14:textFill>
        </w:rPr>
        <w:t>受洪涝灾害威胁人口较多，每年7~</w:t>
      </w:r>
      <w:r>
        <w:rPr>
          <w:rFonts w:cs="Times New Roman"/>
          <w:color w:val="000000" w:themeColor="text1"/>
          <w:szCs w:val="32"/>
          <w14:textFill>
            <w14:solidFill>
              <w14:schemeClr w14:val="tx1"/>
            </w14:solidFill>
          </w14:textFill>
        </w:rPr>
        <w:t>8</w:t>
      </w:r>
      <w:r>
        <w:rPr>
          <w:rFonts w:hint="eastAsia" w:cs="Times New Roman"/>
          <w:color w:val="000000" w:themeColor="text1"/>
          <w:szCs w:val="32"/>
          <w14:textFill>
            <w14:solidFill>
              <w14:schemeClr w14:val="tx1"/>
            </w14:solidFill>
          </w14:textFill>
        </w:rPr>
        <w:t>月为重点防汛期，</w:t>
      </w:r>
      <w:r>
        <w:rPr>
          <w:rFonts w:cs="Times New Roman"/>
          <w:color w:val="000000" w:themeColor="text1"/>
          <w:szCs w:val="32"/>
          <w14:textFill>
            <w14:solidFill>
              <w14:schemeClr w14:val="tx1"/>
            </w14:solidFill>
          </w14:textFill>
        </w:rPr>
        <w:t>受气象影响，在暴雨季节，容易</w:t>
      </w:r>
      <w:r>
        <w:rPr>
          <w:rFonts w:cs="Times New Roman"/>
          <w:bCs/>
        </w:rPr>
        <w:t>造成水位上涨，引发洪涝灾害。</w:t>
      </w:r>
      <w:r>
        <w:rPr>
          <w:rFonts w:hint="eastAsia" w:cs="Times New Roman"/>
          <w:bCs/>
        </w:rPr>
        <w:t>且</w:t>
      </w:r>
      <w:r>
        <w:rPr>
          <w:rFonts w:cs="Times New Roman"/>
          <w:szCs w:val="32"/>
        </w:rPr>
        <w:t>片区自动雨量站点和自动水位站点数量不足、设备老化，报警器等装备不足，灾害预警员专业水平较低，山洪灾害防范能力差。</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地质灾害。</w:t>
      </w:r>
      <w:r>
        <w:rPr>
          <w:rFonts w:hint="eastAsia" w:cs="Times New Roman"/>
          <w:color w:val="000000" w:themeColor="text1"/>
          <w:szCs w:val="32"/>
          <w14:textFill>
            <w14:solidFill>
              <w14:schemeClr w14:val="tx1"/>
            </w14:solidFill>
          </w14:textFill>
        </w:rPr>
        <w:t>片区</w:t>
      </w:r>
      <w:r>
        <w:rPr>
          <w:rFonts w:cs="Times New Roman"/>
          <w:color w:val="000000" w:themeColor="text1"/>
          <w:szCs w:val="32"/>
          <w14:textFill>
            <w14:solidFill>
              <w14:schemeClr w14:val="tx1"/>
            </w14:solidFill>
          </w14:textFill>
        </w:rPr>
        <w:t>地质灾害防治任务重，</w:t>
      </w:r>
      <w:r>
        <w:rPr>
          <w:rFonts w:hint="eastAsia" w:cs="Times New Roman"/>
          <w:color w:val="000000" w:themeColor="text1"/>
          <w:szCs w:val="32"/>
          <w14:textFill>
            <w14:solidFill>
              <w14:schemeClr w14:val="tx1"/>
            </w14:solidFill>
          </w14:textFill>
        </w:rPr>
        <w:t>受地灾威胁的人口及财产较多，</w:t>
      </w:r>
      <w:r>
        <w:rPr>
          <w:rFonts w:cs="Times New Roman"/>
          <w:color w:val="000000" w:themeColor="text1"/>
          <w:szCs w:val="32"/>
          <w14:textFill>
            <w14:solidFill>
              <w14:schemeClr w14:val="tx1"/>
            </w14:solidFill>
          </w14:textFill>
        </w:rPr>
        <w:t>现有监测设备在数量、性能的可靠性、耐久性等方面存在不足，监测预警准确率有待提升，人工巡查专业性不强。</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森林火灾。片区为</w:t>
      </w:r>
      <w:r>
        <w:rPr>
          <w:rFonts w:hint="eastAsia" w:cs="Times New Roman"/>
          <w:color w:val="000000" w:themeColor="text1"/>
          <w:szCs w:val="32"/>
          <w14:textFill>
            <w14:solidFill>
              <w14:schemeClr w14:val="tx1"/>
            </w14:solidFill>
          </w14:textFill>
        </w:rPr>
        <w:t>中高火险等级</w:t>
      </w:r>
      <w:r>
        <w:rPr>
          <w:rFonts w:cs="Times New Roman"/>
          <w:color w:val="000000" w:themeColor="text1"/>
          <w:szCs w:val="32"/>
          <w14:textFill>
            <w14:solidFill>
              <w14:schemeClr w14:val="tx1"/>
            </w14:solidFill>
          </w14:textFill>
        </w:rPr>
        <w:t>森林防火区，部分林区未规范开设生物隔离带，物理隔离带未定期进行可燃物清理、火灾隐患突出。</w:t>
      </w:r>
      <w:r>
        <w:rPr>
          <w:rFonts w:cs="Times New Roman"/>
          <w:szCs w:val="32"/>
        </w:rPr>
        <w:t>片区目前森林火险预警监控不完善，无人机火情监测等移动监测手段空白，视频监控、林火识别、自动报警等设施设备缺乏，森林火险预测预报及时性、准确性不够，森林防火巡护主要还靠人工瞭望的模式</w:t>
      </w:r>
      <w:r>
        <w:rPr>
          <w:rFonts w:cs="Times New Roman"/>
          <w:color w:val="000000" w:themeColor="text1"/>
          <w:szCs w:val="32"/>
          <w14:textFill>
            <w14:solidFill>
              <w14:schemeClr w14:val="tx1"/>
            </w14:solidFill>
          </w14:textFill>
        </w:rPr>
        <w:t>。</w:t>
      </w:r>
    </w:p>
    <w:p>
      <w:pPr>
        <w:ind w:firstLine="640"/>
        <w:rPr>
          <w:rFonts w:cs="Times New Roman"/>
        </w:rPr>
      </w:pPr>
      <w:r>
        <w:rPr>
          <w:rFonts w:cs="Times New Roman"/>
          <w:color w:val="000000" w:themeColor="text1"/>
          <w:szCs w:val="32"/>
          <w14:textFill>
            <w14:solidFill>
              <w14:schemeClr w14:val="tx1"/>
            </w14:solidFill>
          </w14:textFill>
        </w:rPr>
        <w:t>气象灾害。区内暴雨、大风、雷电等气象灾害多发，</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镇、村社气象防灾减灾服务体系不完善</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24小时内晴雨预报准确率、气温预报准确率、暴雨预警准确率、气象灾害风险预警准确率、气象应急联动部门衔接率、气象预警信息发布覆盖率有待提升，灾害性天气落区预警精细化程度有待提高。</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地震灾害。片区防震减灾基础能力不足，农村民居抗震设防能力低，地震公共服务基础薄弱，数字化、信息化程度不高，地震监测台站维护体系不健全，</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群测群防</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意识还需进一步提高。</w:t>
      </w:r>
    </w:p>
    <w:p>
      <w:pPr>
        <w:ind w:firstLine="643"/>
        <w:rPr>
          <w:rFonts w:cs="Times New Roman"/>
          <w:color w:val="000000" w:themeColor="text1"/>
          <w:szCs w:val="32"/>
          <w14:textFill>
            <w14:solidFill>
              <w14:schemeClr w14:val="tx1"/>
            </w14:solidFill>
          </w14:textFill>
        </w:rPr>
      </w:pPr>
      <w:r>
        <w:rPr>
          <w:rFonts w:cs="Times New Roman"/>
          <w:b/>
          <w:bCs/>
          <w:szCs w:val="32"/>
        </w:rPr>
        <w:t>应急能力</w:t>
      </w:r>
      <w:r>
        <w:rPr>
          <w:rFonts w:cs="Times New Roman"/>
          <w:b/>
          <w:bCs/>
        </w:rPr>
        <w:t>方面</w:t>
      </w:r>
      <w:r>
        <w:rPr>
          <w:rFonts w:cs="Times New Roman"/>
        </w:rPr>
        <w:t>。</w:t>
      </w:r>
      <w:r>
        <w:rPr>
          <w:rFonts w:cs="Times New Roman"/>
          <w:color w:val="000000" w:themeColor="text1"/>
          <w:szCs w:val="32"/>
          <w14:textFill>
            <w14:solidFill>
              <w14:schemeClr w14:val="tx1"/>
            </w14:solidFill>
          </w14:textFill>
        </w:rPr>
        <w:t>片区各镇</w:t>
      </w:r>
      <w:r>
        <w:rPr>
          <w:rFonts w:hint="eastAsia" w:cs="Times New Roman"/>
          <w:color w:val="000000" w:themeColor="text1"/>
          <w:szCs w:val="32"/>
          <w14:textFill>
            <w14:solidFill>
              <w14:schemeClr w14:val="tx1"/>
            </w14:solidFill>
          </w14:textFill>
        </w:rPr>
        <w:t>应急委员会</w:t>
      </w:r>
      <w:r>
        <w:rPr>
          <w:rFonts w:cs="Times New Roman"/>
          <w:color w:val="000000" w:themeColor="text1"/>
          <w:szCs w:val="32"/>
          <w14:textFill>
            <w14:solidFill>
              <w14:schemeClr w14:val="tx1"/>
            </w14:solidFill>
          </w14:textFill>
        </w:rPr>
        <w:t>和</w:t>
      </w:r>
      <w:r>
        <w:rPr>
          <w:rFonts w:hint="eastAsia" w:cs="Times New Roman"/>
          <w:color w:val="000000" w:themeColor="text1"/>
          <w:szCs w:val="32"/>
          <w14:textFill>
            <w14:solidFill>
              <w14:schemeClr w14:val="tx1"/>
            </w14:solidFill>
          </w14:textFill>
        </w:rPr>
        <w:t>综合治理</w:t>
      </w:r>
      <w:r>
        <w:rPr>
          <w:rFonts w:cs="Times New Roman"/>
          <w:color w:val="000000" w:themeColor="text1"/>
          <w:szCs w:val="32"/>
          <w14:textFill>
            <w14:solidFill>
              <w14:schemeClr w14:val="tx1"/>
            </w14:solidFill>
          </w14:textFill>
        </w:rPr>
        <w:t>领导小组工作职责还未全面理顺，应急管理体系还不健全，应急指挥能力稍显欠缺。应急办存在力量配置不足、专业素养不高、资金短缺等问题，预防和初期处置突发事件能力不足，应急统筹协调能力有待提升，尚未完全建立协同联动机制。</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应急队伍方面。片区</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一主两辅</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的应急救援能力还未健全，片区未设置</w:t>
      </w:r>
      <w:r>
        <w:rPr>
          <w:rFonts w:hint="eastAsia" w:cs="Times New Roman"/>
          <w:color w:val="000000" w:themeColor="text1"/>
          <w:szCs w:val="32"/>
          <w14:textFill>
            <w14:solidFill>
              <w14:schemeClr w14:val="tx1"/>
            </w14:solidFill>
          </w14:textFill>
        </w:rPr>
        <w:t>专职消防队伍</w:t>
      </w:r>
      <w:r>
        <w:rPr>
          <w:rFonts w:cs="Times New Roman"/>
          <w:color w:val="000000" w:themeColor="text1"/>
          <w:szCs w:val="32"/>
          <w14:textFill>
            <w14:solidFill>
              <w14:schemeClr w14:val="tx1"/>
            </w14:solidFill>
          </w14:textFill>
        </w:rPr>
        <w:t>，</w:t>
      </w:r>
      <w:r>
        <w:rPr>
          <w:rFonts w:hint="eastAsia" w:cs="Times New Roman"/>
          <w:color w:val="000000" w:themeColor="text1"/>
          <w:szCs w:val="32"/>
          <w14:textFill>
            <w14:solidFill>
              <w14:schemeClr w14:val="tx1"/>
            </w14:solidFill>
          </w14:textFill>
        </w:rPr>
        <w:t>以</w:t>
      </w:r>
      <w:r>
        <w:rPr>
          <w:rFonts w:cs="Times New Roman"/>
          <w:color w:val="000000" w:themeColor="text1"/>
          <w:szCs w:val="32"/>
          <w14:textFill>
            <w14:solidFill>
              <w14:schemeClr w14:val="tx1"/>
            </w14:solidFill>
          </w14:textFill>
        </w:rPr>
        <w:t>镇</w:t>
      </w:r>
      <w:r>
        <w:rPr>
          <w:rFonts w:hint="eastAsia" w:cs="Times New Roman"/>
          <w:color w:val="000000" w:themeColor="text1"/>
          <w:szCs w:val="32"/>
          <w14:textFill>
            <w14:solidFill>
              <w14:schemeClr w14:val="tx1"/>
            </w14:solidFill>
          </w14:textFill>
        </w:rPr>
        <w:t>综合应急队伍</w:t>
      </w:r>
      <w:r>
        <w:rPr>
          <w:rFonts w:cs="Times New Roman"/>
          <w:color w:val="000000" w:themeColor="text1"/>
          <w:szCs w:val="32"/>
          <w14:textFill>
            <w14:solidFill>
              <w14:schemeClr w14:val="tx1"/>
            </w14:solidFill>
          </w14:textFill>
        </w:rPr>
        <w:t>及村级应急</w:t>
      </w:r>
      <w:r>
        <w:rPr>
          <w:rFonts w:hint="eastAsia" w:cs="Times New Roman"/>
          <w:color w:val="000000" w:themeColor="text1"/>
          <w:szCs w:val="32"/>
          <w14:textFill>
            <w14:solidFill>
              <w14:schemeClr w14:val="tx1"/>
            </w14:solidFill>
          </w14:textFill>
        </w:rPr>
        <w:t>分</w:t>
      </w:r>
      <w:r>
        <w:rPr>
          <w:rFonts w:cs="Times New Roman"/>
          <w:color w:val="000000" w:themeColor="text1"/>
          <w:szCs w:val="32"/>
          <w14:textFill>
            <w14:solidFill>
              <w14:schemeClr w14:val="tx1"/>
            </w14:solidFill>
          </w14:textFill>
        </w:rPr>
        <w:t>队</w:t>
      </w:r>
      <w:r>
        <w:rPr>
          <w:rFonts w:hint="eastAsia" w:cs="Times New Roman"/>
          <w:color w:val="000000" w:themeColor="text1"/>
          <w:szCs w:val="32"/>
          <w14:textFill>
            <w14:solidFill>
              <w14:schemeClr w14:val="tx1"/>
            </w14:solidFill>
          </w14:textFill>
        </w:rPr>
        <w:t>为主，且队</w:t>
      </w:r>
      <w:r>
        <w:rPr>
          <w:rFonts w:cs="Times New Roman"/>
          <w:color w:val="000000" w:themeColor="text1"/>
          <w:szCs w:val="32"/>
          <w14:textFill>
            <w14:solidFill>
              <w14:schemeClr w14:val="tx1"/>
            </w14:solidFill>
          </w14:textFill>
        </w:rPr>
        <w:t>伍多为半专业兼职人员，专业能力</w:t>
      </w:r>
      <w:r>
        <w:rPr>
          <w:rFonts w:hint="eastAsia" w:cs="Times New Roman"/>
          <w:color w:val="000000" w:themeColor="text1"/>
          <w:szCs w:val="32"/>
          <w14:textFill>
            <w14:solidFill>
              <w14:schemeClr w14:val="tx1"/>
            </w14:solidFill>
          </w14:textFill>
        </w:rPr>
        <w:t>稍显</w:t>
      </w:r>
      <w:r>
        <w:rPr>
          <w:rFonts w:cs="Times New Roman"/>
          <w:color w:val="000000" w:themeColor="text1"/>
          <w:szCs w:val="32"/>
          <w14:textFill>
            <w14:solidFill>
              <w14:schemeClr w14:val="tx1"/>
            </w14:solidFill>
          </w14:textFill>
        </w:rPr>
        <w:t>不足，各应急队伍间还未形成协调联动机制。面对全灾种、全链条的应急救援要求，片区人员编制少、监管能力不足，各镇应急管理人员多为专兼职人员，专业人员缺乏，信息化水平低，应急处置能力亟待提升。片区应急装备不足，不能满足片区抗灾要求。</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应急预案方面。片区各镇</w:t>
      </w:r>
      <w:r>
        <w:rPr>
          <w:rFonts w:hint="eastAsia" w:cs="Times New Roman"/>
          <w:color w:val="000000" w:themeColor="text1"/>
          <w:szCs w:val="32"/>
          <w14:textFill>
            <w14:solidFill>
              <w14:schemeClr w14:val="tx1"/>
            </w14:solidFill>
          </w14:textFill>
        </w:rPr>
        <w:t>总体</w:t>
      </w:r>
      <w:r>
        <w:rPr>
          <w:rFonts w:cs="Times New Roman"/>
          <w:color w:val="000000" w:themeColor="text1"/>
          <w:szCs w:val="32"/>
          <w14:textFill>
            <w14:solidFill>
              <w14:schemeClr w14:val="tx1"/>
            </w14:solidFill>
          </w14:textFill>
        </w:rPr>
        <w:t>应急预案</w:t>
      </w:r>
      <w:r>
        <w:rPr>
          <w:rFonts w:hint="eastAsia" w:cs="Times New Roman"/>
          <w:color w:val="000000" w:themeColor="text1"/>
          <w:szCs w:val="32"/>
          <w14:textFill>
            <w14:solidFill>
              <w14:schemeClr w14:val="tx1"/>
            </w14:solidFill>
          </w14:textFill>
        </w:rPr>
        <w:t>及专项应急预案</w:t>
      </w:r>
      <w:r>
        <w:rPr>
          <w:rFonts w:cs="Times New Roman"/>
          <w:color w:val="000000" w:themeColor="text1"/>
          <w:szCs w:val="32"/>
          <w14:textFill>
            <w14:solidFill>
              <w14:schemeClr w14:val="tx1"/>
            </w14:solidFill>
          </w14:textFill>
        </w:rPr>
        <w:t>缺乏针对性、可操作性，片区各镇安全生产、消防、防汛、减灾救灾、防震救灾、森林防灭火等应急预案编制不够规范、内容尚需完善，未编制村综合性</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多案合一</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应急手册，</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镇、村社现有</w:t>
      </w:r>
      <w:r>
        <w:rPr>
          <w:rFonts w:hint="eastAsia" w:cs="Times New Roman"/>
          <w:color w:val="000000" w:themeColor="text1"/>
          <w:szCs w:val="32"/>
          <w14:textFill>
            <w14:solidFill>
              <w14:schemeClr w14:val="tx1"/>
            </w14:solidFill>
          </w14:textFill>
        </w:rPr>
        <w:t>现场处置方案</w:t>
      </w:r>
      <w:r>
        <w:rPr>
          <w:rFonts w:cs="Times New Roman"/>
          <w:color w:val="000000" w:themeColor="text1"/>
          <w:szCs w:val="32"/>
          <w14:textFill>
            <w14:solidFill>
              <w14:schemeClr w14:val="tx1"/>
            </w14:solidFill>
          </w14:textFill>
        </w:rPr>
        <w:t>衔接性较差。</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应急避难场所方面。片区</w:t>
      </w:r>
      <w:r>
        <w:rPr>
          <w:rFonts w:hint="eastAsia" w:cs="Times New Roman"/>
          <w:color w:val="000000" w:themeColor="text1"/>
          <w:szCs w:val="32"/>
          <w14:textFill>
            <w14:solidFill>
              <w14:schemeClr w14:val="tx1"/>
            </w14:solidFill>
          </w14:textFill>
        </w:rPr>
        <w:t>应急避难场所人均面积不足1m</w:t>
      </w:r>
      <w:r>
        <w:rPr>
          <w:rFonts w:cs="Times New Roman"/>
          <w:color w:val="000000" w:themeColor="text1"/>
          <w:szCs w:val="32"/>
          <w:vertAlign w:val="superscript"/>
          <w14:textFill>
            <w14:solidFill>
              <w14:schemeClr w14:val="tx1"/>
            </w14:solidFill>
          </w14:textFill>
        </w:rPr>
        <w:t>2</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紧急应急避难场所设置不规范，相应公共配套设施和物资配备不够完备。发生突发事件时，只有到广场、学校、村委会开阔地带进行临时避险，与有效应对重特大灾害事故的要求还有差距，功能还不健全。</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物资储备方面。片区现有应急物资库（点）规范性建设还不完善，配备的应急物资及装备仍不足，存放的应急物资种类及数量较少，各应急物资储备库、储备点的物资仅能满足受灾群众临时生活需求，储备库建设标准不高，物资种类不全，规范性管理有待提升。</w:t>
      </w:r>
    </w:p>
    <w:p>
      <w:pPr>
        <w:ind w:firstLine="643"/>
        <w:rPr>
          <w:rFonts w:cs="Times New Roman"/>
          <w:bCs/>
        </w:rPr>
      </w:pPr>
      <w:r>
        <w:rPr>
          <w:rFonts w:cs="Times New Roman"/>
          <w:b/>
          <w:bCs/>
          <w:color w:val="000000" w:themeColor="text1"/>
          <w:szCs w:val="32"/>
          <w14:textFill>
            <w14:solidFill>
              <w14:schemeClr w14:val="tx1"/>
            </w14:solidFill>
          </w14:textFill>
        </w:rPr>
        <w:t>共建共治共享方面。</w:t>
      </w:r>
      <w:r>
        <w:rPr>
          <w:rFonts w:cs="Times New Roman"/>
          <w:color w:val="000000" w:themeColor="text1"/>
          <w:szCs w:val="32"/>
          <w14:textFill>
            <w14:solidFill>
              <w14:schemeClr w14:val="tx1"/>
            </w14:solidFill>
          </w14:textFill>
        </w:rPr>
        <w:t>宣传覆盖面不足，公众参与应急救援的组织化、规范化程度较低，社会动员机制尚需完善。应急知识的宣传教育还不够深入，公众风险防范意识和自救互救能力仍需提高；</w:t>
      </w:r>
      <w:r>
        <w:rPr>
          <w:rFonts w:cs="Times New Roman"/>
          <w:bCs/>
        </w:rPr>
        <w:t>企业员工安全意识还有待提升，应对突发事件的基本知识和救援能力可继续加强。</w:t>
      </w:r>
    </w:p>
    <w:p>
      <w:pPr>
        <w:pStyle w:val="3"/>
        <w:rPr>
          <w:rFonts w:cs="Times New Roman"/>
          <w:bCs w:val="0"/>
        </w:rPr>
      </w:pPr>
      <w:bookmarkStart w:id="22" w:name="_Toc2312"/>
      <w:r>
        <w:rPr>
          <w:rFonts w:cs="Times New Roman"/>
          <w:bCs w:val="0"/>
        </w:rPr>
        <w:t>三、规划目标</w:t>
      </w:r>
      <w:bookmarkEnd w:id="22"/>
    </w:p>
    <w:bookmarkEnd w:id="21"/>
    <w:p>
      <w:pPr>
        <w:pStyle w:val="4"/>
        <w:rPr>
          <w:rFonts w:cs="Times New Roman"/>
          <w:bCs w:val="0"/>
        </w:rPr>
      </w:pPr>
      <w:bookmarkStart w:id="23" w:name="_Toc98773628"/>
      <w:bookmarkStart w:id="24" w:name="_Toc6985"/>
      <w:bookmarkStart w:id="25" w:name="_Toc15024"/>
      <w:bookmarkStart w:id="26" w:name="_Toc98773629"/>
      <w:r>
        <w:rPr>
          <w:rFonts w:cs="Times New Roman"/>
          <w:bCs w:val="0"/>
        </w:rPr>
        <w:t>（一）</w:t>
      </w:r>
      <w:bookmarkEnd w:id="23"/>
      <w:r>
        <w:rPr>
          <w:rFonts w:cs="Times New Roman"/>
          <w:bCs w:val="0"/>
        </w:rPr>
        <w:t>近期目标</w:t>
      </w:r>
      <w:bookmarkEnd w:id="24"/>
      <w:bookmarkEnd w:id="25"/>
    </w:p>
    <w:bookmarkEnd w:id="26"/>
    <w:p>
      <w:pPr>
        <w:ind w:firstLine="640"/>
        <w:rPr>
          <w:rFonts w:cs="Times New Roman"/>
          <w:color w:val="000000" w:themeColor="text1"/>
          <w:szCs w:val="32"/>
          <w14:textFill>
            <w14:solidFill>
              <w14:schemeClr w14:val="tx1"/>
            </w14:solidFill>
          </w14:textFill>
        </w:rPr>
      </w:pPr>
      <w:bookmarkStart w:id="27" w:name="_Toc91792983"/>
      <w:bookmarkStart w:id="28" w:name="_Toc91790490"/>
      <w:bookmarkStart w:id="29" w:name="_Toc98773631"/>
      <w:r>
        <w:rPr>
          <w:rFonts w:cs="Times New Roman"/>
          <w:color w:val="000000" w:themeColor="text1"/>
          <w:szCs w:val="32"/>
          <w14:textFill>
            <w14:solidFill>
              <w14:schemeClr w14:val="tx1"/>
            </w14:solidFill>
          </w14:textFill>
        </w:rPr>
        <w:t>到2025年，形成统一领导、权责一致、规范高效的乡镇级应急管理体系</w:t>
      </w:r>
      <w:r>
        <w:rPr>
          <w:rFonts w:hint="eastAsia" w:cs="Times New Roman"/>
          <w:color w:val="000000" w:themeColor="text1"/>
          <w:szCs w:val="32"/>
          <w14:textFill>
            <w14:solidFill>
              <w14:schemeClr w14:val="tx1"/>
            </w14:solidFill>
          </w14:textFill>
        </w:rPr>
        <w:t>，</w:t>
      </w:r>
      <w:r>
        <w:rPr>
          <w:rFonts w:hint="eastAsia"/>
        </w:rPr>
        <w:t>基本</w:t>
      </w:r>
      <w:r>
        <w:t>实现基层应急救援</w:t>
      </w:r>
      <w:r>
        <w:rPr>
          <w:rFonts w:hint="eastAsia"/>
        </w:rPr>
        <w:t>“</w:t>
      </w:r>
      <w:r>
        <w:t>五有</w:t>
      </w:r>
      <w:r>
        <w:rPr>
          <w:rFonts w:hint="eastAsia"/>
        </w:rPr>
        <w:t>”</w:t>
      </w:r>
      <w:r>
        <w:t>（有队伍、有阵地、 有机制、有物资、有预案）</w:t>
      </w:r>
      <w:r>
        <w:rPr>
          <w:rFonts w:hint="eastAsia"/>
        </w:rPr>
        <w:t>和“</w:t>
      </w:r>
      <w:r>
        <w:t>三能</w:t>
      </w:r>
      <w:r>
        <w:rPr>
          <w:rFonts w:hint="eastAsia"/>
        </w:rPr>
        <w:t>”</w:t>
      </w:r>
      <w:r>
        <w:t>（能高效推动基层应急、能有序 开展先期处置、能科学开展自救互救）</w:t>
      </w:r>
      <w:r>
        <w:rPr>
          <w:rFonts w:hint="eastAsia" w:cs="Times New Roman"/>
          <w:color w:val="000000" w:themeColor="text1"/>
          <w:szCs w:val="32"/>
          <w14:textFill>
            <w14:solidFill>
              <w14:schemeClr w14:val="tx1"/>
            </w14:solidFill>
          </w14:textFill>
        </w:rPr>
        <w:t>目标。</w:t>
      </w:r>
      <w:r>
        <w:rPr>
          <w:rFonts w:cs="Times New Roman"/>
          <w:color w:val="000000" w:themeColor="text1"/>
          <w:szCs w:val="32"/>
          <w14:textFill>
            <w14:solidFill>
              <w14:schemeClr w14:val="tx1"/>
            </w14:solidFill>
          </w14:textFill>
        </w:rPr>
        <w:t>应急管理的系统性、整体性、协同性显著增强，应急响应、指挥、处置能力和基层基础保障能力显著提升，安全风险得到有效管控，自然灾害防御能力进一步提高，应急管理能力现代化水平跃上新台阶。</w:t>
      </w:r>
    </w:p>
    <w:p>
      <w:pPr>
        <w:ind w:firstLine="643"/>
        <w:rPr>
          <w:rFonts w:cs="Times New Roman"/>
          <w:color w:val="000000" w:themeColor="text1"/>
          <w:szCs w:val="32"/>
          <w14:textFill>
            <w14:solidFill>
              <w14:schemeClr w14:val="tx1"/>
            </w14:solidFill>
          </w14:textFill>
        </w:rPr>
      </w:pPr>
      <w:r>
        <w:rPr>
          <w:rFonts w:cs="Times New Roman"/>
          <w:b/>
          <w:bCs/>
          <w:color w:val="000000" w:themeColor="text1"/>
          <w:szCs w:val="32"/>
          <w14:textFill>
            <w14:solidFill>
              <w14:schemeClr w14:val="tx1"/>
            </w14:solidFill>
          </w14:textFill>
        </w:rPr>
        <w:t>安全生产目标。</w:t>
      </w:r>
      <w:r>
        <w:rPr>
          <w:rFonts w:cs="Times New Roman"/>
          <w:color w:val="000000" w:themeColor="text1"/>
          <w:szCs w:val="32"/>
          <w14:textFill>
            <w14:solidFill>
              <w14:schemeClr w14:val="tx1"/>
            </w14:solidFill>
          </w14:textFill>
        </w:rPr>
        <w:t>安全生产风险防范化解机制更加健全，安全生产责任全面落实，风险分级管控与隐患排查治理机制持续健全，安全风险系统治理、依法治理、综合治理、源头治理能力明显增强。企业新增人员安全培训教育持续提高，全面提升作业人员技能素养。安全风险系统治理、依法治理、综合治理能力显著增强。</w:t>
      </w:r>
    </w:p>
    <w:p>
      <w:pPr>
        <w:ind w:firstLine="640"/>
        <w:jc w:val="center"/>
        <w:rPr>
          <w:rFonts w:cs="Times New Roman"/>
          <w:sz w:val="24"/>
          <w:szCs w:val="21"/>
        </w:rPr>
      </w:pPr>
      <w:r>
        <w:rPr>
          <w:rFonts w:cs="Times New Roman"/>
          <w:color w:val="000000" w:themeColor="text1"/>
          <w:szCs w:val="32"/>
          <w14:textFill>
            <w14:solidFill>
              <w14:schemeClr w14:val="tx1"/>
            </w14:solidFill>
          </w14:textFill>
        </w:rPr>
        <w:t>专栏1  安全生产主要指标</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4589"/>
        <w:gridCol w:w="2360"/>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10"/>
              <w:spacing w:after="0" w:line="550" w:lineRule="exact"/>
              <w:rPr>
                <w:lang w:bidi="ar"/>
              </w:rPr>
            </w:pPr>
            <w:r>
              <w:rPr>
                <w:lang w:bidi="ar"/>
              </w:rPr>
              <w:t>序号</w:t>
            </w:r>
          </w:p>
        </w:tc>
        <w:tc>
          <w:tcPr>
            <w:tcW w:w="2534" w:type="pct"/>
            <w:shd w:val="clear" w:color="auto" w:fill="auto"/>
            <w:vAlign w:val="center"/>
          </w:tcPr>
          <w:p>
            <w:pPr>
              <w:pStyle w:val="10"/>
              <w:spacing w:after="0" w:line="550" w:lineRule="exact"/>
              <w:rPr>
                <w:lang w:bidi="ar"/>
              </w:rPr>
            </w:pPr>
            <w:r>
              <w:rPr>
                <w:lang w:bidi="ar"/>
              </w:rPr>
              <w:t>指标名称</w:t>
            </w:r>
          </w:p>
        </w:tc>
        <w:tc>
          <w:tcPr>
            <w:tcW w:w="1303" w:type="pct"/>
            <w:vAlign w:val="center"/>
          </w:tcPr>
          <w:p>
            <w:pPr>
              <w:pStyle w:val="10"/>
              <w:spacing w:after="0" w:line="550" w:lineRule="exact"/>
              <w:rPr>
                <w:lang w:bidi="ar"/>
              </w:rPr>
            </w:pPr>
            <w:r>
              <w:rPr>
                <w:lang w:bidi="ar"/>
              </w:rPr>
              <w:t>2025年指标值</w:t>
            </w:r>
          </w:p>
        </w:tc>
        <w:tc>
          <w:tcPr>
            <w:tcW w:w="767" w:type="pct"/>
            <w:vAlign w:val="center"/>
          </w:tcPr>
          <w:p>
            <w:pPr>
              <w:pStyle w:val="10"/>
              <w:spacing w:after="0" w:line="550" w:lineRule="exact"/>
              <w:rPr>
                <w:lang w:bidi="ar"/>
              </w:rPr>
            </w:pPr>
            <w:r>
              <w:rPr>
                <w:lang w:bidi="ar"/>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10"/>
              <w:spacing w:after="0" w:line="550" w:lineRule="exact"/>
              <w:rPr>
                <w:lang w:bidi="ar"/>
              </w:rPr>
            </w:pPr>
            <w:r>
              <w:rPr>
                <w:lang w:bidi="ar"/>
              </w:rPr>
              <w:t>1</w:t>
            </w:r>
          </w:p>
        </w:tc>
        <w:tc>
          <w:tcPr>
            <w:tcW w:w="2534" w:type="pct"/>
            <w:shd w:val="clear" w:color="auto" w:fill="auto"/>
            <w:vAlign w:val="center"/>
          </w:tcPr>
          <w:p>
            <w:pPr>
              <w:pStyle w:val="10"/>
              <w:spacing w:after="0" w:line="550" w:lineRule="exact"/>
              <w:rPr>
                <w:color w:val="FFC000" w:themeColor="accent4"/>
                <w:lang w:bidi="ar"/>
                <w14:textFill>
                  <w14:solidFill>
                    <w14:schemeClr w14:val="accent4"/>
                  </w14:solidFill>
                </w14:textFill>
              </w:rPr>
            </w:pPr>
            <w:r>
              <w:rPr>
                <w:color w:val="000000" w:themeColor="text1"/>
                <w14:textFill>
                  <w14:solidFill>
                    <w14:schemeClr w14:val="tx1"/>
                  </w14:solidFill>
                </w14:textFill>
              </w:rPr>
              <w:t>生产安全事故死亡人数</w:t>
            </w:r>
          </w:p>
        </w:tc>
        <w:tc>
          <w:tcPr>
            <w:tcW w:w="1303" w:type="pct"/>
            <w:vAlign w:val="center"/>
          </w:tcPr>
          <w:p>
            <w:pPr>
              <w:pStyle w:val="10"/>
              <w:spacing w:after="0" w:line="550" w:lineRule="exact"/>
              <w:rPr>
                <w:color w:val="FFC000" w:themeColor="accent4"/>
                <w:lang w:bidi="ar"/>
                <w14:textFill>
                  <w14:solidFill>
                    <w14:schemeClr w14:val="accent4"/>
                  </w14:solidFill>
                </w14:textFill>
              </w:rPr>
            </w:pPr>
            <w:r>
              <w:rPr>
                <w:color w:val="000000" w:themeColor="text1"/>
                <w14:textFill>
                  <w14:solidFill>
                    <w14:schemeClr w14:val="tx1"/>
                  </w14:solidFill>
                </w14:textFill>
              </w:rPr>
              <w:t>0</w:t>
            </w:r>
          </w:p>
        </w:tc>
        <w:tc>
          <w:tcPr>
            <w:tcW w:w="767" w:type="pct"/>
            <w:vAlign w:val="center"/>
          </w:tcPr>
          <w:p>
            <w:pPr>
              <w:pStyle w:val="10"/>
              <w:spacing w:after="0" w:line="550" w:lineRule="exact"/>
              <w:rPr>
                <w:lang w:bidi="ar"/>
              </w:rPr>
            </w:pPr>
            <w:r>
              <w:rPr>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10"/>
              <w:spacing w:after="0" w:line="550" w:lineRule="exact"/>
              <w:rPr>
                <w:lang w:bidi="ar"/>
              </w:rPr>
            </w:pPr>
            <w:r>
              <w:rPr>
                <w:rFonts w:hint="eastAsia"/>
                <w:lang w:bidi="ar"/>
              </w:rPr>
              <w:t>2</w:t>
            </w:r>
          </w:p>
        </w:tc>
        <w:tc>
          <w:tcPr>
            <w:tcW w:w="2534" w:type="pct"/>
            <w:shd w:val="clear" w:color="auto" w:fill="auto"/>
            <w:vAlign w:val="center"/>
          </w:tcPr>
          <w:p>
            <w:pPr>
              <w:pStyle w:val="10"/>
              <w:spacing w:after="0" w:line="55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较大及以上生产安全事故起数</w:t>
            </w:r>
          </w:p>
        </w:tc>
        <w:tc>
          <w:tcPr>
            <w:tcW w:w="1303" w:type="pct"/>
            <w:vAlign w:val="center"/>
          </w:tcPr>
          <w:p>
            <w:pPr>
              <w:pStyle w:val="10"/>
              <w:spacing w:after="0" w:line="55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0起</w:t>
            </w:r>
          </w:p>
        </w:tc>
        <w:tc>
          <w:tcPr>
            <w:tcW w:w="767" w:type="pct"/>
            <w:vAlign w:val="center"/>
          </w:tcPr>
          <w:p>
            <w:pPr>
              <w:pStyle w:val="10"/>
              <w:spacing w:after="0" w:line="550" w:lineRule="exact"/>
              <w:rPr>
                <w:color w:val="000000" w:themeColor="text1"/>
                <w14:textFill>
                  <w14:solidFill>
                    <w14:schemeClr w14:val="tx1"/>
                  </w14:solidFill>
                </w14:textFill>
              </w:rPr>
            </w:pPr>
            <w:r>
              <w:rPr>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10"/>
              <w:spacing w:after="0" w:line="550" w:lineRule="exact"/>
              <w:rPr>
                <w:lang w:bidi="ar"/>
              </w:rPr>
            </w:pPr>
            <w:r>
              <w:rPr>
                <w:lang w:bidi="ar"/>
              </w:rPr>
              <w:t>3</w:t>
            </w:r>
          </w:p>
        </w:tc>
        <w:tc>
          <w:tcPr>
            <w:tcW w:w="2534" w:type="pct"/>
            <w:shd w:val="clear" w:color="auto" w:fill="auto"/>
            <w:vAlign w:val="center"/>
          </w:tcPr>
          <w:p>
            <w:pPr>
              <w:pStyle w:val="10"/>
              <w:spacing w:after="0" w:line="550" w:lineRule="exact"/>
              <w:rPr>
                <w:lang w:bidi="ar"/>
              </w:rPr>
            </w:pPr>
            <w:r>
              <w:rPr>
                <w:rFonts w:hint="eastAsia"/>
                <w:color w:val="000000" w:themeColor="text1"/>
                <w14:textFill>
                  <w14:solidFill>
                    <w14:schemeClr w14:val="tx1"/>
                  </w14:solidFill>
                </w14:textFill>
              </w:rPr>
              <w:t>安全生产重大</w:t>
            </w:r>
            <w:r>
              <w:rPr>
                <w:color w:val="000000" w:themeColor="text1"/>
                <w14:textFill>
                  <w14:solidFill>
                    <w14:schemeClr w14:val="tx1"/>
                  </w14:solidFill>
                </w14:textFill>
              </w:rPr>
              <w:t>隐患按期整改率</w:t>
            </w:r>
          </w:p>
        </w:tc>
        <w:tc>
          <w:tcPr>
            <w:tcW w:w="1303" w:type="pct"/>
            <w:vAlign w:val="center"/>
          </w:tcPr>
          <w:p>
            <w:pPr>
              <w:pStyle w:val="10"/>
              <w:spacing w:after="0" w:line="550" w:lineRule="exact"/>
              <w:rPr>
                <w:lang w:bidi="ar"/>
              </w:rPr>
            </w:pPr>
            <w:r>
              <w:rPr>
                <w:color w:val="000000" w:themeColor="text1"/>
                <w14:textFill>
                  <w14:solidFill>
                    <w14:schemeClr w14:val="tx1"/>
                  </w14:solidFill>
                </w14:textFill>
              </w:rPr>
              <w:t>100%</w:t>
            </w:r>
          </w:p>
        </w:tc>
        <w:tc>
          <w:tcPr>
            <w:tcW w:w="767" w:type="pct"/>
            <w:vAlign w:val="center"/>
          </w:tcPr>
          <w:p>
            <w:pPr>
              <w:pStyle w:val="10"/>
              <w:spacing w:after="0" w:line="550" w:lineRule="exact"/>
              <w:rPr>
                <w:lang w:bidi="ar"/>
              </w:rPr>
            </w:pPr>
            <w:r>
              <w:rPr>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10"/>
              <w:spacing w:after="0" w:line="550" w:lineRule="exact"/>
              <w:rPr>
                <w:lang w:bidi="ar"/>
              </w:rPr>
            </w:pPr>
            <w:r>
              <w:rPr>
                <w:lang w:bidi="ar"/>
              </w:rPr>
              <w:t>4</w:t>
            </w:r>
          </w:p>
        </w:tc>
        <w:tc>
          <w:tcPr>
            <w:tcW w:w="2534" w:type="pct"/>
            <w:shd w:val="clear" w:color="auto" w:fill="auto"/>
            <w:vAlign w:val="center"/>
          </w:tcPr>
          <w:p>
            <w:pPr>
              <w:pStyle w:val="10"/>
              <w:spacing w:line="550" w:lineRule="exact"/>
              <w:rPr>
                <w:highlight w:val="yellow"/>
                <w:lang w:bidi="ar"/>
              </w:rPr>
            </w:pPr>
            <w:r>
              <w:t>企业新增人员安全培训率</w:t>
            </w:r>
          </w:p>
        </w:tc>
        <w:tc>
          <w:tcPr>
            <w:tcW w:w="1303" w:type="pct"/>
            <w:vAlign w:val="center"/>
          </w:tcPr>
          <w:p>
            <w:pPr>
              <w:pStyle w:val="10"/>
              <w:spacing w:line="550" w:lineRule="exact"/>
              <w:rPr>
                <w:highlight w:val="yellow"/>
                <w:lang w:bidi="ar"/>
              </w:rPr>
            </w:pPr>
            <w:r>
              <w:t>100%</w:t>
            </w:r>
          </w:p>
        </w:tc>
        <w:tc>
          <w:tcPr>
            <w:tcW w:w="767" w:type="pct"/>
            <w:vAlign w:val="center"/>
          </w:tcPr>
          <w:p>
            <w:pPr>
              <w:pStyle w:val="10"/>
              <w:spacing w:line="550" w:lineRule="exact"/>
              <w:rPr>
                <w:highlight w:val="yellow"/>
                <w:lang w:bidi="ar"/>
              </w:rPr>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10"/>
              <w:spacing w:after="0" w:line="550" w:lineRule="exact"/>
              <w:rPr>
                <w:lang w:bidi="ar"/>
              </w:rPr>
            </w:pPr>
            <w:r>
              <w:rPr>
                <w:rFonts w:hint="eastAsia"/>
                <w:lang w:bidi="ar"/>
              </w:rPr>
              <w:t>5</w:t>
            </w:r>
          </w:p>
        </w:tc>
        <w:tc>
          <w:tcPr>
            <w:tcW w:w="2534" w:type="pct"/>
            <w:shd w:val="clear" w:color="auto" w:fill="auto"/>
            <w:vAlign w:val="center"/>
          </w:tcPr>
          <w:p>
            <w:pPr>
              <w:pStyle w:val="10"/>
            </w:pPr>
            <w:r>
              <w:rPr>
                <w:rFonts w:hint="eastAsia"/>
              </w:rPr>
              <w:t>酒店、民宿等消防设施设备配备率</w:t>
            </w:r>
          </w:p>
        </w:tc>
        <w:tc>
          <w:tcPr>
            <w:tcW w:w="1303" w:type="pct"/>
            <w:vAlign w:val="center"/>
          </w:tcPr>
          <w:p>
            <w:pPr>
              <w:pStyle w:val="10"/>
              <w:spacing w:line="550" w:lineRule="exact"/>
            </w:pPr>
            <w:r>
              <w:t>100%</w:t>
            </w:r>
          </w:p>
        </w:tc>
        <w:tc>
          <w:tcPr>
            <w:tcW w:w="767" w:type="pct"/>
            <w:vAlign w:val="center"/>
          </w:tcPr>
          <w:p>
            <w:pPr>
              <w:pStyle w:val="10"/>
              <w:spacing w:line="550" w:lineRule="exact"/>
            </w:pPr>
            <w:r>
              <w:rPr>
                <w:color w:val="000000" w:themeColor="text1"/>
                <w14:textFill>
                  <w14:solidFill>
                    <w14:schemeClr w14:val="tx1"/>
                  </w14:solidFill>
                </w14:textFill>
              </w:rPr>
              <w:t>约束性</w:t>
            </w:r>
          </w:p>
        </w:tc>
      </w:tr>
    </w:tbl>
    <w:p>
      <w:pPr>
        <w:ind w:firstLine="643"/>
        <w:rPr>
          <w:rFonts w:cs="Times New Roman"/>
          <w:color w:val="000000" w:themeColor="text1"/>
          <w:szCs w:val="32"/>
          <w14:textFill>
            <w14:solidFill>
              <w14:schemeClr w14:val="tx1"/>
            </w14:solidFill>
          </w14:textFill>
        </w:rPr>
      </w:pPr>
      <w:r>
        <w:rPr>
          <w:rFonts w:cs="Times New Roman"/>
          <w:b/>
        </w:rPr>
        <w:t>防灾减灾目标。</w:t>
      </w:r>
      <w:r>
        <w:rPr>
          <w:rFonts w:cs="Times New Roman"/>
          <w:bCs/>
        </w:rPr>
        <w:t>防灾减灾救灾体制机制进一步健全，建成与片区发展相适应的自然灾害预警、救助体系</w:t>
      </w:r>
      <w:r>
        <w:rPr>
          <w:rFonts w:cs="Times New Roman"/>
          <w:bCs/>
          <w:szCs w:val="32"/>
        </w:rPr>
        <w:t>。</w:t>
      </w:r>
      <w:r>
        <w:rPr>
          <w:rFonts w:cs="Times New Roman"/>
          <w:bCs/>
        </w:rPr>
        <w:t>根据片区发展同步推进消防救援站、应急避难场所、应急物资储备库建设，科学配备</w:t>
      </w:r>
      <w:r>
        <w:rPr>
          <w:rFonts w:cs="Times New Roman"/>
          <w:szCs w:val="32"/>
        </w:rPr>
        <w:t>应急物资和装备。</w:t>
      </w:r>
    </w:p>
    <w:p>
      <w:pPr>
        <w:ind w:firstLine="640"/>
        <w:jc w:val="center"/>
        <w:rPr>
          <w:rFonts w:cs="Times New Roman"/>
          <w:sz w:val="24"/>
          <w:szCs w:val="21"/>
        </w:rPr>
      </w:pPr>
      <w:r>
        <w:rPr>
          <w:rFonts w:cs="Times New Roman"/>
          <w:color w:val="000000" w:themeColor="text1"/>
          <w:szCs w:val="32"/>
          <w14:textFill>
            <w14:solidFill>
              <w14:schemeClr w14:val="tx1"/>
            </w14:solidFill>
          </w14:textFill>
        </w:rPr>
        <w:t>专栏2  防灾减灾主要指标</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5089"/>
        <w:gridCol w:w="2036"/>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10"/>
              <w:spacing w:after="0" w:line="550" w:lineRule="exact"/>
              <w:rPr>
                <w:lang w:bidi="ar"/>
              </w:rPr>
            </w:pPr>
            <w:r>
              <w:rPr>
                <w:lang w:bidi="ar"/>
              </w:rPr>
              <w:t>序号</w:t>
            </w:r>
          </w:p>
        </w:tc>
        <w:tc>
          <w:tcPr>
            <w:tcW w:w="2810" w:type="pct"/>
            <w:shd w:val="clear" w:color="auto" w:fill="auto"/>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指标名称</w:t>
            </w:r>
          </w:p>
        </w:tc>
        <w:tc>
          <w:tcPr>
            <w:tcW w:w="1124" w:type="pct"/>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预期值</w:t>
            </w:r>
          </w:p>
        </w:tc>
        <w:tc>
          <w:tcPr>
            <w:tcW w:w="668" w:type="pct"/>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10"/>
              <w:spacing w:after="0" w:line="550" w:lineRule="exact"/>
              <w:rPr>
                <w:lang w:bidi="ar"/>
              </w:rPr>
            </w:pPr>
            <w:r>
              <w:rPr>
                <w:lang w:bidi="ar"/>
              </w:rPr>
              <w:t>1</w:t>
            </w:r>
          </w:p>
        </w:tc>
        <w:tc>
          <w:tcPr>
            <w:tcW w:w="2810" w:type="pct"/>
            <w:shd w:val="clear" w:color="auto" w:fill="auto"/>
            <w:vAlign w:val="center"/>
          </w:tcPr>
          <w:p>
            <w:pPr>
              <w:pStyle w:val="10"/>
              <w:spacing w:after="0" w:line="550" w:lineRule="exact"/>
              <w:rPr>
                <w:color w:val="000000" w:themeColor="text1"/>
                <w:lang w:bidi="ar"/>
                <w14:textFill>
                  <w14:solidFill>
                    <w14:schemeClr w14:val="tx1"/>
                  </w14:solidFill>
                </w14:textFill>
              </w:rPr>
            </w:pPr>
            <w:r>
              <w:rPr>
                <w:rFonts w:hint="eastAsia"/>
                <w:color w:val="000000" w:themeColor="text1"/>
                <w:kern w:val="0"/>
                <w:szCs w:val="24"/>
                <w14:textFill>
                  <w14:solidFill>
                    <w14:schemeClr w14:val="tx1"/>
                  </w14:solidFill>
                </w14:textFill>
              </w:rPr>
              <w:t>自然灾害隐患点监测监控率</w:t>
            </w:r>
          </w:p>
        </w:tc>
        <w:tc>
          <w:tcPr>
            <w:tcW w:w="1124" w:type="pct"/>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≥80%</w:t>
            </w:r>
          </w:p>
        </w:tc>
        <w:tc>
          <w:tcPr>
            <w:tcW w:w="668" w:type="pct"/>
            <w:vAlign w:val="center"/>
          </w:tcPr>
          <w:p>
            <w:pPr>
              <w:pStyle w:val="10"/>
              <w:spacing w:after="0" w:line="550" w:lineRule="exact"/>
              <w:rPr>
                <w:color w:val="000000" w:themeColor="text1"/>
                <w:lang w:bidi="ar"/>
                <w14:textFill>
                  <w14:solidFill>
                    <w14:schemeClr w14:val="tx1"/>
                  </w14:solidFill>
                </w14:textFill>
              </w:rPr>
            </w:pPr>
            <w:r>
              <w:rPr>
                <w:color w:val="000000" w:themeColor="text1"/>
                <w:kern w:val="0"/>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10"/>
              <w:spacing w:after="0" w:line="550" w:lineRule="exact"/>
              <w:rPr>
                <w:lang w:bidi="ar"/>
              </w:rPr>
            </w:pPr>
            <w:r>
              <w:rPr>
                <w:lang w:bidi="ar"/>
              </w:rPr>
              <w:t>2</w:t>
            </w:r>
          </w:p>
        </w:tc>
        <w:tc>
          <w:tcPr>
            <w:tcW w:w="2810" w:type="pct"/>
            <w:shd w:val="clear" w:color="auto" w:fill="auto"/>
            <w:vAlign w:val="center"/>
          </w:tcPr>
          <w:p>
            <w:pPr>
              <w:pStyle w:val="10"/>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灾害信息发布公众覆盖率</w:t>
            </w:r>
          </w:p>
        </w:tc>
        <w:tc>
          <w:tcPr>
            <w:tcW w:w="1124" w:type="pct"/>
            <w:vAlign w:val="center"/>
          </w:tcPr>
          <w:p>
            <w:pPr>
              <w:pStyle w:val="10"/>
              <w:spacing w:line="550" w:lineRule="exact"/>
              <w:rPr>
                <w:color w:val="000000" w:themeColor="text1"/>
                <w:vertAlign w:val="superscript"/>
                <w14:textFill>
                  <w14:solidFill>
                    <w14:schemeClr w14:val="tx1"/>
                  </w14:solidFill>
                </w14:textFill>
              </w:rPr>
            </w:pPr>
            <w:r>
              <w:rPr>
                <w:color w:val="000000" w:themeColor="text1"/>
                <w:lang w:bidi="ar"/>
                <w14:textFill>
                  <w14:solidFill>
                    <w14:schemeClr w14:val="tx1"/>
                  </w14:solidFill>
                </w14:textFill>
              </w:rPr>
              <w:t>＞90%</w:t>
            </w:r>
          </w:p>
        </w:tc>
        <w:tc>
          <w:tcPr>
            <w:tcW w:w="668" w:type="pct"/>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10"/>
              <w:spacing w:after="0" w:line="550" w:lineRule="exact"/>
              <w:rPr>
                <w:lang w:bidi="ar"/>
              </w:rPr>
            </w:pPr>
            <w:r>
              <w:rPr>
                <w:lang w:bidi="ar"/>
              </w:rPr>
              <w:t>3</w:t>
            </w:r>
          </w:p>
        </w:tc>
        <w:tc>
          <w:tcPr>
            <w:tcW w:w="2810" w:type="pct"/>
            <w:shd w:val="clear" w:color="auto" w:fill="auto"/>
            <w:vAlign w:val="center"/>
          </w:tcPr>
          <w:p>
            <w:pPr>
              <w:pStyle w:val="10"/>
              <w:spacing w:line="550" w:lineRule="exact"/>
              <w:rPr>
                <w:color w:val="000000" w:themeColor="text1"/>
                <w:lang w:bidi="ar"/>
                <w14:textFill>
                  <w14:solidFill>
                    <w14:schemeClr w14:val="tx1"/>
                  </w14:solidFill>
                </w14:textFill>
              </w:rPr>
            </w:pPr>
            <w:r>
              <w:t>镇级应急物资库</w:t>
            </w:r>
            <w:r>
              <w:rPr>
                <w:rFonts w:hint="eastAsia"/>
              </w:rPr>
              <w:t>救援机械化装备配备</w:t>
            </w:r>
            <w:r>
              <w:t>率</w:t>
            </w:r>
          </w:p>
        </w:tc>
        <w:tc>
          <w:tcPr>
            <w:tcW w:w="1124" w:type="pct"/>
            <w:vAlign w:val="center"/>
          </w:tcPr>
          <w:p>
            <w:pPr>
              <w:pStyle w:val="10"/>
              <w:spacing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100%</w:t>
            </w:r>
          </w:p>
        </w:tc>
        <w:tc>
          <w:tcPr>
            <w:tcW w:w="668" w:type="pct"/>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10"/>
              <w:spacing w:after="0" w:line="550" w:lineRule="exact"/>
              <w:rPr>
                <w:lang w:bidi="ar"/>
              </w:rPr>
            </w:pPr>
            <w:r>
              <w:rPr>
                <w:lang w:bidi="ar"/>
              </w:rPr>
              <w:t>4</w:t>
            </w:r>
          </w:p>
        </w:tc>
        <w:tc>
          <w:tcPr>
            <w:tcW w:w="2810" w:type="pct"/>
            <w:shd w:val="clear" w:color="auto" w:fill="auto"/>
            <w:vAlign w:val="center"/>
          </w:tcPr>
          <w:p>
            <w:pPr>
              <w:pStyle w:val="10"/>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中心村应急物资储备点物资配备率</w:t>
            </w:r>
          </w:p>
        </w:tc>
        <w:tc>
          <w:tcPr>
            <w:tcW w:w="1124" w:type="pct"/>
            <w:vAlign w:val="center"/>
          </w:tcPr>
          <w:p>
            <w:pPr>
              <w:pStyle w:val="10"/>
              <w:spacing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100%</w:t>
            </w:r>
          </w:p>
        </w:tc>
        <w:tc>
          <w:tcPr>
            <w:tcW w:w="668" w:type="pct"/>
            <w:vAlign w:val="center"/>
          </w:tcPr>
          <w:p>
            <w:pPr>
              <w:pStyle w:val="10"/>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10"/>
              <w:spacing w:after="0" w:line="550" w:lineRule="exact"/>
              <w:rPr>
                <w:lang w:bidi="ar"/>
              </w:rPr>
            </w:pPr>
            <w:r>
              <w:rPr>
                <w:lang w:bidi="ar"/>
              </w:rPr>
              <w:t>5</w:t>
            </w:r>
          </w:p>
        </w:tc>
        <w:tc>
          <w:tcPr>
            <w:tcW w:w="2810" w:type="pct"/>
            <w:shd w:val="clear" w:color="auto" w:fill="auto"/>
            <w:vAlign w:val="center"/>
          </w:tcPr>
          <w:p>
            <w:pPr>
              <w:pStyle w:val="10"/>
              <w:spacing w:after="0" w:line="550" w:lineRule="exact"/>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片区常住人口</w:t>
            </w:r>
            <w:r>
              <w:rPr>
                <w:color w:val="000000" w:themeColor="text1"/>
                <w:lang w:bidi="ar"/>
                <w14:textFill>
                  <w14:solidFill>
                    <w14:schemeClr w14:val="tx1"/>
                  </w14:solidFill>
                </w14:textFill>
              </w:rPr>
              <w:t>应急避难场所人均避难面积</w:t>
            </w:r>
          </w:p>
        </w:tc>
        <w:tc>
          <w:tcPr>
            <w:tcW w:w="1124" w:type="pct"/>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≥1.5m</w:t>
            </w:r>
            <w:r>
              <w:rPr>
                <w:color w:val="000000" w:themeColor="text1"/>
                <w:vertAlign w:val="superscript"/>
                <w:lang w:bidi="ar"/>
                <w14:textFill>
                  <w14:solidFill>
                    <w14:schemeClr w14:val="tx1"/>
                  </w14:solidFill>
                </w14:textFill>
              </w:rPr>
              <w:t>2</w:t>
            </w:r>
          </w:p>
        </w:tc>
        <w:tc>
          <w:tcPr>
            <w:tcW w:w="668" w:type="pct"/>
            <w:vAlign w:val="center"/>
          </w:tcPr>
          <w:p>
            <w:pPr>
              <w:pStyle w:val="10"/>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10"/>
              <w:spacing w:after="0" w:line="550" w:lineRule="exact"/>
              <w:rPr>
                <w:lang w:bidi="ar"/>
              </w:rPr>
            </w:pPr>
            <w:r>
              <w:rPr>
                <w:lang w:bidi="ar"/>
              </w:rPr>
              <w:t>6</w:t>
            </w:r>
          </w:p>
        </w:tc>
        <w:tc>
          <w:tcPr>
            <w:tcW w:w="2810" w:type="pct"/>
            <w:shd w:val="clear" w:color="auto" w:fill="auto"/>
            <w:vAlign w:val="center"/>
          </w:tcPr>
          <w:p>
            <w:pPr>
              <w:pStyle w:val="10"/>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受灾群众基本生活得到有效救助</w:t>
            </w:r>
          </w:p>
        </w:tc>
        <w:tc>
          <w:tcPr>
            <w:tcW w:w="1124" w:type="pct"/>
            <w:vAlign w:val="center"/>
          </w:tcPr>
          <w:p>
            <w:pPr>
              <w:pStyle w:val="10"/>
              <w:spacing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4小时之内</w:t>
            </w:r>
          </w:p>
        </w:tc>
        <w:tc>
          <w:tcPr>
            <w:tcW w:w="668" w:type="pct"/>
            <w:vAlign w:val="center"/>
          </w:tcPr>
          <w:p>
            <w:pPr>
              <w:pStyle w:val="10"/>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预期性</w:t>
            </w:r>
          </w:p>
        </w:tc>
      </w:tr>
    </w:tbl>
    <w:p>
      <w:pPr>
        <w:widowControl/>
        <w:shd w:val="clear" w:color="auto" w:fill="FFFFFF"/>
        <w:ind w:firstLine="643"/>
        <w:rPr>
          <w:rFonts w:cs="Times New Roman"/>
        </w:rPr>
      </w:pPr>
      <w:r>
        <w:rPr>
          <w:rFonts w:cs="Times New Roman"/>
          <w:b/>
        </w:rPr>
        <w:t>应急能力目标。</w:t>
      </w:r>
      <w:r>
        <w:rPr>
          <w:rFonts w:cs="Times New Roman"/>
        </w:rPr>
        <w:t>各镇完善应急管理机构，建设应急指挥分中心，全面建成配置科学、体系完备、指挥顺畅的救援力量体系。完善片区</w:t>
      </w:r>
      <w:r>
        <w:rPr>
          <w:rFonts w:hint="eastAsia" w:cs="Times New Roman"/>
        </w:rPr>
        <w:t>“</w:t>
      </w:r>
      <w:r>
        <w:rPr>
          <w:rFonts w:cs="Times New Roman"/>
        </w:rPr>
        <w:t>一主两辅</w:t>
      </w:r>
      <w:r>
        <w:rPr>
          <w:rFonts w:hint="eastAsia" w:cs="Times New Roman"/>
        </w:rPr>
        <w:t>”</w:t>
      </w:r>
      <w:r>
        <w:rPr>
          <w:rFonts w:cs="Times New Roman"/>
        </w:rPr>
        <w:t>基层应急救援力量体系建设，加强实战化常态化演练</w:t>
      </w:r>
      <w:r>
        <w:rPr>
          <w:rFonts w:hint="eastAsia" w:cs="Times New Roman"/>
        </w:rPr>
        <w:t>，</w:t>
      </w:r>
      <w:r>
        <w:t>应急预案</w:t>
      </w:r>
      <w:r>
        <w:rPr>
          <w:rFonts w:hint="eastAsia"/>
        </w:rPr>
        <w:t>编制与应急演练</w:t>
      </w:r>
      <w:r>
        <w:t>保障能力得到全面提高</w:t>
      </w:r>
      <w:r>
        <w:rPr>
          <w:rFonts w:cs="Times New Roman"/>
        </w:rPr>
        <w:t>。</w:t>
      </w:r>
      <w:r>
        <w:t>社会公众应急意识和自救互救能力显著增强，社会协同处置能力进一步提升。积极争创安全发展示范社区和防震减灾科普示范学校。</w:t>
      </w:r>
      <w:r>
        <w:rPr>
          <w:rFonts w:cs="Times New Roman"/>
        </w:rPr>
        <w:t>强化公众应急管理宣传教育，全面提升片区应急能力</w:t>
      </w:r>
      <w:r>
        <w:rPr>
          <w:rFonts w:hint="eastAsia"/>
        </w:rPr>
        <w:t>。</w:t>
      </w:r>
    </w:p>
    <w:p>
      <w:pPr>
        <w:ind w:firstLine="640"/>
        <w:jc w:val="center"/>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专栏3  应急能力主要指标</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5471"/>
        <w:gridCol w:w="1655"/>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bookmarkStart w:id="30" w:name="_Toc22091"/>
            <w:r>
              <w:rPr>
                <w:lang w:bidi="ar"/>
              </w:rPr>
              <w:t>序号</w:t>
            </w:r>
          </w:p>
        </w:tc>
        <w:tc>
          <w:tcPr>
            <w:tcW w:w="3021" w:type="pct"/>
            <w:shd w:val="clear" w:color="auto" w:fill="auto"/>
            <w:vAlign w:val="center"/>
          </w:tcPr>
          <w:p>
            <w:pPr>
              <w:pStyle w:val="10"/>
              <w:spacing w:after="0" w:line="550" w:lineRule="exact"/>
              <w:rPr>
                <w:lang w:bidi="ar"/>
              </w:rPr>
            </w:pPr>
            <w:r>
              <w:rPr>
                <w:lang w:bidi="ar"/>
              </w:rPr>
              <w:t>指标名称</w:t>
            </w:r>
          </w:p>
        </w:tc>
        <w:tc>
          <w:tcPr>
            <w:tcW w:w="914" w:type="pct"/>
            <w:vAlign w:val="center"/>
          </w:tcPr>
          <w:p>
            <w:pPr>
              <w:pStyle w:val="10"/>
              <w:spacing w:after="0" w:line="550" w:lineRule="exact"/>
              <w:rPr>
                <w:lang w:bidi="ar"/>
              </w:rPr>
            </w:pPr>
            <w:r>
              <w:rPr>
                <w:lang w:bidi="ar"/>
              </w:rPr>
              <w:t>预期值</w:t>
            </w:r>
          </w:p>
        </w:tc>
        <w:tc>
          <w:tcPr>
            <w:tcW w:w="669" w:type="pct"/>
            <w:vAlign w:val="center"/>
          </w:tcPr>
          <w:p>
            <w:pPr>
              <w:pStyle w:val="10"/>
              <w:spacing w:after="0" w:line="550" w:lineRule="exact"/>
              <w:rPr>
                <w:lang w:bidi="ar"/>
              </w:rPr>
            </w:pPr>
            <w:r>
              <w:rPr>
                <w:lang w:bidi="ar"/>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r>
              <w:rPr>
                <w:lang w:bidi="ar"/>
              </w:rPr>
              <w:t>1</w:t>
            </w:r>
          </w:p>
        </w:tc>
        <w:tc>
          <w:tcPr>
            <w:tcW w:w="3021" w:type="pct"/>
            <w:shd w:val="clear" w:color="auto" w:fill="auto"/>
            <w:vAlign w:val="center"/>
          </w:tcPr>
          <w:p>
            <w:pPr>
              <w:pStyle w:val="10"/>
              <w:spacing w:line="550" w:lineRule="exact"/>
              <w:rPr>
                <w:lang w:bidi="ar"/>
              </w:rPr>
            </w:pPr>
            <w:r>
              <w:rPr>
                <w:rFonts w:hint="eastAsia"/>
                <w:lang w:bidi="ar"/>
              </w:rPr>
              <w:t>各镇</w:t>
            </w:r>
            <w:r>
              <w:rPr>
                <w:lang w:bidi="ar"/>
              </w:rPr>
              <w:t>应急管理专职工作人员</w:t>
            </w:r>
          </w:p>
        </w:tc>
        <w:tc>
          <w:tcPr>
            <w:tcW w:w="914" w:type="pct"/>
            <w:vAlign w:val="center"/>
          </w:tcPr>
          <w:p>
            <w:pPr>
              <w:pStyle w:val="10"/>
              <w:spacing w:line="550" w:lineRule="exact"/>
              <w:rPr>
                <w:lang w:bidi="ar"/>
              </w:rPr>
            </w:pPr>
            <w:r>
              <w:rPr>
                <w:lang w:bidi="ar"/>
              </w:rPr>
              <w:t>≥3名</w:t>
            </w:r>
          </w:p>
        </w:tc>
        <w:tc>
          <w:tcPr>
            <w:tcW w:w="669" w:type="pct"/>
            <w:vAlign w:val="center"/>
          </w:tcPr>
          <w:p>
            <w:pPr>
              <w:pStyle w:val="10"/>
              <w:spacing w:line="550" w:lineRule="exact"/>
              <w:rPr>
                <w:lang w:bidi="ar"/>
              </w:rPr>
            </w:pPr>
            <w:r>
              <w:rPr>
                <w:rFonts w:hint="eastAsia"/>
                <w:lang w:bidi="ar"/>
              </w:rPr>
              <w:t>约束</w:t>
            </w:r>
            <w:r>
              <w:rPr>
                <w:lang w:bidi="ar"/>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r>
              <w:rPr>
                <w:lang w:bidi="ar"/>
              </w:rPr>
              <w:t>2</w:t>
            </w:r>
          </w:p>
        </w:tc>
        <w:tc>
          <w:tcPr>
            <w:tcW w:w="3021" w:type="pct"/>
            <w:shd w:val="clear" w:color="auto" w:fill="auto"/>
            <w:vAlign w:val="center"/>
          </w:tcPr>
          <w:p>
            <w:pPr>
              <w:pStyle w:val="10"/>
              <w:spacing w:after="0" w:line="550" w:lineRule="exact"/>
              <w:rPr>
                <w:lang w:bidi="ar"/>
              </w:rPr>
            </w:pPr>
            <w:r>
              <w:t>应急管理机构专业人员占比</w:t>
            </w:r>
          </w:p>
        </w:tc>
        <w:tc>
          <w:tcPr>
            <w:tcW w:w="914" w:type="pct"/>
            <w:vAlign w:val="center"/>
          </w:tcPr>
          <w:p>
            <w:pPr>
              <w:pStyle w:val="10"/>
              <w:spacing w:after="0" w:line="550" w:lineRule="exact"/>
              <w:rPr>
                <w:lang w:bidi="ar"/>
              </w:rPr>
            </w:pPr>
            <w:r>
              <w:t>＞60%</w:t>
            </w:r>
          </w:p>
        </w:tc>
        <w:tc>
          <w:tcPr>
            <w:tcW w:w="669" w:type="pct"/>
            <w:vAlign w:val="center"/>
          </w:tcPr>
          <w:p>
            <w:pPr>
              <w:pStyle w:val="10"/>
              <w:spacing w:after="0" w:line="550" w:lineRule="exact"/>
              <w:rPr>
                <w:lang w:bidi="ar"/>
              </w:rPr>
            </w:pPr>
            <w:r>
              <w:rPr>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r>
              <w:rPr>
                <w:lang w:bidi="ar"/>
              </w:rPr>
              <w:t>3</w:t>
            </w:r>
          </w:p>
        </w:tc>
        <w:tc>
          <w:tcPr>
            <w:tcW w:w="3021" w:type="pct"/>
            <w:shd w:val="clear" w:color="auto" w:fill="auto"/>
            <w:vAlign w:val="center"/>
          </w:tcPr>
          <w:p>
            <w:pPr>
              <w:widowControl/>
              <w:ind w:firstLine="480"/>
              <w:jc w:val="center"/>
              <w:rPr>
                <w:rFonts w:cs="Times New Roman"/>
              </w:rPr>
            </w:pPr>
            <w:r>
              <w:rPr>
                <w:rFonts w:cs="Times New Roman"/>
                <w:kern w:val="0"/>
                <w:sz w:val="24"/>
                <w:szCs w:val="24"/>
                <w:lang w:bidi="ar"/>
              </w:rPr>
              <w:t>应急救援人员受专业培训率</w:t>
            </w:r>
          </w:p>
        </w:tc>
        <w:tc>
          <w:tcPr>
            <w:tcW w:w="914" w:type="pct"/>
            <w:vAlign w:val="center"/>
          </w:tcPr>
          <w:p>
            <w:pPr>
              <w:widowControl/>
              <w:ind w:firstLine="0" w:firstLineChars="0"/>
              <w:jc w:val="center"/>
              <w:rPr>
                <w:rFonts w:cs="Times New Roman"/>
              </w:rPr>
            </w:pPr>
            <w:r>
              <w:rPr>
                <w:rFonts w:eastAsia="宋体" w:cs="Times New Roman"/>
                <w:kern w:val="0"/>
                <w:sz w:val="24"/>
                <w:szCs w:val="24"/>
                <w:lang w:bidi="ar"/>
              </w:rPr>
              <w:t>100%</w:t>
            </w:r>
          </w:p>
        </w:tc>
        <w:tc>
          <w:tcPr>
            <w:tcW w:w="669" w:type="pct"/>
            <w:vAlign w:val="center"/>
          </w:tcPr>
          <w:p>
            <w:pPr>
              <w:pStyle w:val="10"/>
              <w:spacing w:line="550" w:lineRule="exact"/>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r>
              <w:rPr>
                <w:lang w:bidi="ar"/>
              </w:rPr>
              <w:t>4</w:t>
            </w:r>
          </w:p>
        </w:tc>
        <w:tc>
          <w:tcPr>
            <w:tcW w:w="3021" w:type="pct"/>
            <w:shd w:val="clear" w:color="auto" w:fill="auto"/>
            <w:vAlign w:val="center"/>
          </w:tcPr>
          <w:p>
            <w:pPr>
              <w:widowControl/>
              <w:ind w:firstLine="480"/>
              <w:jc w:val="center"/>
              <w:rPr>
                <w:rFonts w:cs="Times New Roman"/>
                <w:kern w:val="0"/>
                <w:sz w:val="24"/>
                <w:szCs w:val="24"/>
                <w:lang w:bidi="ar"/>
              </w:rPr>
            </w:pPr>
            <w:r>
              <w:rPr>
                <w:rFonts w:cs="Times New Roman"/>
                <w:color w:val="000000" w:themeColor="text1"/>
                <w:kern w:val="0"/>
                <w:sz w:val="24"/>
                <w:szCs w:val="24"/>
                <w:lang w:bidi="ar"/>
                <w14:textFill>
                  <w14:solidFill>
                    <w14:schemeClr w14:val="tx1"/>
                  </w14:solidFill>
                </w14:textFill>
              </w:rPr>
              <w:t>镇、村社</w:t>
            </w:r>
            <w:r>
              <w:rPr>
                <w:rFonts w:cs="Times New Roman"/>
                <w:kern w:val="0"/>
                <w:sz w:val="24"/>
                <w:szCs w:val="24"/>
                <w:lang w:bidi="ar"/>
              </w:rPr>
              <w:t>应急队装备配备率</w:t>
            </w:r>
          </w:p>
        </w:tc>
        <w:tc>
          <w:tcPr>
            <w:tcW w:w="914" w:type="pct"/>
            <w:vAlign w:val="center"/>
          </w:tcPr>
          <w:p>
            <w:pPr>
              <w:widowControl/>
              <w:ind w:firstLine="0" w:firstLineChars="0"/>
              <w:jc w:val="center"/>
              <w:rPr>
                <w:rFonts w:eastAsia="宋体" w:cs="Times New Roman"/>
                <w:kern w:val="0"/>
                <w:sz w:val="24"/>
                <w:szCs w:val="24"/>
                <w:lang w:bidi="ar"/>
              </w:rPr>
            </w:pPr>
            <w:r>
              <w:rPr>
                <w:rFonts w:eastAsia="宋体" w:cs="Times New Roman"/>
                <w:kern w:val="0"/>
                <w:sz w:val="24"/>
                <w:szCs w:val="24"/>
                <w:lang w:bidi="ar"/>
              </w:rPr>
              <w:t>100%</w:t>
            </w:r>
          </w:p>
        </w:tc>
        <w:tc>
          <w:tcPr>
            <w:tcW w:w="669" w:type="pct"/>
            <w:vAlign w:val="center"/>
          </w:tcPr>
          <w:p>
            <w:pPr>
              <w:pStyle w:val="10"/>
              <w:spacing w:line="550" w:lineRule="exact"/>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r>
              <w:rPr>
                <w:lang w:bidi="ar"/>
              </w:rPr>
              <w:t>5</w:t>
            </w:r>
          </w:p>
        </w:tc>
        <w:tc>
          <w:tcPr>
            <w:tcW w:w="3021" w:type="pct"/>
            <w:shd w:val="clear" w:color="auto" w:fill="auto"/>
            <w:vAlign w:val="center"/>
          </w:tcPr>
          <w:p>
            <w:pPr>
              <w:widowControl/>
              <w:ind w:firstLine="480"/>
              <w:jc w:val="center"/>
              <w:rPr>
                <w:rFonts w:cs="Times New Roman"/>
                <w:kern w:val="0"/>
                <w:sz w:val="24"/>
                <w:szCs w:val="24"/>
                <w:lang w:bidi="ar"/>
              </w:rPr>
            </w:pPr>
            <w:r>
              <w:rPr>
                <w:rFonts w:hint="eastAsia" w:cs="Times New Roman"/>
                <w:kern w:val="0"/>
                <w:sz w:val="24"/>
                <w:szCs w:val="24"/>
                <w:lang w:bidi="ar"/>
              </w:rPr>
              <w:t>镇</w:t>
            </w:r>
            <w:r>
              <w:rPr>
                <w:rFonts w:cs="Times New Roman"/>
                <w:kern w:val="0"/>
                <w:sz w:val="24"/>
                <w:szCs w:val="24"/>
                <w:lang w:bidi="ar"/>
              </w:rPr>
              <w:t>应急预案</w:t>
            </w:r>
            <w:r>
              <w:rPr>
                <w:rFonts w:hint="eastAsia" w:cs="Times New Roman"/>
                <w:kern w:val="0"/>
                <w:sz w:val="24"/>
                <w:szCs w:val="24"/>
                <w:lang w:bidi="ar"/>
              </w:rPr>
              <w:t>覆盖率</w:t>
            </w:r>
            <w:r>
              <w:rPr>
                <w:rFonts w:cs="Times New Roman"/>
                <w:kern w:val="0"/>
                <w:sz w:val="24"/>
                <w:szCs w:val="24"/>
                <w:lang w:bidi="ar"/>
              </w:rPr>
              <w:t>、</w:t>
            </w:r>
            <w:r>
              <w:rPr>
                <w:rFonts w:hint="eastAsia" w:cs="Times New Roman"/>
                <w:kern w:val="0"/>
                <w:sz w:val="24"/>
                <w:szCs w:val="24"/>
                <w:lang w:bidi="ar"/>
              </w:rPr>
              <w:t>应急</w:t>
            </w:r>
            <w:r>
              <w:rPr>
                <w:rFonts w:cs="Times New Roman"/>
                <w:kern w:val="0"/>
                <w:sz w:val="24"/>
                <w:szCs w:val="24"/>
                <w:lang w:bidi="ar"/>
              </w:rPr>
              <w:t>演练率</w:t>
            </w:r>
          </w:p>
        </w:tc>
        <w:tc>
          <w:tcPr>
            <w:tcW w:w="914" w:type="pct"/>
            <w:vAlign w:val="center"/>
          </w:tcPr>
          <w:p>
            <w:pPr>
              <w:widowControl/>
              <w:ind w:firstLine="0" w:firstLineChars="0"/>
              <w:jc w:val="center"/>
              <w:rPr>
                <w:rFonts w:eastAsia="宋体" w:cs="Times New Roman"/>
                <w:kern w:val="0"/>
                <w:sz w:val="24"/>
                <w:szCs w:val="24"/>
                <w:lang w:bidi="ar"/>
              </w:rPr>
            </w:pPr>
            <w:r>
              <w:rPr>
                <w:rFonts w:eastAsia="宋体" w:cs="Times New Roman"/>
                <w:kern w:val="0"/>
                <w:sz w:val="24"/>
                <w:szCs w:val="24"/>
                <w:lang w:bidi="ar"/>
              </w:rPr>
              <w:t>100%</w:t>
            </w:r>
          </w:p>
        </w:tc>
        <w:tc>
          <w:tcPr>
            <w:tcW w:w="669" w:type="pct"/>
            <w:vAlign w:val="center"/>
          </w:tcPr>
          <w:p>
            <w:pPr>
              <w:pStyle w:val="10"/>
              <w:spacing w:line="550" w:lineRule="exact"/>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r>
              <w:rPr>
                <w:color w:val="000000" w:themeColor="text1"/>
                <w14:textFill>
                  <w14:solidFill>
                    <w14:schemeClr w14:val="tx1"/>
                  </w14:solidFill>
                </w14:textFill>
              </w:rPr>
              <w:t>6</w:t>
            </w:r>
          </w:p>
        </w:tc>
        <w:tc>
          <w:tcPr>
            <w:tcW w:w="3021" w:type="pct"/>
            <w:shd w:val="clear" w:color="auto" w:fill="auto"/>
            <w:vAlign w:val="center"/>
          </w:tcPr>
          <w:p>
            <w:pPr>
              <w:pStyle w:val="10"/>
              <w:spacing w:after="0" w:line="550" w:lineRule="exact"/>
              <w:rPr>
                <w:lang w:bidi="ar"/>
              </w:rPr>
            </w:pPr>
            <w:r>
              <w:rPr>
                <w:rFonts w:hint="eastAsia"/>
                <w:color w:val="000000" w:themeColor="text1"/>
                <w14:textFill>
                  <w14:solidFill>
                    <w14:schemeClr w14:val="tx1"/>
                  </w14:solidFill>
                </w14:textFill>
              </w:rPr>
              <w:t>公众</w:t>
            </w:r>
            <w:r>
              <w:rPr>
                <w:color w:val="000000" w:themeColor="text1"/>
                <w14:textFill>
                  <w14:solidFill>
                    <w14:schemeClr w14:val="tx1"/>
                  </w14:solidFill>
                </w14:textFill>
              </w:rPr>
              <w:t>应急知识普及率</w:t>
            </w:r>
          </w:p>
        </w:tc>
        <w:tc>
          <w:tcPr>
            <w:tcW w:w="914" w:type="pct"/>
            <w:vAlign w:val="center"/>
          </w:tcPr>
          <w:p>
            <w:pPr>
              <w:pStyle w:val="10"/>
              <w:spacing w:after="0" w:line="550" w:lineRule="exact"/>
              <w:rPr>
                <w:lang w:bidi="ar"/>
              </w:rPr>
            </w:pPr>
            <w:r>
              <w:rPr>
                <w:color w:val="000000" w:themeColor="text1"/>
                <w14:textFill>
                  <w14:solidFill>
                    <w14:schemeClr w14:val="tx1"/>
                  </w14:solidFill>
                </w14:textFill>
              </w:rPr>
              <w:t>90%</w:t>
            </w:r>
          </w:p>
        </w:tc>
        <w:tc>
          <w:tcPr>
            <w:tcW w:w="669" w:type="pct"/>
            <w:vAlign w:val="center"/>
          </w:tcPr>
          <w:p>
            <w:pPr>
              <w:pStyle w:val="10"/>
              <w:spacing w:after="0" w:line="550" w:lineRule="exact"/>
              <w:rPr>
                <w:lang w:bidi="ar"/>
              </w:rPr>
            </w:pPr>
            <w:r>
              <w:rPr>
                <w:color w:val="000000" w:themeColor="text1"/>
                <w14:textFill>
                  <w14:solidFill>
                    <w14:schemeClr w14:val="tx1"/>
                  </w14:solidFill>
                </w14:textFill>
              </w:rPr>
              <w:t>预期性</w:t>
            </w:r>
          </w:p>
        </w:tc>
      </w:tr>
    </w:tbl>
    <w:p>
      <w:pPr>
        <w:pStyle w:val="4"/>
        <w:rPr>
          <w:rFonts w:cs="Times New Roman"/>
        </w:rPr>
      </w:pPr>
      <w:bookmarkStart w:id="31" w:name="_Toc13341"/>
      <w:r>
        <w:rPr>
          <w:rFonts w:cs="Times New Roman"/>
        </w:rPr>
        <w:t>（二）远景目标</w:t>
      </w:r>
      <w:bookmarkEnd w:id="30"/>
      <w:bookmarkEnd w:id="31"/>
    </w:p>
    <w:p>
      <w:pPr>
        <w:ind w:firstLine="640"/>
        <w:rPr>
          <w:rFonts w:cs="Times New Roman"/>
          <w:szCs w:val="32"/>
        </w:rPr>
      </w:pPr>
      <w:bookmarkStart w:id="32" w:name="_Toc31945"/>
      <w:r>
        <w:rPr>
          <w:rFonts w:cs="Times New Roman"/>
          <w:szCs w:val="32"/>
        </w:rPr>
        <w:t>到203</w:t>
      </w:r>
      <w:r>
        <w:rPr>
          <w:rFonts w:hint="eastAsia" w:cs="Times New Roman"/>
          <w:szCs w:val="32"/>
        </w:rPr>
        <w:t>5</w:t>
      </w:r>
      <w:r>
        <w:rPr>
          <w:rFonts w:cs="Times New Roman"/>
          <w:szCs w:val="32"/>
        </w:rPr>
        <w:t>年，片区应急综合管理能力大幅提升，应急救援能力短板全面补齐，应急机制更加健全完善，应急队伍系统性、整体性、协同性进一步增强，指挥协调、监测预警、救援处置、风险防范、监管执法和社会动员能力显著提升，科学应急、智慧应急水平达到新高度，应急信息技术系统全面完善，生命安全保护能力全面提升，人民安全感显著增强，形成与基本实现现代化相适应的应急管理机制和能力。</w:t>
      </w:r>
    </w:p>
    <w:p>
      <w:pPr>
        <w:pStyle w:val="3"/>
        <w:rPr>
          <w:rFonts w:cs="Times New Roman"/>
        </w:rPr>
      </w:pPr>
      <w:r>
        <w:rPr>
          <w:rFonts w:cs="Times New Roman"/>
        </w:rPr>
        <w:t>四</w:t>
      </w:r>
      <w:bookmarkEnd w:id="27"/>
      <w:bookmarkEnd w:id="28"/>
      <w:r>
        <w:rPr>
          <w:rFonts w:cs="Times New Roman"/>
        </w:rPr>
        <w:t>、主要任务和重点工程</w:t>
      </w:r>
      <w:bookmarkEnd w:id="29"/>
      <w:bookmarkEnd w:id="32"/>
      <w:bookmarkStart w:id="33" w:name="_Toc98773632"/>
    </w:p>
    <w:p>
      <w:pPr>
        <w:pStyle w:val="4"/>
        <w:rPr>
          <w:rFonts w:cs="Times New Roman"/>
          <w:bCs w:val="0"/>
        </w:rPr>
      </w:pPr>
      <w:bookmarkStart w:id="34" w:name="_Toc9082"/>
      <w:r>
        <w:rPr>
          <w:rFonts w:cs="Times New Roman"/>
          <w:bCs w:val="0"/>
        </w:rPr>
        <w:t>（一）</w:t>
      </w:r>
      <w:bookmarkEnd w:id="33"/>
      <w:r>
        <w:rPr>
          <w:rFonts w:cs="Times New Roman"/>
          <w:bCs w:val="0"/>
        </w:rPr>
        <w:t>应急管理机制方面</w:t>
      </w:r>
      <w:bookmarkEnd w:id="34"/>
    </w:p>
    <w:p>
      <w:pPr>
        <w:widowControl/>
        <w:ind w:firstLine="643"/>
        <w:jc w:val="left"/>
        <w:rPr>
          <w:rFonts w:cs="Times New Roman"/>
          <w:color w:val="000000" w:themeColor="text1"/>
          <w:szCs w:val="32"/>
          <w14:textFill>
            <w14:solidFill>
              <w14:schemeClr w14:val="tx1"/>
            </w14:solidFill>
          </w14:textFill>
        </w:rPr>
      </w:pPr>
      <w:r>
        <w:rPr>
          <w:rFonts w:hint="eastAsia" w:cs="Times New Roman"/>
          <w:b/>
          <w:bCs/>
          <w:color w:val="000000" w:themeColor="text1"/>
          <w:szCs w:val="32"/>
          <w14:textFill>
            <w14:solidFill>
              <w14:schemeClr w14:val="tx1"/>
            </w14:solidFill>
          </w14:textFill>
        </w:rPr>
        <w:t>健全应急组织机构。</w:t>
      </w:r>
      <w:r>
        <w:rPr>
          <w:rFonts w:cs="Times New Roman"/>
          <w:color w:val="000000" w:themeColor="text1"/>
          <w:szCs w:val="32"/>
          <w14:textFill>
            <w14:solidFill>
              <w14:schemeClr w14:val="tx1"/>
            </w14:solidFill>
          </w14:textFill>
        </w:rPr>
        <w:t>健全以镇党委政府主要领导为主任的</w:t>
      </w:r>
      <w:r>
        <w:t>应急委</w:t>
      </w:r>
      <w:r>
        <w:rPr>
          <w:rFonts w:cs="Times New Roman"/>
          <w:color w:val="000000" w:themeColor="text1"/>
          <w:szCs w:val="32"/>
          <w14:textFill>
            <w14:solidFill>
              <w14:schemeClr w14:val="tx1"/>
            </w14:solidFill>
          </w14:textFill>
        </w:rPr>
        <w:t>和</w:t>
      </w:r>
      <w:r>
        <w:t>安委会及下设办公室</w:t>
      </w:r>
      <w:r>
        <w:rPr>
          <w:rFonts w:cs="Times New Roman"/>
          <w:color w:val="000000" w:themeColor="text1"/>
          <w:szCs w:val="32"/>
          <w14:textFill>
            <w14:solidFill>
              <w14:schemeClr w14:val="tx1"/>
            </w14:solidFill>
          </w14:textFill>
        </w:rPr>
        <w:t>，理顺抗震救灾、防汛抗旱、消防救援、事故救援等应急职责。整合安全生产、防汛抗旱、地质灾害防治、森林防灭火、灾情管理等资源和力量，组建</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镇应急管理办公室，解决一人多岗、人员配备不齐、责任难以落实等问题，并在区应急管理局业务指导下，负责辖区应急管理工作。各村社统筹整合现有的护林员、</w:t>
      </w:r>
      <w:r>
        <w:rPr>
          <w:rFonts w:hint="eastAsia" w:cs="Times New Roman"/>
          <w:color w:val="000000" w:themeColor="text1"/>
          <w:szCs w:val="32"/>
          <w14:textFill>
            <w14:solidFill>
              <w14:schemeClr w14:val="tx1"/>
            </w14:solidFill>
          </w14:textFill>
        </w:rPr>
        <w:t>安全</w:t>
      </w:r>
      <w:r>
        <w:rPr>
          <w:rFonts w:cs="Times New Roman"/>
          <w:color w:val="000000" w:themeColor="text1"/>
          <w:szCs w:val="32"/>
          <w14:textFill>
            <w14:solidFill>
              <w14:schemeClr w14:val="tx1"/>
            </w14:solidFill>
          </w14:textFill>
        </w:rPr>
        <w:t>网格员、灾情信息员、</w:t>
      </w:r>
      <w:r>
        <w:rPr>
          <w:rFonts w:hint="eastAsia" w:cs="Times New Roman"/>
          <w:color w:val="000000" w:themeColor="text1"/>
          <w:szCs w:val="32"/>
          <w14:textFill>
            <w14:solidFill>
              <w14:schemeClr w14:val="tx1"/>
            </w14:solidFill>
          </w14:textFill>
        </w:rPr>
        <w:t>灾害</w:t>
      </w:r>
      <w:r>
        <w:rPr>
          <w:rFonts w:cs="Times New Roman"/>
          <w:color w:val="000000" w:themeColor="text1"/>
          <w:szCs w:val="32"/>
          <w14:textFill>
            <w14:solidFill>
              <w14:schemeClr w14:val="tx1"/>
            </w14:solidFill>
          </w14:textFill>
        </w:rPr>
        <w:t>预警员等资源，实现资源共享、统一登记造册，一体化推进综合性应急管理网格队伍建设。充实</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镇应急管理专业技术岗位，加强应急管理人员培训，提高基层应急管理专业能力素质</w:t>
      </w:r>
      <w:r>
        <w:rPr>
          <w:rFonts w:hint="eastAsia" w:cs="Times New Roman"/>
          <w:color w:val="000000" w:themeColor="text1"/>
          <w:szCs w:val="32"/>
          <w14:textFill>
            <w14:solidFill>
              <w14:schemeClr w14:val="tx1"/>
            </w14:solidFill>
          </w14:textFill>
        </w:rPr>
        <w:t>，</w:t>
      </w:r>
      <w:r>
        <w:t>加强专兼职应急管理人员的专业技能培训</w:t>
      </w:r>
      <w:r>
        <w:rPr>
          <w:rFonts w:cs="Times New Roman"/>
          <w:color w:val="000000" w:themeColor="text1"/>
          <w:szCs w:val="32"/>
          <w14:textFill>
            <w14:solidFill>
              <w14:schemeClr w14:val="tx1"/>
            </w14:solidFill>
          </w14:textFill>
        </w:rPr>
        <w:t xml:space="preserve">。 </w:t>
      </w:r>
    </w:p>
    <w:p>
      <w:pPr>
        <w:ind w:firstLine="643"/>
        <w:rPr>
          <w:rFonts w:cs="Times New Roman"/>
          <w:color w:val="000000" w:themeColor="text1"/>
          <w:szCs w:val="32"/>
          <w14:textFill>
            <w14:solidFill>
              <w14:schemeClr w14:val="tx1"/>
            </w14:solidFill>
          </w14:textFill>
        </w:rPr>
      </w:pPr>
      <w:r>
        <w:rPr>
          <w:rFonts w:cs="Times New Roman"/>
          <w:b/>
          <w:bCs/>
          <w:color w:val="000000" w:themeColor="text1"/>
          <w:szCs w:val="32"/>
          <w14:textFill>
            <w14:solidFill>
              <w14:schemeClr w14:val="tx1"/>
            </w14:solidFill>
          </w14:textFill>
        </w:rPr>
        <w:t>加强管理制度建设。</w:t>
      </w:r>
      <w:r>
        <w:rPr>
          <w:rFonts w:cs="Times New Roman"/>
          <w:color w:val="000000" w:themeColor="text1"/>
          <w:szCs w:val="32"/>
          <w14:textFill>
            <w14:solidFill>
              <w14:schemeClr w14:val="tx1"/>
            </w14:solidFill>
          </w14:textFill>
        </w:rPr>
        <w:t>完善应急管理预测预警预报制度，及时准确上报安全生产、自然灾害等行业领域灾害险情。建立完善巡查检查、应急值守、区域联动、会商、先期处置、转移疏散、避险管控、应急救援训练、物资调配、预案管理等制度。建立健全灾害防范、治理、救援任务清单和责任清单。</w:t>
      </w:r>
    </w:p>
    <w:p>
      <w:pPr>
        <w:ind w:firstLine="643"/>
        <w:rPr>
          <w:rFonts w:cs="Times New Roman"/>
          <w:color w:val="000000" w:themeColor="text1"/>
          <w:szCs w:val="32"/>
          <w14:textFill>
            <w14:solidFill>
              <w14:schemeClr w14:val="tx1"/>
            </w14:solidFill>
          </w14:textFill>
        </w:rPr>
      </w:pPr>
      <w:r>
        <w:rPr>
          <w:rFonts w:cs="Times New Roman"/>
          <w:b/>
          <w:bCs/>
          <w:color w:val="000000" w:themeColor="text1"/>
          <w:szCs w:val="32"/>
          <w14:textFill>
            <w14:solidFill>
              <w14:schemeClr w14:val="tx1"/>
            </w14:solidFill>
          </w14:textFill>
        </w:rPr>
        <w:t>完善应急指挥机制。</w:t>
      </w:r>
      <w:r>
        <w:rPr>
          <w:rStyle w:val="70"/>
          <w:rFonts w:hint="default"/>
        </w:rPr>
        <w:t>强化镇应急管理机构建设，夯实镇应急指挥架构，构筑区（应急指挥中心）－镇（应急指挥分中心）－村社区（应急指挥小组）三级应急管理指挥矩阵，形成权责分明、 自上而下、横向协作、统一指挥的应急管理责任体系。</w:t>
      </w:r>
      <w:r>
        <w:rPr>
          <w:rFonts w:cs="Times New Roman"/>
          <w:color w:val="000000" w:themeColor="text1"/>
          <w:szCs w:val="32"/>
          <w14:textFill>
            <w14:solidFill>
              <w14:schemeClr w14:val="tx1"/>
            </w14:solidFill>
          </w14:textFill>
        </w:rPr>
        <w:t>建立片区应急指挥机制，完善各镇应急指挥体系，由发生险情镇牵头，会同片区其他镇，负责统一指挥、统一调度应急救援队伍，统筹协调灾害事故风险研判、信息共享、协同处置等全过程管理。</w:t>
      </w:r>
      <w:r>
        <w:t>推动片区应急管理信息化工作向</w:t>
      </w:r>
      <w:r>
        <w:rPr>
          <w:rFonts w:hint="eastAsia"/>
        </w:rPr>
        <w:t>“</w:t>
      </w:r>
      <w:r>
        <w:t>智慧应急</w:t>
      </w:r>
      <w:r>
        <w:rPr>
          <w:rFonts w:hint="eastAsia"/>
        </w:rPr>
        <w:t>”</w:t>
      </w:r>
      <w:r>
        <w:t>迈进。强化应急状态下职能部门、乡镇之间信息共享、力量合成、资源互补，推动形成</w:t>
      </w:r>
      <w:r>
        <w:rPr>
          <w:rFonts w:hint="eastAsia"/>
        </w:rPr>
        <w:t>“</w:t>
      </w:r>
      <w:r>
        <w:t>大应急</w:t>
      </w:r>
      <w:r>
        <w:rPr>
          <w:rFonts w:hint="eastAsia"/>
        </w:rPr>
        <w:t>”</w:t>
      </w:r>
      <w:r>
        <w:t>工作格局</w:t>
      </w:r>
      <w:r>
        <w:rPr>
          <w:rFonts w:hint="eastAsia"/>
        </w:rPr>
        <w:t>。</w:t>
      </w:r>
      <w:r>
        <w:rPr>
          <w:rStyle w:val="70"/>
          <w:rFonts w:hint="default"/>
        </w:rPr>
        <w:t>压紧压实镇、村（社区）属地责任。</w:t>
      </w:r>
    </w:p>
    <w:p>
      <w:pPr>
        <w:widowControl/>
        <w:ind w:firstLine="643"/>
        <w:rPr>
          <w:rFonts w:cs="Times New Roman"/>
          <w:color w:val="000000" w:themeColor="text1"/>
          <w:szCs w:val="32"/>
          <w14:textFill>
            <w14:solidFill>
              <w14:schemeClr w14:val="tx1"/>
            </w14:solidFill>
          </w14:textFill>
        </w:rPr>
      </w:pPr>
      <w:r>
        <w:rPr>
          <w:rFonts w:hint="eastAsia" w:cs="Times New Roman"/>
          <w:b/>
          <w:bCs/>
          <w:color w:val="000000" w:themeColor="text1"/>
          <w:szCs w:val="32"/>
          <w14:textFill>
            <w14:solidFill>
              <w14:schemeClr w14:val="tx1"/>
            </w14:solidFill>
          </w14:textFill>
        </w:rPr>
        <w:t>强化协调联动机制</w:t>
      </w:r>
      <w:r>
        <w:rPr>
          <w:rFonts w:cs="Times New Roman"/>
          <w:b/>
          <w:bCs/>
          <w:color w:val="000000" w:themeColor="text1"/>
          <w:szCs w:val="32"/>
          <w14:textFill>
            <w14:solidFill>
              <w14:schemeClr w14:val="tx1"/>
            </w14:solidFill>
          </w14:textFill>
        </w:rPr>
        <w:t>。</w:t>
      </w:r>
      <w:r>
        <w:t>建立协同调度、快速集结、密切协作、 优势互补的协同合作机制，强化应急管理综合协调机制。推进片区内各乡镇之间的协同联动、乡镇与部门之间的协同联通、片区以及流域之间的区域联防联控，强化应急状态下各镇之间信息共享、力量合成、预案互补、资源共享、协同处置，有效提升先期救援和处置能力</w:t>
      </w:r>
      <w:r>
        <w:rPr>
          <w:rFonts w:hint="eastAsia"/>
        </w:rPr>
        <w:t>。</w:t>
      </w:r>
      <w:r>
        <w:rPr>
          <w:rFonts w:cs="Times New Roman"/>
          <w:color w:val="000000" w:themeColor="text1"/>
          <w:szCs w:val="32"/>
          <w14:textFill>
            <w14:solidFill>
              <w14:schemeClr w14:val="tx1"/>
            </w14:solidFill>
          </w14:textFill>
        </w:rPr>
        <w:t>发挥片区</w:t>
      </w:r>
      <w:r>
        <w:rPr>
          <w:rFonts w:hint="eastAsia" w:cs="Times New Roman"/>
          <w:color w:val="000000" w:themeColor="text1"/>
          <w:szCs w:val="32"/>
          <w14:textFill>
            <w14:solidFill>
              <w14:schemeClr w14:val="tx1"/>
            </w14:solidFill>
          </w14:textFill>
        </w:rPr>
        <w:t>拦江</w:t>
      </w:r>
      <w:r>
        <w:rPr>
          <w:rFonts w:cs="Times New Roman"/>
          <w:color w:val="000000" w:themeColor="text1"/>
          <w:szCs w:val="32"/>
          <w14:textFill>
            <w14:solidFill>
              <w14:schemeClr w14:val="tx1"/>
            </w14:solidFill>
          </w14:textFill>
        </w:rPr>
        <w:t>镇位置优势，强化</w:t>
      </w:r>
      <w:r>
        <w:rPr>
          <w:rFonts w:hint="eastAsia" w:ascii="仿宋" w:hAnsi="仿宋" w:cs="仿宋"/>
          <w:color w:val="000000" w:themeColor="text1"/>
          <w:szCs w:val="32"/>
          <w14:textFill>
            <w14:solidFill>
              <w14:schemeClr w14:val="tx1"/>
            </w14:solidFill>
          </w14:textFill>
        </w:rPr>
        <w:t>“一主两辅”</w:t>
      </w:r>
      <w:r>
        <w:rPr>
          <w:rFonts w:cs="Times New Roman"/>
          <w:color w:val="000000" w:themeColor="text1"/>
          <w:szCs w:val="32"/>
          <w14:textFill>
            <w14:solidFill>
              <w14:schemeClr w14:val="tx1"/>
            </w14:solidFill>
          </w14:textFill>
        </w:rPr>
        <w:t>联动，有序引导各类社会救援队伍参与抢险救灾工作。</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5000" w:type="pct"/>
            <w:tcBorders>
              <w:bottom w:val="nil"/>
            </w:tcBorders>
            <w:vAlign w:val="center"/>
          </w:tcPr>
          <w:p>
            <w:pPr>
              <w:pStyle w:val="10"/>
              <w:spacing w:after="0" w:line="550" w:lineRule="exact"/>
              <w:ind w:firstLine="640"/>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专栏1  应急管理重点工程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000" w:type="pct"/>
            <w:vAlign w:val="center"/>
          </w:tcPr>
          <w:p>
            <w:pPr>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1.应急管理人员能力提升项目</w:t>
            </w:r>
          </w:p>
          <w:p>
            <w:pPr>
              <w:ind w:firstLine="640"/>
              <w:jc w:val="left"/>
              <w:rPr>
                <w:rFonts w:cs="Times New Roman"/>
                <w:szCs w:val="32"/>
              </w:rPr>
            </w:pPr>
            <w:r>
              <w:rPr>
                <w:rFonts w:cs="Times New Roman"/>
                <w:color w:val="000000" w:themeColor="text1"/>
                <w:szCs w:val="32"/>
                <w14:textFill>
                  <w14:solidFill>
                    <w14:schemeClr w14:val="tx1"/>
                  </w14:solidFill>
                </w14:textFill>
              </w:rPr>
              <w:t>建设内容：</w:t>
            </w:r>
            <w:r>
              <w:rPr>
                <w:rFonts w:hint="eastAsia" w:cs="Times New Roman"/>
                <w:szCs w:val="32"/>
              </w:rPr>
              <w:t>加强各镇应急管理人员、安全监管人员、镇综合应急队伍、村（社区）应急分队、村（社区）网格员、灾害信息员等人员的综合能力，每年聘请专业人员培训不少于2次。</w:t>
            </w:r>
          </w:p>
          <w:p>
            <w:pPr>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建设地点：</w:t>
            </w:r>
            <w:r>
              <w:rPr>
                <w:rFonts w:hint="eastAsia" w:cs="Times New Roman"/>
                <w:szCs w:val="32"/>
              </w:rPr>
              <w:t>拦江镇、保石镇、中兴镇、白马镇</w:t>
            </w:r>
          </w:p>
          <w:p>
            <w:pPr>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责任单位：区应急管理局</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各镇党委和人民政府</w:t>
            </w:r>
          </w:p>
          <w:p>
            <w:pPr>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资金估算：20万元/年</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共计投入100万</w:t>
            </w:r>
            <w:r>
              <w:rPr>
                <w:rFonts w:hint="eastAsia" w:cs="Times New Roman"/>
                <w:color w:val="000000" w:themeColor="text1"/>
                <w:szCs w:val="32"/>
                <w14:textFill>
                  <w14:solidFill>
                    <w14:schemeClr w14:val="tx1"/>
                  </w14:solidFill>
                </w14:textFill>
              </w:rPr>
              <w:t>元</w:t>
            </w:r>
          </w:p>
          <w:p>
            <w:pPr>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完成时限：2025年。</w:t>
            </w:r>
          </w:p>
        </w:tc>
      </w:tr>
    </w:tbl>
    <w:p>
      <w:pPr>
        <w:pStyle w:val="4"/>
        <w:rPr>
          <w:rFonts w:cs="Times New Roman"/>
        </w:rPr>
      </w:pPr>
      <w:bookmarkStart w:id="35" w:name="_Toc16054"/>
      <w:r>
        <w:rPr>
          <w:rFonts w:cs="Times New Roman"/>
        </w:rPr>
        <w:t>（二）安全生产风险防控方面</w:t>
      </w:r>
      <w:bookmarkEnd w:id="35"/>
    </w:p>
    <w:p>
      <w:pPr>
        <w:ind w:firstLine="643"/>
        <w:rPr>
          <w:rFonts w:cs="Times New Roman"/>
          <w:color w:val="000000" w:themeColor="text1"/>
          <w:szCs w:val="32"/>
          <w14:textFill>
            <w14:solidFill>
              <w14:schemeClr w14:val="tx1"/>
            </w14:solidFill>
          </w14:textFill>
        </w:rPr>
      </w:pPr>
      <w:bookmarkStart w:id="36" w:name="_Toc98773642"/>
      <w:r>
        <w:rPr>
          <w:rFonts w:cs="Times New Roman"/>
          <w:b/>
          <w:bCs/>
          <w:color w:val="000000" w:themeColor="text1"/>
          <w:szCs w:val="32"/>
          <w14:textFill>
            <w14:solidFill>
              <w14:schemeClr w14:val="tx1"/>
            </w14:solidFill>
          </w14:textFill>
        </w:rPr>
        <w:t>增强安全监管能力建设。</w:t>
      </w:r>
      <w:r>
        <w:rPr>
          <w:rFonts w:cs="Times New Roman"/>
          <w:szCs w:val="32"/>
        </w:rPr>
        <w:t>持续增强新上任领导干部风险意识和底线思维，依托省、市、区三级组织和各级党校按照</w:t>
      </w:r>
      <w:r>
        <w:rPr>
          <w:rFonts w:hint="eastAsia" w:cs="Times New Roman"/>
          <w:szCs w:val="32"/>
        </w:rPr>
        <w:t>“</w:t>
      </w:r>
      <w:r>
        <w:rPr>
          <w:rFonts w:cs="Times New Roman"/>
          <w:szCs w:val="32"/>
        </w:rPr>
        <w:t>走出去、请进来</w:t>
      </w:r>
      <w:r>
        <w:rPr>
          <w:rFonts w:hint="eastAsia" w:cs="Times New Roman"/>
          <w:szCs w:val="32"/>
        </w:rPr>
        <w:t>”</w:t>
      </w:r>
      <w:r>
        <w:rPr>
          <w:rFonts w:cs="Times New Roman"/>
          <w:szCs w:val="32"/>
        </w:rPr>
        <w:t>等模式，对片区内各级领导干部及安全监管队伍开展专业知识、救援实战、心理素质等方面的培训，提升安全监管队伍理论水平和业务技能。加强专业人才队伍建设，推行应急专业人才</w:t>
      </w:r>
      <w:r>
        <w:rPr>
          <w:rFonts w:hint="eastAsia" w:cs="Times New Roman"/>
          <w:szCs w:val="32"/>
        </w:rPr>
        <w:t>“</w:t>
      </w:r>
      <w:r>
        <w:rPr>
          <w:rFonts w:cs="Times New Roman"/>
          <w:szCs w:val="32"/>
        </w:rPr>
        <w:t>员额制</w:t>
      </w:r>
      <w:r>
        <w:rPr>
          <w:rFonts w:hint="eastAsia" w:cs="Times New Roman"/>
          <w:szCs w:val="32"/>
        </w:rPr>
        <w:t>”</w:t>
      </w:r>
      <w:r>
        <w:rPr>
          <w:rFonts w:cs="Times New Roman"/>
          <w:szCs w:val="32"/>
        </w:rPr>
        <w:t>管理，加强专职安全监管人员的配备，进一步优化人员编制、职能划转。</w:t>
      </w:r>
      <w:r>
        <w:t>强化安全监管建设，开展联合执法，持续推进</w:t>
      </w:r>
      <w:r>
        <w:rPr>
          <w:rFonts w:hint="eastAsia"/>
        </w:rPr>
        <w:t>“</w:t>
      </w:r>
      <w:r>
        <w:t>互联网+执法</w:t>
      </w:r>
      <w:r>
        <w:rPr>
          <w:rFonts w:hint="eastAsia"/>
        </w:rPr>
        <w:t>”“</w:t>
      </w:r>
      <w:r>
        <w:t>执法+专家</w:t>
      </w:r>
      <w:r>
        <w:rPr>
          <w:rFonts w:hint="eastAsia"/>
        </w:rPr>
        <w:t>”</w:t>
      </w:r>
      <w:r>
        <w:t>工作。</w:t>
      </w:r>
      <w:r>
        <w:rPr>
          <w:rFonts w:cs="Times New Roman"/>
          <w:szCs w:val="32"/>
        </w:rPr>
        <w:t>深入开展</w:t>
      </w:r>
      <w:r>
        <w:rPr>
          <w:rFonts w:hint="eastAsia" w:cs="Times New Roman"/>
          <w:szCs w:val="32"/>
        </w:rPr>
        <w:t>各</w:t>
      </w:r>
      <w:r>
        <w:rPr>
          <w:rFonts w:cs="Times New Roman"/>
          <w:szCs w:val="32"/>
        </w:rPr>
        <w:t>镇</w:t>
      </w:r>
      <w:r>
        <w:rPr>
          <w:rFonts w:hint="eastAsia" w:cs="Times New Roman"/>
          <w:szCs w:val="32"/>
        </w:rPr>
        <w:t>间</w:t>
      </w:r>
      <w:r>
        <w:rPr>
          <w:rFonts w:cs="Times New Roman"/>
          <w:szCs w:val="32"/>
        </w:rPr>
        <w:t>委托执法，加强</w:t>
      </w:r>
      <w:r>
        <w:rPr>
          <w:rFonts w:hint="eastAsia" w:cs="Times New Roman"/>
          <w:szCs w:val="32"/>
        </w:rPr>
        <w:t>各</w:t>
      </w:r>
      <w:r>
        <w:rPr>
          <w:rFonts w:cs="Times New Roman"/>
          <w:szCs w:val="32"/>
        </w:rPr>
        <w:t>镇执法装备配备，提高装备保障、经费保障、技术保障能力，深入开展</w:t>
      </w:r>
      <w:r>
        <w:rPr>
          <w:rFonts w:hint="eastAsia" w:cs="Times New Roman"/>
          <w:szCs w:val="32"/>
        </w:rPr>
        <w:t>“</w:t>
      </w:r>
      <w:r>
        <w:rPr>
          <w:rFonts w:cs="Times New Roman"/>
          <w:szCs w:val="32"/>
        </w:rPr>
        <w:t>清单式</w:t>
      </w:r>
      <w:r>
        <w:rPr>
          <w:rFonts w:hint="eastAsia" w:cs="Times New Roman"/>
          <w:szCs w:val="32"/>
        </w:rPr>
        <w:t>”、“</w:t>
      </w:r>
      <w:r>
        <w:rPr>
          <w:rFonts w:cs="Times New Roman"/>
          <w:szCs w:val="32"/>
        </w:rPr>
        <w:t>诊断式</w:t>
      </w:r>
      <w:r>
        <w:rPr>
          <w:rFonts w:hint="eastAsia" w:cs="Times New Roman"/>
          <w:szCs w:val="32"/>
        </w:rPr>
        <w:t>”</w:t>
      </w:r>
      <w:r>
        <w:rPr>
          <w:rFonts w:cs="Times New Roman"/>
          <w:szCs w:val="32"/>
        </w:rPr>
        <w:t>执法检查。</w:t>
      </w:r>
      <w:r>
        <w:rPr>
          <w:rStyle w:val="70"/>
          <w:rFonts w:hint="default"/>
        </w:rPr>
        <w:t>提升安全监管装备保障能力、经费保障能力、技术保障能力、人员激励制度“四种能力”。强化安全监管领导能力建设、组织机构建设、队伍建设、专业技术建设、能力提升建设、作风建设“六种建设”。</w:t>
      </w:r>
    </w:p>
    <w:p>
      <w:pPr>
        <w:ind w:firstLine="643"/>
        <w:rPr>
          <w:rFonts w:cs="Times New Roman"/>
        </w:rPr>
      </w:pPr>
      <w:r>
        <w:rPr>
          <w:rFonts w:cs="Times New Roman"/>
          <w:b/>
          <w:bCs/>
          <w:color w:val="000000" w:themeColor="text1"/>
          <w:szCs w:val="32"/>
          <w14:textFill>
            <w14:solidFill>
              <w14:schemeClr w14:val="tx1"/>
            </w14:solidFill>
          </w14:textFill>
        </w:rPr>
        <w:t>加强风险源头管控。</w:t>
      </w:r>
      <w:r>
        <w:rPr>
          <w:rFonts w:cs="Times New Roman"/>
          <w:szCs w:val="32"/>
        </w:rPr>
        <w:t>要建立公共安全隐患排查和安全预防控制体系，加强新材料、新工艺安全风险评估和管控。</w:t>
      </w:r>
      <w:r>
        <w:rPr>
          <w:rStyle w:val="70"/>
          <w:rFonts w:hint="default"/>
        </w:rPr>
        <w:t>严格落实建设项目安全设施“三同时”规定，推动开展片区内应急资源和应急能力调查，定期开展安全风险评估。</w:t>
      </w:r>
      <w:r>
        <w:rPr>
          <w:rFonts w:cs="Times New Roman"/>
          <w:szCs w:val="32"/>
        </w:rPr>
        <w:t>全面推进重点行业领域安全风险防控，加强高危行业企业主要负责人、安全管理人员、特种作业人员安全教育培训，提高安全管理水平和自救互救能力。督促指导各类生产经营单位建立常态化摸排辨识重大风险工作机制，完善风险管控任务清单，明确风险位置、具体表现、管控措施、监管人员等基础信息；积极开展宣传企业安全生产教育培训，提升重点行业领域内关键岗位人员职业安全技能。</w:t>
      </w:r>
    </w:p>
    <w:p>
      <w:pPr>
        <w:ind w:firstLine="643"/>
        <w:rPr>
          <w:rFonts w:cs="Times New Roman"/>
          <w:szCs w:val="32"/>
        </w:rPr>
      </w:pPr>
      <w:r>
        <w:rPr>
          <w:rFonts w:cs="Times New Roman"/>
          <w:b/>
          <w:bCs/>
        </w:rPr>
        <w:t>强化风险监测预警。</w:t>
      </w:r>
      <w:r>
        <w:rPr>
          <w:rFonts w:cs="Times New Roman"/>
          <w:szCs w:val="32"/>
        </w:rPr>
        <w:t>充分利用物联网、视频识别、5G等技术，以感知设备智能化、网络化、微型化、集成化为特征，强化风险感知网络，提高监测感知能力。加强重要设施、重大危险源、重点脆弱性目标和重点区域安全风险智能感知与态势动态评估，实现道路桥梁、供排水、电力、燃气、输油管道、通信等重要市政基础设施，危险化学品生产储存、</w:t>
      </w:r>
      <w:r>
        <w:rPr>
          <w:rFonts w:hint="eastAsia" w:cs="Times New Roman"/>
          <w:szCs w:val="32"/>
        </w:rPr>
        <w:t>天然气管道、</w:t>
      </w:r>
      <w:r>
        <w:rPr>
          <w:rFonts w:cs="Times New Roman"/>
          <w:szCs w:val="32"/>
        </w:rPr>
        <w:t>建筑施工、农业和旅游业等重点行业领域，以及医院、学校、养老院等重要场所</w:t>
      </w:r>
      <w:r>
        <w:rPr>
          <w:rFonts w:hint="eastAsia" w:cs="Times New Roman"/>
          <w:szCs w:val="32"/>
        </w:rPr>
        <w:t>，</w:t>
      </w:r>
      <w:r>
        <w:rPr>
          <w:rFonts w:cs="Times New Roman"/>
          <w:szCs w:val="32"/>
        </w:rPr>
        <w:t>地质灾害、洪涝灾害、森林火灾等自然灾害风险监测预警全覆盖，形成基础信息库和风险隐患数据库。</w:t>
      </w:r>
    </w:p>
    <w:p>
      <w:pPr>
        <w:ind w:firstLine="643"/>
        <w:rPr>
          <w:rFonts w:cs="Times New Roman"/>
          <w:szCs w:val="32"/>
        </w:rPr>
      </w:pPr>
      <w:r>
        <w:rPr>
          <w:rFonts w:cs="Times New Roman"/>
          <w:b/>
          <w:bCs/>
        </w:rPr>
        <w:t>深化</w:t>
      </w:r>
      <w:r>
        <w:rPr>
          <w:rFonts w:cs="Times New Roman"/>
          <w:b/>
          <w:bCs/>
          <w:szCs w:val="32"/>
        </w:rPr>
        <w:t>重点领域综合治理</w:t>
      </w:r>
      <w:r>
        <w:rPr>
          <w:rFonts w:cs="Times New Roman"/>
          <w:b/>
          <w:bCs/>
        </w:rPr>
        <w:t>。</w:t>
      </w:r>
      <w:r>
        <w:rPr>
          <w:rFonts w:cs="Times New Roman"/>
          <w:szCs w:val="32"/>
        </w:rPr>
        <w:t>加强安全生产责任制落实，建立全员安全生产责任制和各岗位最新安全履责清单，从高危企业、道路交通、乡村建设、建筑施工等重点领域提档升级，实施</w:t>
      </w:r>
      <w:r>
        <w:rPr>
          <w:rFonts w:hint="eastAsia" w:cs="Times New Roman"/>
          <w:szCs w:val="32"/>
        </w:rPr>
        <w:t>消防工程、电动车安全、有限空间作业等</w:t>
      </w:r>
      <w:r>
        <w:rPr>
          <w:rFonts w:cs="Times New Roman"/>
          <w:szCs w:val="32"/>
        </w:rPr>
        <w:t>重要领域专项整治。消防安全方面，完善消防安全网格化管理体系，全面推进企业消防安全网格化规范管理，落实企业消防安全主体责任。</w:t>
      </w:r>
      <w:bookmarkStart w:id="37" w:name="_Hlk108380741"/>
      <w:r>
        <w:rPr>
          <w:rFonts w:hint="eastAsia" w:cs="Times New Roman"/>
          <w:szCs w:val="32"/>
        </w:rPr>
        <w:t>燃气</w:t>
      </w:r>
      <w:r>
        <w:rPr>
          <w:rFonts w:cs="Times New Roman"/>
          <w:szCs w:val="32"/>
        </w:rPr>
        <w:t>安全方面，落实</w:t>
      </w:r>
      <w:r>
        <w:rPr>
          <w:rFonts w:hint="eastAsia" w:cs="Times New Roman"/>
          <w:szCs w:val="32"/>
        </w:rPr>
        <w:t>燃气企业落实主体责任，将人防、物防和技防有机结合，加大燃气安全资金投入，加强一线员工业务培训，提供优质安全供气服务；行业主管部门和属地要履职尽责，抓好燃气安全隐患排查整治，特别是农村地区要落实燃气安全协管员和企业驻村安全员制度，强化入户安检和燃气安全宣传，坚决守住燃气安全底线。</w:t>
      </w:r>
      <w:bookmarkEnd w:id="37"/>
      <w:r>
        <w:rPr>
          <w:rFonts w:cs="Times New Roman"/>
          <w:szCs w:val="32"/>
        </w:rPr>
        <w:t>交通运输方面，强化道路交通安全监管，加强校车、农村客运班车等安全管控，加大重点路段、危险路段和农村道路路面安全管控力度，深入实施公路安全生命防护工程、危旧桥（隧）改造工程，加强连续长陡下坡、急弯陡坡等隐患路段整治。建筑领域方面，</w:t>
      </w:r>
      <w:r>
        <w:rPr>
          <w:rFonts w:hint="eastAsia" w:cs="Times New Roman"/>
          <w:szCs w:val="32"/>
        </w:rPr>
        <w:t>对片区内城乡所有自建房进行排查摸底，</w:t>
      </w:r>
      <w:r>
        <w:rPr>
          <w:rFonts w:cs="Times New Roman"/>
          <w:szCs w:val="32"/>
        </w:rPr>
        <w:t>加强农村危房改造治理及农村建房施工审批，</w:t>
      </w:r>
      <w:r>
        <w:rPr>
          <w:rFonts w:hint="eastAsia" w:cs="Times New Roman"/>
          <w:szCs w:val="32"/>
        </w:rPr>
        <w:t>在继续推进农村房屋安全隐患排查整治工作的基础上，突出人员密集、涉及公共安全的经营性自建房的摸排。</w:t>
      </w:r>
      <w:r>
        <w:rPr>
          <w:rFonts w:cs="Times New Roman"/>
          <w:szCs w:val="32"/>
        </w:rPr>
        <w:t>严格落实建筑施工安全管理各方主体责任，实施建筑行业防范高处坠落、施工坍塌等专项治理行动。工贸企业方面，健全工贸行业安全生产责任体系、责任清单，着力提升安全风险辨识和有效管控能力，加强对企业构建双重预防机制的督促检查与指导。</w:t>
      </w:r>
    </w:p>
    <w:p>
      <w:pPr>
        <w:pStyle w:val="2"/>
        <w:ind w:firstLine="643"/>
        <w:rPr>
          <w:rFonts w:ascii="Times New Roman" w:hAnsi="Times New Roman" w:eastAsia="仿宋" w:cs="Times New Roman"/>
          <w:sz w:val="32"/>
          <w:szCs w:val="32"/>
        </w:rPr>
      </w:pPr>
      <w:r>
        <w:rPr>
          <w:rFonts w:hint="eastAsia" w:ascii="Times New Roman" w:hAnsi="Times New Roman" w:eastAsia="仿宋" w:cs="Times New Roman"/>
          <w:b/>
          <w:bCs/>
          <w:sz w:val="32"/>
          <w:szCs w:val="32"/>
        </w:rPr>
        <w:t>强化部门间统筹协调。</w:t>
      </w:r>
      <w:r>
        <w:rPr>
          <w:rFonts w:hint="eastAsia" w:ascii="Times New Roman" w:hAnsi="Times New Roman" w:eastAsia="仿宋" w:cs="Times New Roman"/>
          <w:sz w:val="32"/>
          <w:szCs w:val="32"/>
        </w:rPr>
        <w:t>加强气象、住建、交通、消防、自规、应急等多部门间的统筹协调，整合不同部门间对安全生产重点行业领域监管。要进一步强化组织领导，加大统筹协调，坚持问题导向，细化责任分工，落实长效机制，加强督导督查，完善协调机制。</w:t>
      </w:r>
    </w:p>
    <w:p>
      <w:pPr>
        <w:pBdr>
          <w:top w:val="single" w:color="auto" w:sz="4" w:space="1"/>
          <w:left w:val="single" w:color="auto" w:sz="4" w:space="4"/>
          <w:bottom w:val="single" w:color="auto" w:sz="4" w:space="1"/>
          <w:right w:val="single" w:color="auto" w:sz="4" w:space="4"/>
        </w:pBdr>
        <w:ind w:firstLine="0" w:firstLineChars="0"/>
        <w:jc w:val="center"/>
        <w:rPr>
          <w:rFonts w:cs="Times New Roman"/>
          <w:szCs w:val="32"/>
        </w:rPr>
      </w:pPr>
      <w:r>
        <w:rPr>
          <w:rFonts w:cs="Times New Roman"/>
          <w:szCs w:val="32"/>
        </w:rPr>
        <w:t>专栏2：安全生产风险防控重点工程</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1</w:t>
      </w:r>
      <w:r>
        <w:rPr>
          <w:rFonts w:ascii="Times New Roman" w:hAnsi="Times New Roman" w:eastAsia="仿宋" w:cs="Times New Roman"/>
          <w:sz w:val="32"/>
          <w:szCs w:val="32"/>
        </w:rPr>
        <w:t>.</w:t>
      </w:r>
      <w:r>
        <w:rPr>
          <w:rFonts w:hint="eastAsia" w:ascii="Times New Roman" w:hAnsi="Times New Roman" w:eastAsia="仿宋" w:cs="Times New Roman"/>
          <w:sz w:val="32"/>
          <w:szCs w:val="32"/>
        </w:rPr>
        <w:t>安全执法监察监管能力</w:t>
      </w:r>
      <w:r>
        <w:rPr>
          <w:rFonts w:ascii="Times New Roman" w:hAnsi="Times New Roman" w:eastAsia="仿宋" w:cs="Times New Roman"/>
          <w:sz w:val="32"/>
          <w:szCs w:val="32"/>
        </w:rPr>
        <w:t>提升工程</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建设内容：各镇配备安全生产监管执法人员，配齐安全监察监测专用车辆、个体防护装备、专用移动执法装备等。</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建设地点：</w:t>
      </w:r>
      <w:r>
        <w:rPr>
          <w:rFonts w:hint="eastAsia" w:ascii="Times New Roman" w:hAnsi="Times New Roman" w:eastAsia="仿宋" w:cs="Times New Roman"/>
          <w:sz w:val="32"/>
          <w:szCs w:val="32"/>
        </w:rPr>
        <w:t>拦江镇、保石镇、中兴镇、白马镇</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责任单位：区应急管理局，各镇党委和人民政府</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资金估算：</w:t>
      </w:r>
      <w:r>
        <w:rPr>
          <w:rFonts w:hint="eastAsia" w:ascii="Times New Roman" w:hAnsi="Times New Roman" w:eastAsia="仿宋" w:cs="Times New Roman"/>
          <w:sz w:val="32"/>
          <w:szCs w:val="32"/>
        </w:rPr>
        <w:t>2</w:t>
      </w:r>
      <w:r>
        <w:rPr>
          <w:rFonts w:ascii="Times New Roman" w:hAnsi="Times New Roman" w:eastAsia="仿宋" w:cs="Times New Roman"/>
          <w:sz w:val="32"/>
          <w:szCs w:val="32"/>
        </w:rPr>
        <w:t>0</w:t>
      </w:r>
      <w:r>
        <w:rPr>
          <w:rFonts w:hint="eastAsia" w:ascii="Times New Roman" w:hAnsi="Times New Roman" w:eastAsia="仿宋" w:cs="Times New Roman"/>
          <w:sz w:val="32"/>
          <w:szCs w:val="32"/>
        </w:rPr>
        <w:t>0万/年，</w:t>
      </w:r>
      <w:r>
        <w:rPr>
          <w:rFonts w:ascii="Times New Roman" w:hAnsi="Times New Roman" w:eastAsia="仿宋" w:cs="Times New Roman"/>
          <w:sz w:val="32"/>
          <w:szCs w:val="32"/>
        </w:rPr>
        <w:t>总计投入1000万</w:t>
      </w:r>
      <w:r>
        <w:rPr>
          <w:rFonts w:hint="eastAsia" w:ascii="Times New Roman" w:hAnsi="Times New Roman" w:eastAsia="仿宋" w:cs="Times New Roman"/>
          <w:sz w:val="32"/>
          <w:szCs w:val="32"/>
        </w:rPr>
        <w:t>元</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完成期限：2025年。</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2.安全生产基础能力提升工程</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建设内容：</w:t>
      </w:r>
      <w:r>
        <w:rPr>
          <w:rFonts w:hint="eastAsia" w:ascii="Times New Roman" w:hAnsi="Times New Roman" w:eastAsia="仿宋" w:cs="Times New Roman"/>
          <w:sz w:val="32"/>
          <w:szCs w:val="32"/>
        </w:rPr>
        <w:t>建设集智慧安防、智慧消防、安全隐患分布电子地图等为一体的安全监管平台，实现片区内安全信息化监管；在生产企业关键岗位、高危作业、特种作业等各环节建设在线视频监控及智能报警装置。</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建设地点：</w:t>
      </w:r>
      <w:r>
        <w:rPr>
          <w:rFonts w:hint="eastAsia" w:ascii="Times New Roman" w:hAnsi="Times New Roman" w:eastAsia="仿宋" w:cs="Times New Roman"/>
          <w:sz w:val="32"/>
          <w:szCs w:val="32"/>
        </w:rPr>
        <w:t>拦江镇、保石镇、中兴镇、白马镇</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责任单位：区应急管理局，各镇党委和人民政府</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资金估算：10</w:t>
      </w:r>
      <w:r>
        <w:rPr>
          <w:rFonts w:hint="eastAsia" w:ascii="Times New Roman" w:hAnsi="Times New Roman" w:eastAsia="仿宋" w:cs="Times New Roman"/>
          <w:sz w:val="32"/>
          <w:szCs w:val="32"/>
        </w:rPr>
        <w:t>0万/年，</w:t>
      </w:r>
      <w:r>
        <w:rPr>
          <w:rFonts w:ascii="Times New Roman" w:hAnsi="Times New Roman" w:eastAsia="仿宋" w:cs="Times New Roman"/>
          <w:sz w:val="32"/>
          <w:szCs w:val="32"/>
        </w:rPr>
        <w:t>总计投入500万</w:t>
      </w:r>
      <w:r>
        <w:rPr>
          <w:rFonts w:hint="eastAsia" w:ascii="Times New Roman" w:hAnsi="Times New Roman" w:eastAsia="仿宋" w:cs="Times New Roman"/>
          <w:sz w:val="32"/>
          <w:szCs w:val="32"/>
        </w:rPr>
        <w:t>元</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完成期限：2025年。</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3</w:t>
      </w:r>
      <w:r>
        <w:rPr>
          <w:rFonts w:hint="eastAsia" w:ascii="Times New Roman" w:hAnsi="Times New Roman" w:eastAsia="仿宋" w:cs="Times New Roman"/>
          <w:sz w:val="32"/>
          <w:szCs w:val="32"/>
        </w:rPr>
        <w:t>.重点行业领域安全监管服务</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建设内容：通过政府购买专业技术服务，聘请行业领域专家辅助进行工贸、燃气、建筑施工、道路交通、消防等重点行业领域安全监管和隐患排查等工作。</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建设地点：拦江镇、保石镇、中兴镇、白马镇</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责任单位：区应急管理局，</w:t>
      </w:r>
      <w:r>
        <w:rPr>
          <w:rFonts w:ascii="Times New Roman" w:hAnsi="Times New Roman" w:eastAsia="仿宋" w:cs="Times New Roman"/>
          <w:sz w:val="32"/>
          <w:szCs w:val="32"/>
        </w:rPr>
        <w:t>各镇党委和人民政府</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资金估算：</w:t>
      </w:r>
      <w:r>
        <w:rPr>
          <w:rFonts w:ascii="Times New Roman" w:hAnsi="Times New Roman" w:eastAsia="仿宋" w:cs="Times New Roman"/>
          <w:sz w:val="32"/>
          <w:szCs w:val="32"/>
        </w:rPr>
        <w:t>5</w:t>
      </w:r>
      <w:r>
        <w:rPr>
          <w:rFonts w:hint="eastAsia" w:ascii="Times New Roman" w:hAnsi="Times New Roman" w:eastAsia="仿宋" w:cs="Times New Roman"/>
          <w:sz w:val="32"/>
          <w:szCs w:val="32"/>
        </w:rPr>
        <w:t>0万/年，总计投入</w:t>
      </w:r>
      <w:r>
        <w:rPr>
          <w:rFonts w:ascii="Times New Roman" w:hAnsi="Times New Roman" w:eastAsia="仿宋" w:cs="Times New Roman"/>
          <w:sz w:val="32"/>
          <w:szCs w:val="32"/>
        </w:rPr>
        <w:t>25</w:t>
      </w:r>
      <w:r>
        <w:rPr>
          <w:rFonts w:hint="eastAsia" w:ascii="Times New Roman" w:hAnsi="Times New Roman" w:eastAsia="仿宋" w:cs="Times New Roman"/>
          <w:sz w:val="32"/>
          <w:szCs w:val="32"/>
        </w:rPr>
        <w:t>0万元</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完成时限：2025年。</w:t>
      </w:r>
    </w:p>
    <w:p>
      <w:pPr>
        <w:pStyle w:val="4"/>
        <w:rPr>
          <w:rFonts w:cs="Times New Roman"/>
        </w:rPr>
      </w:pPr>
      <w:bookmarkStart w:id="38" w:name="_Toc19143"/>
      <w:r>
        <w:rPr>
          <w:rFonts w:cs="Times New Roman"/>
        </w:rPr>
        <w:t>（三）</w:t>
      </w:r>
      <w:bookmarkEnd w:id="36"/>
      <w:r>
        <w:rPr>
          <w:rFonts w:cs="Times New Roman"/>
        </w:rPr>
        <w:t>自然灾害防治方面</w:t>
      </w:r>
      <w:bookmarkEnd w:id="38"/>
    </w:p>
    <w:p>
      <w:pPr>
        <w:ind w:firstLine="643"/>
        <w:rPr>
          <w:rFonts w:cs="Times New Roman"/>
          <w:szCs w:val="32"/>
        </w:rPr>
      </w:pPr>
      <w:bookmarkStart w:id="39" w:name="_Toc98773646"/>
      <w:r>
        <w:rPr>
          <w:rFonts w:cs="Times New Roman"/>
          <w:b/>
          <w:bCs/>
          <w:szCs w:val="32"/>
        </w:rPr>
        <w:t>加强多灾种和灾害链综合监测</w:t>
      </w:r>
      <w:r>
        <w:rPr>
          <w:rFonts w:cs="Times New Roman"/>
          <w:b/>
          <w:bCs/>
        </w:rPr>
        <w:t>。</w:t>
      </w:r>
      <w:r>
        <w:rPr>
          <w:rFonts w:cs="Times New Roman"/>
          <w:szCs w:val="32"/>
        </w:rPr>
        <w:t>强化基层自然灾害信息员队伍建设，建设山洪、气象等自然灾害综合监测预警系统，积极推进监测预警基础设施建设，加强风险监测数据分析处理，提升全域、全要素感知的自然灾害综合监测预警能力。整合信息发布资源，完善灾害预警信息发布渠道，提升预警信息发布的覆盖面、精准度和时效性。强化对地质灾害、山洪灾害、极端天气、森林火灾等主要自然灾害的预警预报及防御基础设施建设。针对片区主要自然灾害种类和特点，加强对重点区域的自然灾害监测预警预报基础设施建设，完善地质灾害预警系统、水位雨量监测站、森林火灾</w:t>
      </w:r>
      <w:r>
        <w:rPr>
          <w:rFonts w:hint="eastAsia" w:cs="Times New Roman"/>
          <w:szCs w:val="32"/>
        </w:rPr>
        <w:t>“</w:t>
      </w:r>
      <w:r>
        <w:rPr>
          <w:rFonts w:cs="Times New Roman"/>
          <w:szCs w:val="32"/>
        </w:rPr>
        <w:t>两点一哨</w:t>
      </w:r>
      <w:r>
        <w:rPr>
          <w:rFonts w:hint="eastAsia" w:cs="Times New Roman"/>
          <w:szCs w:val="32"/>
        </w:rPr>
        <w:t>”</w:t>
      </w:r>
      <w:r>
        <w:rPr>
          <w:rFonts w:cs="Times New Roman"/>
          <w:szCs w:val="32"/>
        </w:rPr>
        <w:t>，建设森林防火瞭望视频平台，实现在重要数据进行实时监测，提升预警信息时效性和准确性，扩大监测预警覆盖范围。加强与气象部门和林业部门联动，在森林防火期向相关责任单位每日定时发布森林火险气象等级预报，积极开展人工增雨作业，提高林区降水量和植被潮湿率，降低山火可能性和森林火险等级。</w:t>
      </w:r>
    </w:p>
    <w:p>
      <w:pPr>
        <w:ind w:firstLine="643"/>
        <w:rPr>
          <w:rFonts w:cs="Times New Roman"/>
          <w:szCs w:val="32"/>
        </w:rPr>
      </w:pPr>
      <w:r>
        <w:rPr>
          <w:rFonts w:cs="Times New Roman"/>
          <w:b/>
          <w:bCs/>
          <w:szCs w:val="32"/>
        </w:rPr>
        <w:t>提高自然灾害工程设防建设标准</w:t>
      </w:r>
      <w:r>
        <w:rPr>
          <w:rFonts w:cs="Times New Roman"/>
          <w:b/>
          <w:bCs/>
        </w:rPr>
        <w:t>。</w:t>
      </w:r>
      <w:r>
        <w:rPr>
          <w:rFonts w:hint="eastAsia"/>
        </w:rPr>
        <w:t>镇区按20年一遇防洪标准设防，雨水管渠设计标准按照2-3年一遇设计，地下通道和下沉式广场按照20年一遇设计。聚居点按照10年一遇防洪标准设防。</w:t>
      </w:r>
      <w:r>
        <w:rPr>
          <w:rFonts w:cs="Times New Roman"/>
          <w:szCs w:val="32"/>
        </w:rPr>
        <w:t>开展片区森林防火、防洪抗汛、地质灾害基础设施建设，增强自然灾害防御能力。提升公共服务设施和居民住宅防灾减灾水平，做好受地质灾害影响较大区域的灾害避险搬迁安置工作，加强数字化地质灾害监测预警建设，确保监测网络对区内</w:t>
      </w:r>
      <w:r>
        <w:rPr>
          <w:rFonts w:hint="eastAsia" w:cs="Times New Roman"/>
          <w:szCs w:val="32"/>
        </w:rPr>
        <w:t>7</w:t>
      </w:r>
      <w:r>
        <w:rPr>
          <w:rFonts w:cs="Times New Roman"/>
          <w:szCs w:val="32"/>
        </w:rPr>
        <w:t>处地质灾害隐患点的全覆盖，坚持主动防灾避险的策略，对险情重、治理难度大、治理成本高的受威胁人员实施避险搬迁。加快防洪抗旱工程达标建设，按照远近结合、易后难的原则，制定阶段工程措施方案，推进片区堤防补短板、河道疏浚、水库加固等工程建设。加强火源管理，持续推进森林消防蓄水池、防火隔离带、应急道路等基础设施建设。对重点部位、环节、时段设立临时检查站，禁止一切火源进入山林，最大限度减少森林火灾隐患。</w:t>
      </w:r>
    </w:p>
    <w:p>
      <w:pPr>
        <w:ind w:firstLine="643"/>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加强自然灾害防治。</w:t>
      </w:r>
      <w:r>
        <w:rPr>
          <w:rFonts w:hint="eastAsia" w:cs="Times New Roman"/>
          <w:szCs w:val="32"/>
        </w:rPr>
        <w:t>统筹协调自规、住建、交通等部门做好自然灾害防治重点工程落地实施，</w:t>
      </w:r>
      <w:r>
        <w:rPr>
          <w:rFonts w:cs="Times New Roman"/>
          <w:color w:val="000000" w:themeColor="text1"/>
          <w14:textFill>
            <w14:solidFill>
              <w14:schemeClr w14:val="tx1"/>
            </w14:solidFill>
          </w14:textFill>
        </w:rPr>
        <w:t>健全自然灾害防治体系，加快推进防汛抗旱水利提升、地质灾害综合治理和避险移民搬迁、自然灾害监测预警信息化、自然灾害防治技术装备现代化等自然灾害防治工程建设。</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山洪灾害方面：完善山洪灾害非工程措施，实施危险区动态和分级管理，推动监测预警平台集约化应用，持续开展群测群防体系建设，加强重点山洪沟治理，全面提升山洪灾害防御能力。突出</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以人为本，预防为主，治理、避让相结合</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以非工程措施为主，工程措施相结合</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，贯彻</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全面规划、统筹兼顾、标本兼治、综合治理</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，坚持</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突出重点、兼顾一般</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的综合防治原则。根据片区山洪灾害防治特点，选取山洪灾害频发、影响严重的山区河道进行治理。</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质灾害方面：健全片区地质灾害隐患点的监测预警系统建设，全面推进隐患点监测、预警、隐患排查等工作。根据各地质灾害隐患点特点，采取避险搬迁、除危排险、工程治理等措施对地质灾害隐患点进行整治，降低地质灾害风险。持续推进应急避难场所、通道标准化建设和升级改造，提升重要基础设施和基本公共服务设施的灾害设防水平。</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森林火灾方面：建设完善森林火灾应急道路和防火阻隔系统。建立地方专业扑火队伍和地方综合应急队伍。建设森林防灭火信息指挥中心、乡镇级森林防灭火信息监测站，新建林火视频监控系统、林区车辆及行人监控系统，新建和改建瞭望塔等。建设防灭火道路，通过在重点林区关键地段新建森林消防水池等方式加强消防基础设施建设，提高灭火能力。</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气象灾害方面：完善</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政府主导、部门联动、社会参与</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气象灾害防御体系，结合区级气象机构综合改革，设立气象台、气象服务中心，实现气象灾害防御体系由城市向农村的延伸，建立分工明确的多部门协调联动的气象灾害预警和应急响应机制。增强气象装备保障维护能力；建设综合气象观测系统运行监控平台、增强气象装备维护维修能力；加强人工影响天气工作基础设施建设，提高农业气象灾害防御能力。</w:t>
      </w:r>
    </w:p>
    <w:p>
      <w:pPr>
        <w:pStyle w:val="2"/>
        <w:ind w:firstLine="640"/>
        <w:rPr>
          <w:rFonts w:ascii="Times New Roman" w:hAnsi="Times New Roman" w:eastAsia="仿宋" w:cs="Times New Roman"/>
          <w:color w:val="000000" w:themeColor="text1"/>
          <w:sz w:val="32"/>
          <w:szCs w:val="22"/>
          <w14:textFill>
            <w14:solidFill>
              <w14:schemeClr w14:val="tx1"/>
            </w14:solidFill>
          </w14:textFill>
        </w:rPr>
      </w:pPr>
      <w:r>
        <w:rPr>
          <w:rFonts w:hint="eastAsia" w:ascii="Times New Roman" w:hAnsi="Times New Roman" w:eastAsia="仿宋" w:cs="Times New Roman"/>
          <w:color w:val="000000" w:themeColor="text1"/>
          <w:sz w:val="32"/>
          <w:szCs w:val="22"/>
          <w14:textFill>
            <w14:solidFill>
              <w14:schemeClr w14:val="tx1"/>
            </w14:solidFill>
          </w14:textFill>
        </w:rPr>
        <w:t>防震减灾方面。加强地震预警能力建设，推进重点场所部署地震预警信息发布终端。严格执行国家标准《中国地震动参数区划图》，片区地震动峰值加速度为0.05g，抗震设防基本烈度为6度，普通民用建筑按6度标准设防，特殊公共建筑及生命线工程提高 1 度设防。一般建设工程按区划图或地震小区划提供的抗震设防要求进行抗震设防。医院、学校等重大建设工程、易产生严重次生灾害工程应进行地震安全性评价工作，并按地震安全性评价结果进行抗震设防。推进场镇老旧小区房屋加固，实施农户农村危房改造，提高抗震防灾能力。</w:t>
      </w:r>
    </w:p>
    <w:bookmarkEnd w:id="39"/>
    <w:p>
      <w:pPr>
        <w:pStyle w:val="4"/>
        <w:rPr>
          <w:rFonts w:cs="Times New Roman"/>
        </w:rPr>
      </w:pPr>
      <w:bookmarkStart w:id="40" w:name="_Toc19294"/>
      <w:bookmarkStart w:id="41" w:name="_Toc10813"/>
      <w:bookmarkStart w:id="42" w:name="_Toc98773647"/>
      <w:r>
        <w:rPr>
          <w:rFonts w:cs="Times New Roman"/>
        </w:rPr>
        <w:t>（四）</w:t>
      </w:r>
      <w:bookmarkEnd w:id="40"/>
      <w:r>
        <w:rPr>
          <w:rFonts w:hint="eastAsia" w:cs="Times New Roman"/>
        </w:rPr>
        <w:t>基层应急</w:t>
      </w:r>
      <w:r>
        <w:rPr>
          <w:rFonts w:cs="Times New Roman"/>
        </w:rPr>
        <w:t>能力建设方面</w:t>
      </w:r>
      <w:bookmarkEnd w:id="41"/>
    </w:p>
    <w:bookmarkEnd w:id="42"/>
    <w:p>
      <w:pPr>
        <w:pStyle w:val="37"/>
        <w:spacing w:line="550" w:lineRule="exact"/>
        <w:ind w:firstLine="643"/>
        <w:rPr>
          <w:color w:val="000000" w:themeColor="text1"/>
          <w:szCs w:val="32"/>
          <w14:textFill>
            <w14:solidFill>
              <w14:schemeClr w14:val="tx1"/>
            </w14:solidFill>
          </w14:textFill>
        </w:rPr>
      </w:pPr>
      <w:bookmarkStart w:id="43" w:name="_Hlk99789326"/>
      <w:bookmarkStart w:id="44" w:name="_Toc98773649"/>
      <w:r>
        <w:rPr>
          <w:rFonts w:eastAsia="仿宋"/>
          <w:b/>
          <w:bCs/>
        </w:rPr>
        <w:t>提升应急队伍能力。</w:t>
      </w:r>
      <w:r>
        <w:rPr>
          <w:rFonts w:eastAsia="仿宋"/>
        </w:rPr>
        <w:t>加强片区专职消防队伍正规化、专业化、职业化建设，优化队伍先进适用装备配备，提高极端条件下综合救援能力。发展志愿者消防员，建立代训代管机制，实行联勤联管联训联战。加强</w:t>
      </w:r>
      <w:r>
        <w:rPr>
          <w:rFonts w:hint="eastAsia" w:eastAsia="仿宋"/>
        </w:rPr>
        <w:t>各</w:t>
      </w:r>
      <w:r>
        <w:rPr>
          <w:rFonts w:eastAsia="仿宋"/>
        </w:rPr>
        <w:t>镇</w:t>
      </w:r>
      <w:r>
        <w:rPr>
          <w:rFonts w:hint="eastAsia" w:eastAsia="仿宋"/>
        </w:rPr>
        <w:t>综合</w:t>
      </w:r>
      <w:r>
        <w:rPr>
          <w:rFonts w:eastAsia="仿宋"/>
        </w:rPr>
        <w:t>应急队和村（社区）应急分队建设，形成</w:t>
      </w:r>
      <w:r>
        <w:rPr>
          <w:rFonts w:hint="eastAsia" w:eastAsia="仿宋"/>
        </w:rPr>
        <w:t>“</w:t>
      </w:r>
      <w:r>
        <w:rPr>
          <w:rFonts w:eastAsia="仿宋"/>
        </w:rPr>
        <w:t>一主两辅</w:t>
      </w:r>
      <w:r>
        <w:rPr>
          <w:rFonts w:hint="eastAsia" w:eastAsia="仿宋"/>
        </w:rPr>
        <w:t>”</w:t>
      </w:r>
      <w:r>
        <w:rPr>
          <w:rFonts w:eastAsia="仿宋"/>
        </w:rPr>
        <w:t>基层应急力量体系，定期与政府专职消防队开展联合应急演练，强化应急救援联合作战能力，开展灾害事故先期处置。依托村（社区）应急分队，建立村（社区）微型消防救援站，开展初期火灾扑救。将灾害信息员、地质灾害监测员、监测预警人员、护林员等综合性业务培训，熟悉掌握各类灾情信息统计报送和灾情核查等业务，鼓励</w:t>
      </w:r>
      <w:r>
        <w:rPr>
          <w:rFonts w:hint="eastAsia" w:eastAsia="仿宋"/>
        </w:rPr>
        <w:t>“</w:t>
      </w:r>
      <w:r>
        <w:rPr>
          <w:rFonts w:eastAsia="仿宋"/>
        </w:rPr>
        <w:t>一员多职</w:t>
      </w:r>
      <w:r>
        <w:rPr>
          <w:rFonts w:hint="eastAsia" w:eastAsia="仿宋"/>
        </w:rPr>
        <w:t>”</w:t>
      </w:r>
      <w:r>
        <w:rPr>
          <w:rFonts w:eastAsia="仿宋"/>
        </w:rPr>
        <w:t>。为应急救援队伍配备消防车、卫星电话、无线电通讯等信息传输类装备，配备便携式通信箱等现场指挥类装备，实现多种通信终端融合通联，确保断网、断电、断路等极端条件下通信畅通，为应急救援提供全地域、全过程、全天候通信保障。</w:t>
      </w:r>
    </w:p>
    <w:bookmarkEnd w:id="43"/>
    <w:p>
      <w:pPr>
        <w:ind w:firstLine="643"/>
        <w:rPr>
          <w:rFonts w:cs="Times New Roman"/>
        </w:rPr>
      </w:pPr>
      <w:bookmarkStart w:id="45" w:name="_Toc28937"/>
      <w:r>
        <w:rPr>
          <w:rFonts w:cs="Times New Roman"/>
          <w:b/>
          <w:bCs/>
          <w:szCs w:val="32"/>
        </w:rPr>
        <w:t>优化应急预案</w:t>
      </w:r>
      <w:bookmarkEnd w:id="45"/>
      <w:r>
        <w:rPr>
          <w:rFonts w:cs="Times New Roman"/>
          <w:b/>
          <w:bCs/>
          <w:szCs w:val="32"/>
        </w:rPr>
        <w:t>管理。</w:t>
      </w:r>
      <w:r>
        <w:rPr>
          <w:rFonts w:cs="Times New Roman"/>
        </w:rPr>
        <w:t>以区突发事件总体应急预案为遵循，结合本地安全风险、灾害种类实际，科学构建灾害模拟情景，编制修订</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w:t>
      </w:r>
      <w:r>
        <w:rPr>
          <w:rFonts w:cs="Times New Roman"/>
        </w:rPr>
        <w:t>级综合应急预案、专项处置方案，各村（社区）编制修订处置方案或工作流程，加强预案审批、备案等流程信息化管理。在山洪灾害、地质灾害易发区开展灾害风险分析和应急能力评估，制定自然灾害专项应急救援行动方案。加强应急预案演练，鼓励采用形式多样、节约高效的演练形式，推动常态化开展灾害事故应急预案演练。</w:t>
      </w:r>
    </w:p>
    <w:p>
      <w:pPr>
        <w:ind w:firstLine="643"/>
        <w:rPr>
          <w:rFonts w:cs="Times New Roman"/>
          <w:color w:val="4472C4" w:themeColor="accent1"/>
          <w14:textFill>
            <w14:solidFill>
              <w14:schemeClr w14:val="accent1"/>
            </w14:solidFill>
          </w14:textFill>
        </w:rPr>
      </w:pPr>
      <w:r>
        <w:rPr>
          <w:rFonts w:cs="Times New Roman"/>
          <w:b/>
          <w:bCs/>
        </w:rPr>
        <w:t>应急物资储备库（点）建设</w:t>
      </w:r>
      <w:r>
        <w:rPr>
          <w:rFonts w:cs="Times New Roman"/>
          <w:b/>
          <w:bCs/>
          <w:szCs w:val="32"/>
        </w:rPr>
        <w:t>。</w:t>
      </w:r>
      <w:r>
        <w:rPr>
          <w:rFonts w:cs="Times New Roman"/>
        </w:rPr>
        <w:t>全面推进应急物资协议储备、产能布局和紧急采购等工作，建立政府储备与社会储备相结合、实物储备与生产能力储备相结合、集中储备与分散储备相结合的多层次、多样化的应急物资储备方式，完善片区应急物资储备制度。根据片区防灾减灾和应急救援物资储备需求，加强应急物资与装备配备力度，增加应急物资储备，加强应急物资装备的定期维护和保养，实行动态管理，保证物资的及时补充和更新。</w:t>
      </w:r>
      <w:r>
        <w:rPr>
          <w:rFonts w:cs="Times New Roman"/>
          <w:szCs w:val="32"/>
        </w:rPr>
        <w:t>急物资储备点：各</w:t>
      </w:r>
      <w:r>
        <w:rPr>
          <w:rFonts w:cs="Times New Roman"/>
          <w:color w:val="000000" w:themeColor="text1"/>
          <w:szCs w:val="32"/>
          <w14:textFill>
            <w14:solidFill>
              <w14:schemeClr w14:val="tx1"/>
            </w14:solidFill>
          </w14:textFill>
        </w:rPr>
        <w:t>镇</w:t>
      </w:r>
      <w:r>
        <w:rPr>
          <w:rFonts w:cs="Times New Roman"/>
          <w:szCs w:val="32"/>
        </w:rPr>
        <w:t>根据现有应急物资储备点面积、物资储备种类等现状，改造应急物资储备点。配备储物架、增加防潮、防虫、防火等设施设备。采取以租代储、实物储备及购买服务等形式，加强防汛、地质灾害、森林防灭火、应急救援、基本生活保障等应急物资储备。依托专职消防站等建立应急物资储备点，适时前置应急物资。制定家庭应急物资储备推荐清单，引导群众做好家庭应急物资储备。</w:t>
      </w:r>
    </w:p>
    <w:p>
      <w:pPr>
        <w:ind w:firstLine="643"/>
        <w:rPr>
          <w:rFonts w:cs="Times New Roman"/>
          <w:color w:val="000000" w:themeColor="text1"/>
          <w:szCs w:val="32"/>
          <w14:textFill>
            <w14:solidFill>
              <w14:schemeClr w14:val="tx1"/>
            </w14:solidFill>
          </w14:textFill>
        </w:rPr>
      </w:pPr>
      <w:r>
        <w:rPr>
          <w:rFonts w:cs="Times New Roman"/>
          <w:b/>
          <w:bCs/>
          <w:szCs w:val="32"/>
        </w:rPr>
        <w:t>应急避难场所建设。</w:t>
      </w:r>
      <w:r>
        <w:rPr>
          <w:rFonts w:cs="Times New Roman"/>
        </w:rPr>
        <w:t>充分利用学校、广场、绿地、社会停车场等</w:t>
      </w:r>
      <w:r>
        <w:rPr>
          <w:rFonts w:cs="Times New Roman"/>
          <w:color w:val="000000" w:themeColor="text1"/>
          <w:szCs w:val="32"/>
          <w14:textFill>
            <w14:solidFill>
              <w14:schemeClr w14:val="tx1"/>
            </w14:solidFill>
          </w14:textFill>
        </w:rPr>
        <w:t>共建规范化应急避难场所</w:t>
      </w:r>
      <w:r>
        <w:rPr>
          <w:rFonts w:cs="Times New Roman"/>
        </w:rPr>
        <w:t>，</w:t>
      </w:r>
      <w:r>
        <w:rPr>
          <w:rFonts w:cs="Times New Roman"/>
          <w:color w:val="000000" w:themeColor="text1"/>
          <w:szCs w:val="32"/>
          <w14:textFill>
            <w14:solidFill>
              <w14:schemeClr w14:val="tx1"/>
            </w14:solidFill>
          </w14:textFill>
        </w:rPr>
        <w:t>满足片区聚居点人均避难面积大于1.5</w:t>
      </w:r>
      <w:r>
        <w:rPr>
          <w:rFonts w:hint="eastAsia" w:cs="Times New Roman"/>
          <w:color w:val="000000" w:themeColor="text1"/>
          <w:szCs w:val="32"/>
          <w14:textFill>
            <w14:solidFill>
              <w14:schemeClr w14:val="tx1"/>
            </w14:solidFill>
          </w14:textFill>
        </w:rPr>
        <w:t>m</w:t>
      </w:r>
      <w:r>
        <w:rPr>
          <w:rFonts w:cs="Times New Roman"/>
          <w:color w:val="000000" w:themeColor="text1"/>
          <w:szCs w:val="32"/>
          <w:vertAlign w:val="superscript"/>
          <w14:textFill>
            <w14:solidFill>
              <w14:schemeClr w14:val="tx1"/>
            </w14:solidFill>
          </w14:textFill>
        </w:rPr>
        <w:t>2</w:t>
      </w:r>
      <w:r>
        <w:rPr>
          <w:rFonts w:cs="Times New Roman"/>
        </w:rPr>
        <w:t>，</w:t>
      </w:r>
      <w:r>
        <w:rPr>
          <w:rFonts w:cs="Times New Roman"/>
          <w:color w:val="000000" w:themeColor="text1"/>
          <w:szCs w:val="32"/>
          <w14:textFill>
            <w14:solidFill>
              <w14:schemeClr w14:val="tx1"/>
            </w14:solidFill>
          </w14:textFill>
        </w:rPr>
        <w:t>增加应急避难休息、应急物资分发、应急厕所</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应急医疗、垃圾收集</w:t>
      </w:r>
      <w:r>
        <w:rPr>
          <w:rFonts w:hint="eastAsia" w:cs="Times New Roman"/>
          <w:color w:val="000000" w:themeColor="text1"/>
          <w:szCs w:val="32"/>
          <w14:textFill>
            <w14:solidFill>
              <w14:schemeClr w14:val="tx1"/>
            </w14:solidFill>
          </w14:textFill>
        </w:rPr>
        <w:t>和</w:t>
      </w:r>
      <w:r>
        <w:rPr>
          <w:rFonts w:cs="Times New Roman"/>
          <w:color w:val="000000" w:themeColor="text1"/>
          <w:szCs w:val="32"/>
          <w14:textFill>
            <w14:solidFill>
              <w14:schemeClr w14:val="tx1"/>
            </w14:solidFill>
          </w14:textFill>
        </w:rPr>
        <w:t>应急供水供电等基本设施和功能。</w:t>
      </w:r>
    </w:p>
    <w:p>
      <w:pPr>
        <w:pStyle w:val="37"/>
        <w:spacing w:line="550" w:lineRule="exact"/>
        <w:ind w:firstLine="643"/>
        <w:rPr>
          <w:rFonts w:eastAsia="仿宋"/>
          <w:szCs w:val="32"/>
        </w:rPr>
      </w:pPr>
      <w:r>
        <w:rPr>
          <w:rFonts w:hint="eastAsia" w:eastAsia="仿宋"/>
          <w:b/>
          <w:bCs/>
          <w:szCs w:val="32"/>
        </w:rPr>
        <w:t>特种应急装备储备</w:t>
      </w:r>
      <w:r>
        <w:rPr>
          <w:rFonts w:eastAsia="仿宋"/>
          <w:b/>
          <w:bCs/>
          <w:szCs w:val="32"/>
        </w:rPr>
        <w:t>。</w:t>
      </w:r>
      <w:r>
        <w:rPr>
          <w:rFonts w:hint="eastAsia" w:eastAsia="仿宋"/>
          <w:szCs w:val="32"/>
        </w:rPr>
        <w:t>加大财政保障力度，购买县级各类应急救援物资，同时配备侦测无人机、后勤保障车等，新增对讲机及水下声呐、成像仪等水下搜救设备，有效缓解了救援装备不足的问题，满足机械化、信息化、现代化要求。</w:t>
      </w:r>
    </w:p>
    <w:p>
      <w:pPr>
        <w:pStyle w:val="37"/>
        <w:ind w:firstLine="643"/>
        <w:rPr>
          <w:color w:val="000000" w:themeColor="text1"/>
          <w:szCs w:val="32"/>
          <w14:textFill>
            <w14:solidFill>
              <w14:schemeClr w14:val="tx1"/>
            </w14:solidFill>
          </w14:textFill>
        </w:rPr>
      </w:pPr>
      <w:r>
        <w:rPr>
          <w:rFonts w:eastAsia="仿宋"/>
          <w:b/>
          <w:bCs/>
          <w:szCs w:val="32"/>
        </w:rPr>
        <w:t>专职消防站建设。</w:t>
      </w:r>
      <w:r>
        <w:rPr>
          <w:rFonts w:eastAsia="仿宋"/>
          <w:color w:val="000000" w:themeColor="text1"/>
          <w:szCs w:val="32"/>
          <w14:textFill>
            <w14:solidFill>
              <w14:schemeClr w14:val="tx1"/>
            </w14:solidFill>
          </w14:textFill>
        </w:rPr>
        <w:t>完善片区消防救援能力，</w:t>
      </w:r>
      <w:r>
        <w:rPr>
          <w:rFonts w:hint="eastAsia" w:eastAsia="仿宋"/>
          <w:color w:val="000000" w:themeColor="text1"/>
          <w:szCs w:val="32"/>
          <w14:textFill>
            <w14:solidFill>
              <w14:schemeClr w14:val="tx1"/>
            </w14:solidFill>
          </w14:textFill>
        </w:rPr>
        <w:t>规划建设2处专职消防站，分别位于拦江镇、白马镇，规划2处乡镇小型消防站，分别位于保石镇、中兴镇。按社区、村落设置微型消防站，</w:t>
      </w:r>
      <w:r>
        <w:rPr>
          <w:rFonts w:eastAsia="仿宋"/>
          <w:color w:val="000000" w:themeColor="text1"/>
          <w:szCs w:val="32"/>
          <w14:textFill>
            <w14:solidFill>
              <w14:schemeClr w14:val="tx1"/>
            </w14:solidFill>
          </w14:textFill>
        </w:rPr>
        <w:t>提高片区消防灭火和抢险救援能力，并加强居民自防自救能力培训。</w:t>
      </w:r>
      <w:r>
        <w:rPr>
          <w:rFonts w:hint="eastAsia" w:eastAsia="仿宋"/>
          <w:color w:val="000000" w:themeColor="text1"/>
          <w:szCs w:val="32"/>
          <w14:textFill>
            <w14:solidFill>
              <w14:schemeClr w14:val="tx1"/>
            </w14:solidFill>
          </w14:textFill>
        </w:rPr>
        <w:t>同时镇区重点建筑物也应按要求提高消防栓密度。</w:t>
      </w:r>
    </w:p>
    <w:p>
      <w:pPr>
        <w:pBdr>
          <w:top w:val="single" w:color="auto" w:sz="4" w:space="1"/>
          <w:left w:val="single" w:color="auto" w:sz="4" w:space="4"/>
          <w:bottom w:val="single" w:color="auto" w:sz="4" w:space="1"/>
          <w:right w:val="single" w:color="auto" w:sz="4" w:space="4"/>
        </w:pBdr>
        <w:ind w:firstLine="0" w:firstLineChars="0"/>
        <w:jc w:val="center"/>
        <w:rPr>
          <w:rFonts w:cs="Times New Roman"/>
          <w:szCs w:val="32"/>
        </w:rPr>
      </w:pPr>
      <w:r>
        <w:rPr>
          <w:rFonts w:cs="Times New Roman"/>
          <w:szCs w:val="32"/>
        </w:rPr>
        <w:t>专栏3  应急能力建设重点工程</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1.应急救援队伍建设</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建设内容：加强专业人才引进和培训以及设备建设，推进应急队伍按预案联合演练；在拦江镇、白马镇强化建设专职消防队</w:t>
      </w:r>
      <w:r>
        <w:rPr>
          <w:rFonts w:cs="Times New Roman"/>
          <w:color w:val="000000" w:themeColor="text1"/>
          <w:szCs w:val="32"/>
          <w14:textFill>
            <w14:solidFill>
              <w14:schemeClr w14:val="tx1"/>
            </w14:solidFill>
          </w14:textFill>
        </w:rPr>
        <w:t>2</w:t>
      </w:r>
      <w:r>
        <w:rPr>
          <w:rFonts w:hint="eastAsia" w:cs="Times New Roman"/>
          <w:color w:val="000000" w:themeColor="text1"/>
          <w:szCs w:val="32"/>
          <w14:textFill>
            <w14:solidFill>
              <w14:schemeClr w14:val="tx1"/>
            </w14:solidFill>
          </w14:textFill>
        </w:rPr>
        <w:t>支；在保石镇、中兴镇建设义务消防队</w:t>
      </w:r>
      <w:r>
        <w:rPr>
          <w:rFonts w:cs="Times New Roman"/>
          <w:color w:val="000000" w:themeColor="text1"/>
          <w:szCs w:val="32"/>
          <w14:textFill>
            <w14:solidFill>
              <w14:schemeClr w14:val="tx1"/>
            </w14:solidFill>
          </w14:textFill>
        </w:rPr>
        <w:t>2</w:t>
      </w:r>
      <w:r>
        <w:rPr>
          <w:rFonts w:hint="eastAsia" w:cs="Times New Roman"/>
          <w:color w:val="000000" w:themeColor="text1"/>
          <w:szCs w:val="32"/>
          <w14:textFill>
            <w14:solidFill>
              <w14:schemeClr w14:val="tx1"/>
            </w14:solidFill>
          </w14:textFill>
        </w:rPr>
        <w:t>支；加强消防宣教队伍建设，消防队伍按需配置专兼职人员。</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建设地点：</w:t>
      </w:r>
      <w:r>
        <w:rPr>
          <w:rFonts w:hint="eastAsia" w:cs="Times New Roman"/>
          <w:szCs w:val="32"/>
        </w:rPr>
        <w:t>拦江镇、保石镇、中兴镇、白马镇</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责任单位：区应急管理局，区消防救援大队，</w:t>
      </w:r>
      <w:r>
        <w:rPr>
          <w:rFonts w:cs="Times New Roman"/>
          <w:color w:val="000000" w:themeColor="text1"/>
          <w:szCs w:val="32"/>
          <w14:textFill>
            <w14:solidFill>
              <w14:schemeClr w14:val="tx1"/>
            </w14:solidFill>
          </w14:textFill>
        </w:rPr>
        <w:t>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资金估算：总计投入</w:t>
      </w:r>
      <w:r>
        <w:rPr>
          <w:rFonts w:cs="Times New Roman"/>
          <w:color w:val="000000" w:themeColor="text1"/>
          <w:szCs w:val="32"/>
          <w14:textFill>
            <w14:solidFill>
              <w14:schemeClr w14:val="tx1"/>
            </w14:solidFill>
          </w14:textFill>
        </w:rPr>
        <w:t>4</w:t>
      </w:r>
      <w:r>
        <w:rPr>
          <w:rFonts w:hint="eastAsia" w:cs="Times New Roman"/>
          <w:color w:val="000000" w:themeColor="text1"/>
          <w:szCs w:val="32"/>
          <w14:textFill>
            <w14:solidFill>
              <w14:schemeClr w14:val="tx1"/>
            </w14:solidFill>
          </w14:textFill>
        </w:rPr>
        <w:t>00万元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完成期限：2025年。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2.消防站建设</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w:t>
      </w:r>
      <w:r>
        <w:rPr>
          <w:rFonts w:hint="eastAsia"/>
        </w:rPr>
        <w:t>优化防灾设施配置，构建安全、及时的防灾预警体系，提升城乡韧性。规划建设2处专职消防站，分别位于拦江镇、白马镇，依托专职消防站，组建应急救援队伍作为基层应急抢险救援主要常备力量，切实承担起各类灾害事故初期应对处置、防灾宣传、安全巡查等工作。规划2处乡镇小型消防站，分别位于保石镇、中兴镇，解决基层应急管理“空心化”、保障弱、能力低等问题。</w:t>
      </w:r>
      <w:r>
        <w:t>按社区、村落设置微型消防站，</w:t>
      </w:r>
      <w:r>
        <w:rPr>
          <w:rFonts w:hint="eastAsia" w:cs="Times New Roman"/>
          <w:szCs w:val="32"/>
        </w:rPr>
        <w:t>片区内各村、社区建成微型消防站</w:t>
      </w:r>
      <w:r>
        <w:rPr>
          <w:rFonts w:hint="eastAsia" w:cs="Times New Roman"/>
          <w:color w:val="000000" w:themeColor="text1"/>
          <w:szCs w:val="32"/>
          <w14:textFill>
            <w14:solidFill>
              <w14:schemeClr w14:val="tx1"/>
            </w14:solidFill>
          </w14:textFill>
        </w:rPr>
        <w:t>，</w:t>
      </w:r>
      <w:r>
        <w:rPr>
          <w:rFonts w:cs="Times New Roman"/>
          <w:szCs w:val="32"/>
        </w:rPr>
        <w:t>配备相应的现代化通讯设施、消防</w:t>
      </w:r>
      <w:r>
        <w:rPr>
          <w:rFonts w:hint="eastAsia" w:cs="Times New Roman"/>
          <w:szCs w:val="32"/>
        </w:rPr>
        <w:t>器材。</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建设地点：</w:t>
      </w:r>
      <w:r>
        <w:rPr>
          <w:rFonts w:hint="eastAsia" w:cs="Times New Roman"/>
          <w:szCs w:val="32"/>
        </w:rPr>
        <w:t>拦江镇、保石镇、中兴镇、白马镇</w:t>
      </w:r>
      <w:r>
        <w:rPr>
          <w:rFonts w:hint="eastAsia" w:cs="Times New Roman"/>
          <w:color w:val="000000" w:themeColor="text1"/>
          <w:szCs w:val="32"/>
          <w14:textFill>
            <w14:solidFill>
              <w14:schemeClr w14:val="tx1"/>
            </w14:solidFill>
          </w14:textFill>
        </w:rPr>
        <w:t>、各村（社区）</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责任单位：区消防救援大队</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资金估算：总计投入1000万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完成期限：2035年。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3.应急物资储备</w:t>
      </w:r>
      <w:r>
        <w:rPr>
          <w:rFonts w:hint="eastAsia" w:cs="Times New Roman"/>
          <w:color w:val="000000" w:themeColor="text1"/>
          <w:szCs w:val="32"/>
          <w14:textFill>
            <w14:solidFill>
              <w14:schemeClr w14:val="tx1"/>
            </w14:solidFill>
          </w14:textFill>
        </w:rPr>
        <w:t>库（</w:t>
      </w:r>
      <w:r>
        <w:rPr>
          <w:rFonts w:cs="Times New Roman"/>
          <w:color w:val="000000" w:themeColor="text1"/>
          <w:szCs w:val="32"/>
          <w14:textFill>
            <w14:solidFill>
              <w14:schemeClr w14:val="tx1"/>
            </w14:solidFill>
          </w14:textFill>
        </w:rPr>
        <w:t>点</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升级改造</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建设内容：各镇</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各村（居）委会在现有基础上，升级改造应急物资储备</w:t>
      </w:r>
      <w:r>
        <w:rPr>
          <w:rFonts w:hint="eastAsia" w:cs="Times New Roman"/>
          <w:color w:val="000000" w:themeColor="text1"/>
          <w:szCs w:val="32"/>
          <w14:textFill>
            <w14:solidFill>
              <w14:schemeClr w14:val="tx1"/>
            </w14:solidFill>
          </w14:textFill>
        </w:rPr>
        <w:t>库（</w:t>
      </w:r>
      <w:r>
        <w:rPr>
          <w:rFonts w:cs="Times New Roman"/>
          <w:color w:val="000000" w:themeColor="text1"/>
          <w:szCs w:val="32"/>
          <w14:textFill>
            <w14:solidFill>
              <w14:schemeClr w14:val="tx1"/>
            </w14:solidFill>
          </w14:textFill>
        </w:rPr>
        <w:t>点</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112</w:t>
      </w:r>
      <w:r>
        <w:rPr>
          <w:rFonts w:hint="eastAsia" w:cs="Times New Roman"/>
          <w:color w:val="000000" w:themeColor="text1"/>
          <w:szCs w:val="32"/>
          <w14:textFill>
            <w14:solidFill>
              <w14:schemeClr w14:val="tx1"/>
            </w14:solidFill>
          </w14:textFill>
        </w:rPr>
        <w:t>处</w:t>
      </w:r>
      <w:r>
        <w:rPr>
          <w:rFonts w:cs="Times New Roman"/>
          <w:color w:val="000000" w:themeColor="text1"/>
          <w:szCs w:val="32"/>
          <w14:textFill>
            <w14:solidFill>
              <w14:schemeClr w14:val="tx1"/>
            </w14:solidFill>
          </w14:textFill>
        </w:rPr>
        <w:t>，重点建设视频监控、专用货架、防潮、防虫、防火等设施</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不新增用地</w:t>
      </w:r>
      <w:r>
        <w:rPr>
          <w:rFonts w:hint="eastAsia" w:cs="Times New Roman"/>
          <w:color w:val="000000" w:themeColor="text1"/>
          <w:szCs w:val="32"/>
          <w14:textFill>
            <w14:solidFill>
              <w14:schemeClr w14:val="tx1"/>
            </w14:solidFill>
          </w14:textFill>
        </w:rPr>
        <w:t>。</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建设地址：</w:t>
      </w:r>
      <w:r>
        <w:rPr>
          <w:rFonts w:hint="eastAsia" w:cs="Times New Roman"/>
          <w:szCs w:val="32"/>
        </w:rPr>
        <w:t>拦江镇、保石镇、中兴镇、白马镇</w:t>
      </w:r>
    </w:p>
    <w:p>
      <w:pPr>
        <w:pStyle w:val="17"/>
        <w:pBdr>
          <w:top w:val="single" w:color="auto" w:sz="4" w:space="1"/>
          <w:left w:val="single" w:color="auto" w:sz="4" w:space="4"/>
          <w:bottom w:val="single" w:color="auto" w:sz="4" w:space="1"/>
          <w:right w:val="single" w:color="auto" w:sz="4" w:space="4"/>
        </w:pBdr>
        <w:ind w:left="0" w:firstLine="640"/>
        <w:rPr>
          <w:rFonts w:ascii="Times New Roman" w:hAnsi="Times New Roman" w:eastAsia="仿宋" w:cs="Times New Roman"/>
          <w:smallCaps w:val="0"/>
          <w:color w:val="000000" w:themeColor="text1"/>
          <w:sz w:val="32"/>
          <w:szCs w:val="32"/>
          <w14:textFill>
            <w14:solidFill>
              <w14:schemeClr w14:val="tx1"/>
            </w14:solidFill>
          </w14:textFill>
        </w:rPr>
      </w:pPr>
      <w:r>
        <w:rPr>
          <w:rFonts w:hint="eastAsia" w:ascii="Times New Roman" w:hAnsi="Times New Roman" w:eastAsia="仿宋" w:cs="Times New Roman"/>
          <w:smallCaps w:val="0"/>
          <w:color w:val="000000" w:themeColor="text1"/>
          <w:sz w:val="32"/>
          <w:szCs w:val="32"/>
          <w14:textFill>
            <w14:solidFill>
              <w14:schemeClr w14:val="tx1"/>
            </w14:solidFill>
          </w14:textFill>
        </w:rPr>
        <w:t>用地</w:t>
      </w:r>
      <w:r>
        <w:rPr>
          <w:rFonts w:ascii="Times New Roman" w:hAnsi="Times New Roman" w:eastAsia="仿宋" w:cs="Times New Roman"/>
          <w:smallCaps w:val="0"/>
          <w:color w:val="000000" w:themeColor="text1"/>
          <w:sz w:val="32"/>
          <w:szCs w:val="32"/>
          <w14:textFill>
            <w14:solidFill>
              <w14:schemeClr w14:val="tx1"/>
            </w14:solidFill>
          </w14:textFill>
        </w:rPr>
        <w:t>面积：3200</w:t>
      </w:r>
      <w:r>
        <w:rPr>
          <w:rFonts w:hint="eastAsia" w:ascii="Times New Roman" w:hAnsi="Times New Roman" w:eastAsia="仿宋" w:cs="Times New Roman"/>
          <w:smallCaps w:val="0"/>
          <w:color w:val="000000" w:themeColor="text1"/>
          <w:sz w:val="32"/>
          <w:szCs w:val="32"/>
          <w14:textFill>
            <w14:solidFill>
              <w14:schemeClr w14:val="tx1"/>
            </w14:solidFill>
          </w14:textFill>
        </w:rPr>
        <w:t>m</w:t>
      </w:r>
      <w:r>
        <w:rPr>
          <w:rFonts w:ascii="Times New Roman" w:hAnsi="Times New Roman" w:eastAsia="仿宋" w:cs="Times New Roman"/>
          <w:smallCaps w:val="0"/>
          <w:color w:val="000000" w:themeColor="text1"/>
          <w:sz w:val="32"/>
          <w:szCs w:val="32"/>
          <w:vertAlign w:val="superscript"/>
          <w14:textFill>
            <w14:solidFill>
              <w14:schemeClr w14:val="tx1"/>
            </w14:solidFill>
          </w14:textFill>
        </w:rPr>
        <w:t>2</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责任单位：区应急管理局、区财政局、各镇党委和人民政府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资金估算：总计投入800万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完成期限：2025年。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4.应急避难场所建设</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w:t>
      </w:r>
      <w:r>
        <w:rPr>
          <w:rFonts w:cs="Times New Roman"/>
          <w:szCs w:val="32"/>
        </w:rPr>
        <w:t>优化完善现有避难场所建设，依托学校</w:t>
      </w:r>
      <w:r>
        <w:rPr>
          <w:rFonts w:hint="eastAsia" w:cs="Times New Roman"/>
          <w:szCs w:val="32"/>
        </w:rPr>
        <w:t>、公园、敬老院、政府驻地</w:t>
      </w:r>
      <w:r>
        <w:rPr>
          <w:rFonts w:cs="Times New Roman"/>
          <w:szCs w:val="32"/>
        </w:rPr>
        <w:t>和村委会</w:t>
      </w:r>
      <w:r>
        <w:rPr>
          <w:rFonts w:hint="eastAsia" w:cs="Times New Roman"/>
          <w:szCs w:val="32"/>
        </w:rPr>
        <w:t>等</w:t>
      </w:r>
      <w:r>
        <w:rPr>
          <w:rFonts w:cs="Times New Roman"/>
          <w:szCs w:val="32"/>
        </w:rPr>
        <w:t>改造</w:t>
      </w:r>
      <w:r>
        <w:rPr>
          <w:rFonts w:hint="eastAsia" w:cs="Times New Roman"/>
          <w:szCs w:val="32"/>
        </w:rPr>
        <w:t>共建</w:t>
      </w:r>
      <w:r>
        <w:rPr>
          <w:rFonts w:cs="Times New Roman"/>
          <w:color w:val="000000" w:themeColor="text1"/>
          <w:szCs w:val="32"/>
          <w14:textFill>
            <w14:solidFill>
              <w14:schemeClr w14:val="tx1"/>
            </w14:solidFill>
          </w14:textFill>
        </w:rPr>
        <w:t>112</w:t>
      </w:r>
      <w:r>
        <w:rPr>
          <w:rFonts w:cs="Times New Roman"/>
          <w:szCs w:val="32"/>
        </w:rPr>
        <w:t>个应急避难场所，</w:t>
      </w:r>
      <w:r>
        <w:rPr>
          <w:rFonts w:cs="Times New Roman"/>
          <w:color w:val="000000" w:themeColor="text1"/>
          <w:szCs w:val="32"/>
          <w14:textFill>
            <w14:solidFill>
              <w14:schemeClr w14:val="tx1"/>
            </w14:solidFill>
          </w14:textFill>
        </w:rPr>
        <w:t>通过改造、改建公共建筑等方式持续构建和城镇相协调、室内和室外相结合的镇村两级应急避难体系</w:t>
      </w:r>
      <w:r>
        <w:rPr>
          <w:rFonts w:hint="eastAsia" w:cs="Times New Roman"/>
          <w:color w:val="000000" w:themeColor="text1"/>
          <w:szCs w:val="32"/>
          <w14:textFill>
            <w14:solidFill>
              <w14:schemeClr w14:val="tx1"/>
            </w14:solidFill>
          </w14:textFill>
        </w:rPr>
        <w:t>，</w:t>
      </w:r>
      <w:r>
        <w:rPr>
          <w:rFonts w:cs="Times New Roman"/>
          <w:szCs w:val="32"/>
        </w:rPr>
        <w:t>不新增用地。</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建设地点：</w:t>
      </w:r>
      <w:r>
        <w:rPr>
          <w:rFonts w:hint="eastAsia" w:cs="Times New Roman"/>
          <w:szCs w:val="32"/>
        </w:rPr>
        <w:t>拦江镇、保石镇、中兴镇、白马镇</w:t>
      </w:r>
    </w:p>
    <w:p>
      <w:pPr>
        <w:pStyle w:val="17"/>
        <w:pBdr>
          <w:top w:val="single" w:color="auto" w:sz="4" w:space="1"/>
          <w:left w:val="single" w:color="auto" w:sz="4" w:space="4"/>
          <w:bottom w:val="single" w:color="auto" w:sz="4" w:space="1"/>
          <w:right w:val="single" w:color="auto" w:sz="4" w:space="4"/>
        </w:pBdr>
        <w:ind w:left="0" w:firstLine="640"/>
        <w:rPr>
          <w:rFonts w:ascii="Times New Roman" w:hAnsi="Times New Roman" w:eastAsia="仿宋" w:cs="Times New Roman"/>
          <w:smallCaps w:val="0"/>
          <w:color w:val="000000" w:themeColor="text1"/>
          <w:sz w:val="32"/>
          <w:szCs w:val="32"/>
          <w14:textFill>
            <w14:solidFill>
              <w14:schemeClr w14:val="tx1"/>
            </w14:solidFill>
          </w14:textFill>
        </w:rPr>
      </w:pPr>
      <w:r>
        <w:rPr>
          <w:rFonts w:hint="eastAsia" w:ascii="Times New Roman" w:hAnsi="Times New Roman" w:eastAsia="仿宋" w:cs="Times New Roman"/>
          <w:smallCaps w:val="0"/>
          <w:color w:val="000000" w:themeColor="text1"/>
          <w:sz w:val="32"/>
          <w:szCs w:val="32"/>
          <w14:textFill>
            <w14:solidFill>
              <w14:schemeClr w14:val="tx1"/>
            </w14:solidFill>
          </w14:textFill>
        </w:rPr>
        <w:t>用地</w:t>
      </w:r>
      <w:r>
        <w:rPr>
          <w:rFonts w:ascii="Times New Roman" w:hAnsi="Times New Roman" w:eastAsia="仿宋" w:cs="Times New Roman"/>
          <w:smallCaps w:val="0"/>
          <w:color w:val="000000" w:themeColor="text1"/>
          <w:sz w:val="32"/>
          <w:szCs w:val="32"/>
          <w14:textFill>
            <w14:solidFill>
              <w14:schemeClr w14:val="tx1"/>
            </w14:solidFill>
          </w14:textFill>
        </w:rPr>
        <w:t>面积：</w:t>
      </w:r>
      <w:r>
        <w:rPr>
          <w:rFonts w:hint="eastAsia" w:ascii="Times New Roman" w:hAnsi="Times New Roman" w:eastAsia="仿宋" w:cs="Times New Roman"/>
          <w:smallCaps w:val="0"/>
          <w:color w:val="000000" w:themeColor="text1"/>
          <w:sz w:val="32"/>
          <w:szCs w:val="32"/>
          <w14:textFill>
            <w14:solidFill>
              <w14:schemeClr w14:val="tx1"/>
            </w14:solidFill>
          </w14:textFill>
        </w:rPr>
        <w:t>升级改造</w:t>
      </w:r>
      <w:r>
        <w:rPr>
          <w:rFonts w:ascii="Times New Roman" w:hAnsi="Times New Roman" w:eastAsia="仿宋" w:cs="Times New Roman"/>
          <w:smallCaps w:val="0"/>
          <w:color w:val="000000" w:themeColor="text1"/>
          <w:sz w:val="32"/>
          <w:szCs w:val="32"/>
          <w14:textFill>
            <w14:solidFill>
              <w14:schemeClr w14:val="tx1"/>
            </w14:solidFill>
          </w14:textFill>
        </w:rPr>
        <w:t>123730</w:t>
      </w:r>
      <w:r>
        <w:rPr>
          <w:rFonts w:hint="eastAsia" w:ascii="Times New Roman" w:hAnsi="Times New Roman" w:eastAsia="仿宋" w:cs="Times New Roman"/>
          <w:smallCaps w:val="0"/>
          <w:color w:val="000000" w:themeColor="text1"/>
          <w:sz w:val="32"/>
          <w:szCs w:val="32"/>
          <w14:textFill>
            <w14:solidFill>
              <w14:schemeClr w14:val="tx1"/>
            </w14:solidFill>
          </w14:textFill>
        </w:rPr>
        <w:t>m</w:t>
      </w:r>
      <w:r>
        <w:rPr>
          <w:rFonts w:ascii="Times New Roman" w:hAnsi="Times New Roman" w:eastAsia="仿宋" w:cs="Times New Roman"/>
          <w:smallCaps w:val="0"/>
          <w:color w:val="000000" w:themeColor="text1"/>
          <w:sz w:val="32"/>
          <w:szCs w:val="32"/>
          <w:vertAlign w:val="superscript"/>
          <w14:textFill>
            <w14:solidFill>
              <w14:schemeClr w14:val="tx1"/>
            </w14:solidFill>
          </w14:textFill>
        </w:rPr>
        <w:t>2</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责任单位：区管理应急局、区住房城乡建设局、区教育局、区财政局、各镇党委和人民政府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资金估算：总计投入1200万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完成期限：2035年。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5.</w:t>
      </w:r>
      <w:r>
        <w:rPr>
          <w:rFonts w:hint="eastAsia"/>
        </w:rPr>
        <w:t xml:space="preserve"> </w:t>
      </w:r>
      <w:r>
        <w:rPr>
          <w:rFonts w:hint="eastAsia" w:cs="Times New Roman"/>
          <w:color w:val="000000" w:themeColor="text1"/>
          <w:szCs w:val="32"/>
          <w14:textFill>
            <w14:solidFill>
              <w14:schemeClr w14:val="tx1"/>
            </w14:solidFill>
          </w14:textFill>
        </w:rPr>
        <w:t>应急装备提升工程</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建设内容：为各镇</w:t>
      </w:r>
      <w:r>
        <w:rPr>
          <w:rFonts w:hint="eastAsia"/>
          <w:szCs w:val="32"/>
        </w:rPr>
        <w:t>配备侦测无人机、后勤保障车等，新增对讲机及水下声呐、成像仪等水下搜救设备，同时做好人员安全操作培训及驻训训练</w:t>
      </w:r>
      <w:r>
        <w:rPr>
          <w:rFonts w:hint="eastAsia" w:cs="Times New Roman"/>
          <w:color w:val="000000" w:themeColor="text1"/>
          <w:szCs w:val="32"/>
          <w14:textFill>
            <w14:solidFill>
              <w14:schemeClr w14:val="tx1"/>
            </w14:solidFill>
          </w14:textFill>
        </w:rPr>
        <w:t>。</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建设地点：</w:t>
      </w:r>
      <w:r>
        <w:rPr>
          <w:rFonts w:hint="eastAsia" w:cs="Times New Roman"/>
          <w:szCs w:val="32"/>
        </w:rPr>
        <w:t>拦江镇、保石镇、中兴镇、白马镇</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责任单位：区应急管理局，各镇党委和人民政府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资金估算：总计投入600万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完成期限：2025年。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6.应急预案编制与修订</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建设内容：以“科学化、实用化、效能化”为目标，结合各镇特点，查漏补缺，加强企事业单位应急预案建设，完善村级应急处置方案，推进应急预案进社区、进乡村、进企业、进学校以及重点行业，梯次推进预案编修工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建设地点：</w:t>
      </w:r>
      <w:r>
        <w:rPr>
          <w:rFonts w:hint="eastAsia" w:cs="Times New Roman"/>
          <w:szCs w:val="32"/>
        </w:rPr>
        <w:t>拦江镇、保石镇、中兴镇、白马镇</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责任单位：区应急管理局，</w:t>
      </w:r>
      <w:r>
        <w:rPr>
          <w:rFonts w:cs="Times New Roman"/>
          <w:color w:val="000000" w:themeColor="text1"/>
          <w:szCs w:val="32"/>
          <w14:textFill>
            <w14:solidFill>
              <w14:schemeClr w14:val="tx1"/>
            </w14:solidFill>
          </w14:textFill>
        </w:rPr>
        <w:t>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资金估算：总计投入</w:t>
      </w:r>
      <w:r>
        <w:rPr>
          <w:rFonts w:cs="Times New Roman"/>
          <w:color w:val="000000" w:themeColor="text1"/>
          <w:szCs w:val="32"/>
          <w14:textFill>
            <w14:solidFill>
              <w14:schemeClr w14:val="tx1"/>
            </w14:solidFill>
          </w14:textFill>
        </w:rPr>
        <w:t>8</w:t>
      </w:r>
      <w:r>
        <w:rPr>
          <w:rFonts w:hint="eastAsia" w:cs="Times New Roman"/>
          <w:color w:val="000000" w:themeColor="text1"/>
          <w:szCs w:val="32"/>
          <w14:textFill>
            <w14:solidFill>
              <w14:schemeClr w14:val="tx1"/>
            </w14:solidFill>
          </w14:textFill>
        </w:rPr>
        <w:t>0万元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完成期限：2025年。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7.应急</w:t>
      </w:r>
      <w:r>
        <w:rPr>
          <w:rFonts w:hint="eastAsia" w:cs="Times New Roman"/>
          <w:color w:val="000000" w:themeColor="text1"/>
          <w:szCs w:val="32"/>
          <w14:textFill>
            <w14:solidFill>
              <w14:schemeClr w14:val="tx1"/>
            </w14:solidFill>
          </w14:textFill>
        </w:rPr>
        <w:t>培训及</w:t>
      </w:r>
      <w:r>
        <w:rPr>
          <w:rFonts w:cs="Times New Roman"/>
          <w:color w:val="000000" w:themeColor="text1"/>
          <w:szCs w:val="32"/>
          <w14:textFill>
            <w14:solidFill>
              <w14:schemeClr w14:val="tx1"/>
            </w14:solidFill>
          </w14:textFill>
        </w:rPr>
        <w:t>演练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建设内容：各镇</w:t>
      </w:r>
      <w:r>
        <w:rPr>
          <w:rFonts w:hint="eastAsia" w:cs="Times New Roman"/>
          <w:color w:val="000000" w:themeColor="text1"/>
          <w:szCs w:val="32"/>
          <w14:textFill>
            <w14:solidFill>
              <w14:schemeClr w14:val="tx1"/>
            </w14:solidFill>
          </w14:textFill>
        </w:rPr>
        <w:t>按照应急预案要求</w:t>
      </w:r>
      <w:r>
        <w:rPr>
          <w:rFonts w:cs="Times New Roman"/>
          <w:color w:val="000000" w:themeColor="text1"/>
          <w:szCs w:val="32"/>
          <w14:textFill>
            <w14:solidFill>
              <w14:schemeClr w14:val="tx1"/>
            </w14:solidFill>
          </w14:textFill>
        </w:rPr>
        <w:t>开展洪涝灾害、地质灾害、森林防灭火等演练，</w:t>
      </w:r>
      <w:r>
        <w:rPr>
          <w:rFonts w:hint="eastAsia" w:cs="Times New Roman"/>
          <w:color w:val="000000" w:themeColor="text1"/>
          <w:szCs w:val="32"/>
          <w14:textFill>
            <w14:solidFill>
              <w14:schemeClr w14:val="tx1"/>
            </w14:solidFill>
          </w14:textFill>
        </w:rPr>
        <w:t>各村（社）按照处置方案的要求开展现场处置演练，</w:t>
      </w:r>
      <w:r>
        <w:rPr>
          <w:rFonts w:cs="Times New Roman"/>
          <w:color w:val="000000" w:themeColor="text1"/>
          <w:szCs w:val="32"/>
          <w14:textFill>
            <w14:solidFill>
              <w14:schemeClr w14:val="tx1"/>
            </w14:solidFill>
          </w14:textFill>
        </w:rPr>
        <w:t>各学校开展地震灾害、火灾等演练每学期不少于1次</w:t>
      </w:r>
      <w:r>
        <w:rPr>
          <w:rFonts w:hint="eastAsia" w:cs="Times New Roman"/>
          <w:color w:val="000000" w:themeColor="text1"/>
          <w:szCs w:val="32"/>
          <w14:textFill>
            <w14:solidFill>
              <w14:schemeClr w14:val="tx1"/>
            </w14:solidFill>
          </w14:textFill>
        </w:rPr>
        <w:t>。</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责任单位：区应急管理局，区自然资源规划局、区水利局、区教育和体育局、各镇党委和人民政府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资金估算：20万元/年，共计100万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完成期限：2025年。</w:t>
      </w:r>
    </w:p>
    <w:p>
      <w:pPr>
        <w:pStyle w:val="4"/>
        <w:rPr>
          <w:rFonts w:cs="Times New Roman"/>
        </w:rPr>
      </w:pPr>
      <w:bookmarkStart w:id="46" w:name="_Toc27153"/>
      <w:r>
        <w:rPr>
          <w:rFonts w:cs="Times New Roman"/>
        </w:rPr>
        <w:t>（五）先进信息技术应用方面</w:t>
      </w:r>
      <w:bookmarkEnd w:id="46"/>
    </w:p>
    <w:p>
      <w:pPr>
        <w:ind w:firstLine="643"/>
        <w:rPr>
          <w:rFonts w:cs="Times New Roman"/>
          <w:szCs w:val="32"/>
        </w:rPr>
      </w:pPr>
      <w:bookmarkStart w:id="47" w:name="_Toc27863"/>
      <w:r>
        <w:rPr>
          <w:rFonts w:cs="Times New Roman"/>
          <w:b/>
          <w:bCs/>
          <w:szCs w:val="32"/>
        </w:rPr>
        <w:t>应急指挥中心建设</w:t>
      </w:r>
      <w:bookmarkEnd w:id="47"/>
      <w:r>
        <w:rPr>
          <w:rFonts w:cs="Times New Roman"/>
          <w:b/>
          <w:bCs/>
          <w:szCs w:val="32"/>
        </w:rPr>
        <w:t>。</w:t>
      </w:r>
      <w:r>
        <w:rPr>
          <w:rFonts w:cs="Times New Roman"/>
          <w:szCs w:val="32"/>
        </w:rPr>
        <w:t>建设</w:t>
      </w:r>
      <w:r>
        <w:rPr>
          <w:rFonts w:hint="eastAsia" w:cs="Times New Roman"/>
          <w:szCs w:val="32"/>
        </w:rPr>
        <w:t>各</w:t>
      </w:r>
      <w:r>
        <w:rPr>
          <w:rFonts w:cs="Times New Roman"/>
          <w:szCs w:val="32"/>
        </w:rPr>
        <w:t>镇级应急指挥中心及配套设施，实现指挥救援、监测预警、监督管理、决策支持和社会动员等功能，推动片区应急管理信息化工作向“智慧应急”迈进。</w:t>
      </w:r>
    </w:p>
    <w:p>
      <w:pPr>
        <w:ind w:firstLine="643"/>
        <w:rPr>
          <w:rFonts w:cs="Times New Roman"/>
        </w:rPr>
      </w:pPr>
      <w:bookmarkStart w:id="48" w:name="_Toc17511"/>
      <w:r>
        <w:rPr>
          <w:rFonts w:cs="Times New Roman"/>
          <w:b/>
          <w:bCs/>
          <w:szCs w:val="32"/>
        </w:rPr>
        <w:t>应急指挥网络建设</w:t>
      </w:r>
      <w:bookmarkEnd w:id="48"/>
      <w:r>
        <w:rPr>
          <w:rFonts w:cs="Times New Roman"/>
          <w:b/>
          <w:bCs/>
          <w:szCs w:val="32"/>
        </w:rPr>
        <w:t>。</w:t>
      </w:r>
      <w:r>
        <w:rPr>
          <w:rFonts w:cs="Times New Roman"/>
          <w:bCs/>
          <w:szCs w:val="32"/>
        </w:rPr>
        <w:t>完善应急广播村村响发布系统，建立应急信号主备传输链路，在</w:t>
      </w:r>
      <w:r>
        <w:rPr>
          <w:rFonts w:hint="eastAsia" w:cs="Times New Roman"/>
          <w:bCs/>
          <w:szCs w:val="32"/>
        </w:rPr>
        <w:t>“</w:t>
      </w:r>
      <w:r>
        <w:rPr>
          <w:rFonts w:cs="Times New Roman"/>
          <w:bCs/>
          <w:szCs w:val="32"/>
        </w:rPr>
        <w:t>镇-村（社区）-组（社）</w:t>
      </w:r>
      <w:r>
        <w:rPr>
          <w:rFonts w:hint="eastAsia" w:cs="Times New Roman"/>
          <w:bCs/>
          <w:szCs w:val="32"/>
        </w:rPr>
        <w:t>”</w:t>
      </w:r>
      <w:r>
        <w:rPr>
          <w:rFonts w:cs="Times New Roman"/>
          <w:bCs/>
          <w:szCs w:val="32"/>
        </w:rPr>
        <w:t>三级部署应急广播主动发布终端系统。</w:t>
      </w:r>
      <w:r>
        <w:rPr>
          <w:rFonts w:cs="Times New Roman"/>
          <w:szCs w:val="32"/>
        </w:rPr>
        <w:t>结合社会治理智能化建设，各镇、村（社区）运用手机、微信群、卫星电话、广播村村响系统、手持对讲机等信息化手段，搭建指挥网络，实现灾情反馈、指令下达、信息传递顺畅高效、务实管用。</w:t>
      </w:r>
    </w:p>
    <w:tbl>
      <w:tblPr>
        <w:tblStyle w:val="46"/>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1" w:hRule="atLeast"/>
          <w:jc w:val="center"/>
        </w:trPr>
        <w:tc>
          <w:tcPr>
            <w:tcW w:w="5000" w:type="pct"/>
            <w:vAlign w:val="center"/>
          </w:tcPr>
          <w:p>
            <w:pPr>
              <w:adjustRightInd w:val="0"/>
              <w:snapToGrid w:val="0"/>
              <w:ind w:firstLine="0" w:firstLineChars="0"/>
              <w:jc w:val="center"/>
              <w:rPr>
                <w:rFonts w:cs="Times New Roman"/>
                <w:szCs w:val="32"/>
              </w:rPr>
            </w:pPr>
            <w:r>
              <w:rPr>
                <w:rFonts w:cs="Times New Roman"/>
                <w:szCs w:val="32"/>
              </w:rPr>
              <w:t>专栏4：信息化建设重点工程</w:t>
            </w:r>
          </w:p>
          <w:p>
            <w:pPr>
              <w:adjustRightInd w:val="0"/>
              <w:snapToGrid w:val="0"/>
              <w:ind w:firstLine="640"/>
              <w:rPr>
                <w:rFonts w:cs="Times New Roman"/>
                <w:szCs w:val="32"/>
              </w:rPr>
            </w:pPr>
            <w:r>
              <w:rPr>
                <w:rFonts w:cs="Times New Roman"/>
                <w:szCs w:val="32"/>
              </w:rPr>
              <w:t>1.应急指挥中心建设</w:t>
            </w:r>
          </w:p>
          <w:p>
            <w:pPr>
              <w:adjustRightInd w:val="0"/>
              <w:snapToGrid w:val="0"/>
              <w:ind w:firstLine="640"/>
              <w:rPr>
                <w:rFonts w:cs="Times New Roman"/>
                <w:szCs w:val="32"/>
              </w:rPr>
            </w:pPr>
            <w:r>
              <w:rPr>
                <w:rFonts w:cs="Times New Roman"/>
                <w:szCs w:val="32"/>
              </w:rPr>
              <w:t>建设内容：依托个</w:t>
            </w:r>
            <w:r>
              <w:rPr>
                <w:rFonts w:hint="eastAsia" w:cs="Times New Roman"/>
                <w:szCs w:val="32"/>
              </w:rPr>
              <w:t>各</w:t>
            </w:r>
            <w:r>
              <w:rPr>
                <w:rFonts w:cs="Times New Roman"/>
                <w:szCs w:val="32"/>
              </w:rPr>
              <w:t>镇政府现有信息化基础设施，</w:t>
            </w:r>
            <w:r>
              <w:rPr>
                <w:rFonts w:hint="eastAsia" w:cs="Times New Roman"/>
                <w:szCs w:val="32"/>
              </w:rPr>
              <w:t>升级改造建设</w:t>
            </w:r>
            <w:r>
              <w:rPr>
                <w:rFonts w:cs="Times New Roman"/>
                <w:szCs w:val="32"/>
              </w:rPr>
              <w:t>应急指挥分中心4处。整合</w:t>
            </w:r>
            <w:r>
              <w:rPr>
                <w:rFonts w:hint="eastAsia" w:cs="Times New Roman"/>
                <w:szCs w:val="32"/>
              </w:rPr>
              <w:t>各</w:t>
            </w:r>
            <w:r>
              <w:rPr>
                <w:rFonts w:cs="Times New Roman"/>
                <w:szCs w:val="32"/>
              </w:rPr>
              <w:t>镇数据监管、查询；风险监测、上报以及第一现场应急处突等工作需求，建设智慧乡镇终端，并接入片区智慧平台，提供移动端日常工作信息查询需要以及紧急事件上报和应急视频会商功能</w:t>
            </w:r>
            <w:r>
              <w:rPr>
                <w:rFonts w:hint="eastAsia" w:cs="Times New Roman"/>
                <w:szCs w:val="32"/>
              </w:rPr>
              <w:t>。</w:t>
            </w:r>
          </w:p>
          <w:p>
            <w:pPr>
              <w:adjustRightInd w:val="0"/>
              <w:snapToGrid w:val="0"/>
              <w:ind w:firstLine="640"/>
              <w:rPr>
                <w:rFonts w:cs="Times New Roman"/>
                <w:szCs w:val="32"/>
              </w:rPr>
            </w:pPr>
            <w:r>
              <w:rPr>
                <w:rFonts w:cs="Times New Roman"/>
                <w:szCs w:val="32"/>
              </w:rPr>
              <w:t>责任单位：区应急管理局，</w:t>
            </w:r>
            <w:r>
              <w:rPr>
                <w:rFonts w:hint="eastAsia" w:cs="Times New Roman"/>
                <w:szCs w:val="32"/>
              </w:rPr>
              <w:t>各镇</w:t>
            </w:r>
            <w:r>
              <w:rPr>
                <w:rFonts w:cs="Times New Roman"/>
                <w:szCs w:val="32"/>
              </w:rPr>
              <w:t>党委和人民政府</w:t>
            </w:r>
          </w:p>
          <w:p>
            <w:pPr>
              <w:pStyle w:val="17"/>
              <w:ind w:left="0" w:firstLine="640"/>
              <w:rPr>
                <w:rFonts w:ascii="Times New Roman" w:hAnsi="Times New Roman" w:eastAsia="仿宋" w:cs="Times New Roman"/>
                <w:smallCaps w:val="0"/>
                <w:sz w:val="32"/>
                <w:szCs w:val="32"/>
              </w:rPr>
            </w:pPr>
            <w:r>
              <w:rPr>
                <w:rFonts w:ascii="Times New Roman" w:hAnsi="Times New Roman" w:eastAsia="仿宋" w:cs="Times New Roman"/>
                <w:smallCaps w:val="0"/>
                <w:sz w:val="32"/>
                <w:szCs w:val="32"/>
              </w:rPr>
              <w:t>建设地点：</w:t>
            </w:r>
            <w:r>
              <w:rPr>
                <w:rFonts w:hint="eastAsia" w:ascii="Times New Roman" w:hAnsi="Times New Roman" w:eastAsia="仿宋" w:cs="Times New Roman"/>
                <w:smallCaps w:val="0"/>
                <w:sz w:val="32"/>
                <w:szCs w:val="32"/>
              </w:rPr>
              <w:t>拦江镇、保石镇、中兴镇、白马镇</w:t>
            </w:r>
          </w:p>
          <w:p>
            <w:pPr>
              <w:pStyle w:val="17"/>
              <w:ind w:left="0" w:firstLine="640"/>
              <w:rPr>
                <w:rFonts w:ascii="Times New Roman" w:hAnsi="Times New Roman" w:eastAsia="仿宋" w:cs="Times New Roman"/>
                <w:smallCaps w:val="0"/>
                <w:sz w:val="32"/>
                <w:szCs w:val="32"/>
              </w:rPr>
            </w:pPr>
            <w:r>
              <w:rPr>
                <w:rFonts w:hint="eastAsia" w:ascii="Times New Roman" w:hAnsi="Times New Roman" w:eastAsia="仿宋" w:cs="Times New Roman"/>
                <w:smallCaps w:val="0"/>
                <w:sz w:val="32"/>
                <w:szCs w:val="32"/>
              </w:rPr>
              <w:t>用地</w:t>
            </w:r>
            <w:r>
              <w:rPr>
                <w:rFonts w:ascii="Times New Roman" w:hAnsi="Times New Roman" w:eastAsia="仿宋" w:cs="Times New Roman"/>
                <w:smallCaps w:val="0"/>
                <w:sz w:val="32"/>
                <w:szCs w:val="32"/>
              </w:rPr>
              <w:t>面积：</w:t>
            </w:r>
            <w:r>
              <w:rPr>
                <w:rFonts w:hint="eastAsia" w:ascii="Times New Roman" w:hAnsi="Times New Roman" w:eastAsia="仿宋" w:cs="Times New Roman"/>
                <w:smallCaps w:val="0"/>
                <w:sz w:val="32"/>
                <w:szCs w:val="32"/>
              </w:rPr>
              <w:t>升级改造</w:t>
            </w:r>
            <w:r>
              <w:rPr>
                <w:rFonts w:ascii="Times New Roman" w:hAnsi="Times New Roman" w:eastAsia="仿宋" w:cs="Times New Roman"/>
                <w:smallCaps w:val="0"/>
                <w:sz w:val="32"/>
                <w:szCs w:val="32"/>
              </w:rPr>
              <w:t>8</w:t>
            </w:r>
            <w:r>
              <w:rPr>
                <w:rFonts w:hint="eastAsia" w:ascii="Times New Roman" w:hAnsi="Times New Roman" w:eastAsia="仿宋" w:cs="Times New Roman"/>
                <w:smallCaps w:val="0"/>
                <w:sz w:val="32"/>
                <w:szCs w:val="32"/>
              </w:rPr>
              <w:t>00m</w:t>
            </w:r>
            <w:r>
              <w:rPr>
                <w:rFonts w:ascii="Times New Roman" w:hAnsi="Times New Roman" w:eastAsia="仿宋" w:cs="Times New Roman"/>
                <w:smallCaps w:val="0"/>
                <w:sz w:val="32"/>
                <w:szCs w:val="32"/>
                <w:vertAlign w:val="superscript"/>
              </w:rPr>
              <w:t>2</w:t>
            </w:r>
          </w:p>
          <w:p>
            <w:pPr>
              <w:adjustRightInd w:val="0"/>
              <w:snapToGrid w:val="0"/>
              <w:ind w:firstLine="640"/>
              <w:rPr>
                <w:rFonts w:cs="Times New Roman"/>
                <w:szCs w:val="32"/>
              </w:rPr>
            </w:pPr>
            <w:r>
              <w:rPr>
                <w:rFonts w:cs="Times New Roman"/>
                <w:szCs w:val="32"/>
              </w:rPr>
              <w:t>资金估算：总计投入800万元</w:t>
            </w:r>
          </w:p>
          <w:p>
            <w:pPr>
              <w:adjustRightInd w:val="0"/>
              <w:snapToGrid w:val="0"/>
              <w:ind w:firstLine="640"/>
              <w:rPr>
                <w:rFonts w:cs="Times New Roman"/>
                <w:szCs w:val="32"/>
              </w:rPr>
            </w:pPr>
            <w:r>
              <w:rPr>
                <w:rFonts w:cs="Times New Roman"/>
                <w:szCs w:val="32"/>
              </w:rPr>
              <w:t>完成时限：2025年。</w:t>
            </w:r>
          </w:p>
          <w:p>
            <w:pPr>
              <w:adjustRightInd w:val="0"/>
              <w:snapToGrid w:val="0"/>
              <w:ind w:firstLine="640"/>
              <w:rPr>
                <w:rFonts w:cs="Times New Roman"/>
                <w:szCs w:val="32"/>
              </w:rPr>
            </w:pPr>
            <w:r>
              <w:rPr>
                <w:rFonts w:cs="Times New Roman"/>
                <w:szCs w:val="32"/>
              </w:rPr>
              <w:t>2.应急广播提升改造工程</w:t>
            </w:r>
          </w:p>
          <w:p>
            <w:pPr>
              <w:adjustRightInd w:val="0"/>
              <w:snapToGrid w:val="0"/>
              <w:ind w:firstLine="640"/>
              <w:rPr>
                <w:rFonts w:cs="Times New Roman"/>
                <w:szCs w:val="32"/>
              </w:rPr>
            </w:pPr>
            <w:r>
              <w:rPr>
                <w:rFonts w:cs="Times New Roman"/>
                <w:szCs w:val="32"/>
              </w:rPr>
              <w:t>建设目的：升级、改造各镇现有广播系统，提高应急广播覆盖率，实现片区村（社区）人口覆盖率超90%，提升灾害预警信息传播、防灾减灾宣传</w:t>
            </w:r>
            <w:r>
              <w:rPr>
                <w:rFonts w:hint="eastAsia" w:cs="Times New Roman"/>
                <w:szCs w:val="32"/>
              </w:rPr>
              <w:t>。</w:t>
            </w:r>
          </w:p>
          <w:p>
            <w:pPr>
              <w:adjustRightInd w:val="0"/>
              <w:snapToGrid w:val="0"/>
              <w:ind w:firstLine="640"/>
              <w:rPr>
                <w:rFonts w:cs="Times New Roman"/>
                <w:szCs w:val="32"/>
              </w:rPr>
            </w:pPr>
            <w:r>
              <w:rPr>
                <w:rFonts w:cs="Times New Roman"/>
                <w:szCs w:val="32"/>
              </w:rPr>
              <w:t>建设地点：</w:t>
            </w:r>
            <w:r>
              <w:rPr>
                <w:rFonts w:hint="eastAsia" w:cs="Times New Roman"/>
                <w:szCs w:val="32"/>
              </w:rPr>
              <w:t>拦江镇、保石镇、中兴镇、白马镇</w:t>
            </w:r>
            <w:r>
              <w:rPr>
                <w:rFonts w:cs="Times New Roman"/>
                <w:szCs w:val="32"/>
              </w:rPr>
              <w:t>及各村（社区）</w:t>
            </w:r>
          </w:p>
          <w:p>
            <w:pPr>
              <w:adjustRightInd w:val="0"/>
              <w:snapToGrid w:val="0"/>
              <w:ind w:firstLine="640"/>
              <w:rPr>
                <w:rFonts w:cs="Times New Roman"/>
                <w:szCs w:val="32"/>
              </w:rPr>
            </w:pPr>
            <w:r>
              <w:rPr>
                <w:rFonts w:cs="Times New Roman"/>
                <w:szCs w:val="32"/>
              </w:rPr>
              <w:t>责任单位：</w:t>
            </w:r>
            <w:r>
              <w:rPr>
                <w:rFonts w:hint="eastAsia" w:cs="Times New Roman"/>
                <w:szCs w:val="32"/>
              </w:rPr>
              <w:t>区文化广播电视和旅游局，</w:t>
            </w:r>
            <w:r>
              <w:rPr>
                <w:rFonts w:cs="Times New Roman"/>
                <w:szCs w:val="32"/>
              </w:rPr>
              <w:t>区融媒体中心</w:t>
            </w:r>
          </w:p>
          <w:p>
            <w:pPr>
              <w:adjustRightInd w:val="0"/>
              <w:snapToGrid w:val="0"/>
              <w:ind w:firstLine="640"/>
              <w:rPr>
                <w:rFonts w:cs="Times New Roman"/>
                <w:szCs w:val="32"/>
              </w:rPr>
            </w:pPr>
            <w:r>
              <w:rPr>
                <w:rFonts w:cs="Times New Roman"/>
                <w:szCs w:val="32"/>
              </w:rPr>
              <w:t>资金估算：总计投入500万元</w:t>
            </w:r>
          </w:p>
          <w:p>
            <w:pPr>
              <w:pStyle w:val="10"/>
              <w:tabs>
                <w:tab w:val="left" w:pos="312"/>
              </w:tabs>
              <w:adjustRightInd w:val="0"/>
              <w:snapToGrid w:val="0"/>
              <w:spacing w:after="0" w:line="550" w:lineRule="exact"/>
              <w:ind w:firstLine="640" w:firstLineChars="200"/>
              <w:jc w:val="both"/>
              <w:rPr>
                <w:sz w:val="32"/>
                <w:szCs w:val="32"/>
              </w:rPr>
            </w:pPr>
            <w:r>
              <w:rPr>
                <w:sz w:val="32"/>
                <w:szCs w:val="32"/>
              </w:rPr>
              <w:t>完成时限：2035年。</w:t>
            </w:r>
          </w:p>
        </w:tc>
      </w:tr>
    </w:tbl>
    <w:p>
      <w:pPr>
        <w:pStyle w:val="4"/>
        <w:rPr>
          <w:rFonts w:cs="Times New Roman"/>
        </w:rPr>
      </w:pPr>
      <w:bookmarkStart w:id="49" w:name="_Toc5217"/>
      <w:r>
        <w:rPr>
          <w:rFonts w:cs="Times New Roman"/>
        </w:rPr>
        <w:t>（六）应急管理共建共治共享格局</w:t>
      </w:r>
      <w:bookmarkEnd w:id="49"/>
    </w:p>
    <w:p>
      <w:pPr>
        <w:pStyle w:val="37"/>
        <w:spacing w:line="550" w:lineRule="exact"/>
        <w:ind w:firstLine="643"/>
        <w:rPr>
          <w:rFonts w:eastAsia="仿宋"/>
        </w:rPr>
      </w:pPr>
      <w:r>
        <w:rPr>
          <w:rFonts w:eastAsia="仿宋"/>
          <w:b/>
          <w:bCs/>
          <w:szCs w:val="32"/>
        </w:rPr>
        <w:t>提升基层应急能力。</w:t>
      </w:r>
      <w:r>
        <w:rPr>
          <w:rFonts w:eastAsia="仿宋"/>
        </w:rPr>
        <w:t>加强</w:t>
      </w:r>
      <w:r>
        <w:rPr>
          <w:rFonts w:hint="eastAsia" w:eastAsia="仿宋"/>
        </w:rPr>
        <w:t>各</w:t>
      </w:r>
      <w:r>
        <w:rPr>
          <w:rFonts w:eastAsia="仿宋"/>
        </w:rPr>
        <w:t>镇、村（社区）领导干部、应急管理人员、救援队伍业务培训，依托高等院校、培训机构等组织开展应急指挥、应急救援等方面的技能培训，全面提升基层业务素质和实战技能。提升各类灾害信息员能力，开展专业技能培训，确保熟悉掌握灾害信息统计报送和灾情核查评估等业务。</w:t>
      </w:r>
    </w:p>
    <w:p>
      <w:pPr>
        <w:ind w:firstLine="643"/>
        <w:rPr>
          <w:rFonts w:cs="Times New Roman"/>
        </w:rPr>
      </w:pPr>
      <w:bookmarkStart w:id="50" w:name="_Toc14916"/>
      <w:r>
        <w:rPr>
          <w:rFonts w:cs="Times New Roman"/>
          <w:b/>
          <w:bCs/>
          <w:szCs w:val="32"/>
        </w:rPr>
        <w:t>加强文化宣传教育</w:t>
      </w:r>
      <w:bookmarkEnd w:id="50"/>
      <w:r>
        <w:rPr>
          <w:rFonts w:cs="Times New Roman"/>
          <w:b/>
          <w:bCs/>
          <w:szCs w:val="32"/>
        </w:rPr>
        <w:t>。</w:t>
      </w:r>
      <w:r>
        <w:rPr>
          <w:rFonts w:cs="Times New Roman"/>
        </w:rPr>
        <w:t>深入推进安全宣传进企业、进农村、进社区、进学校、进家庭，提高公众防灾避险意识和自救互救能力。结合防灾减灾日、安全生产月、消防宣传月等重要节点，开展形式多样的宣传教育活动。利用片区文化活动室、全民健身广场等建设应急宣教场所，设置应急知识宣传栏，加强生产安全事故典型案例警示教育，普及安全知识，强化应急意识。</w:t>
      </w:r>
    </w:p>
    <w:p>
      <w:pPr>
        <w:ind w:firstLine="643"/>
        <w:rPr>
          <w:rFonts w:cs="Times New Roman"/>
        </w:rPr>
      </w:pPr>
      <w:bookmarkStart w:id="51" w:name="_Toc23511"/>
      <w:bookmarkStart w:id="52" w:name="_Toc21768"/>
      <w:bookmarkStart w:id="53" w:name="_Toc16359"/>
      <w:bookmarkStart w:id="54" w:name="_Toc97021381"/>
      <w:bookmarkStart w:id="55" w:name="_Toc24630"/>
      <w:bookmarkStart w:id="56" w:name="_Toc21612"/>
      <w:bookmarkStart w:id="57" w:name="_Toc13806"/>
      <w:bookmarkStart w:id="58" w:name="_Toc23010"/>
      <w:r>
        <w:rPr>
          <w:rFonts w:cs="Times New Roman"/>
          <w:b/>
          <w:bCs/>
          <w:szCs w:val="32"/>
        </w:rPr>
        <w:t>强化社会协同防范</w:t>
      </w:r>
      <w:bookmarkEnd w:id="51"/>
      <w:bookmarkEnd w:id="52"/>
      <w:bookmarkEnd w:id="53"/>
      <w:bookmarkEnd w:id="54"/>
      <w:bookmarkEnd w:id="55"/>
      <w:bookmarkEnd w:id="56"/>
      <w:bookmarkEnd w:id="57"/>
      <w:bookmarkEnd w:id="58"/>
      <w:r>
        <w:rPr>
          <w:rFonts w:cs="Times New Roman"/>
          <w:b/>
          <w:bCs/>
          <w:szCs w:val="32"/>
        </w:rPr>
        <w:t>。</w:t>
      </w:r>
      <w:r>
        <w:rPr>
          <w:rFonts w:cs="Times New Roman"/>
        </w:rPr>
        <w:t>健全防治结合、联防联控、群防群控的工作机制，完善社区动员、社会救助、社会福利、社会事务、社会力量的</w:t>
      </w:r>
      <w:r>
        <w:rPr>
          <w:rFonts w:hint="eastAsia" w:cs="Times New Roman"/>
        </w:rPr>
        <w:t>“</w:t>
      </w:r>
      <w:r>
        <w:rPr>
          <w:rFonts w:cs="Times New Roman"/>
        </w:rPr>
        <w:t>五社</w:t>
      </w:r>
      <w:r>
        <w:rPr>
          <w:rFonts w:hint="eastAsia" w:cs="Times New Roman"/>
        </w:rPr>
        <w:t>”</w:t>
      </w:r>
      <w:r>
        <w:rPr>
          <w:rFonts w:cs="Times New Roman"/>
        </w:rPr>
        <w:t>联动机制，引导社会公众积极参与突发事件应对工作，开展常态化应急疏散演练。探索推进保险机构灾害事故预防和灾后补偿服务，推行安全生产责任保险。</w:t>
      </w:r>
    </w:p>
    <w:p>
      <w:pPr>
        <w:pBdr>
          <w:top w:val="single" w:color="auto" w:sz="4" w:space="1"/>
          <w:left w:val="single" w:color="auto" w:sz="4" w:space="4"/>
          <w:bottom w:val="single" w:color="auto" w:sz="4" w:space="1"/>
          <w:right w:val="single" w:color="auto" w:sz="4" w:space="4"/>
        </w:pBdr>
        <w:ind w:firstLine="0" w:firstLineChars="0"/>
        <w:jc w:val="center"/>
        <w:rPr>
          <w:rFonts w:cs="Times New Roman"/>
        </w:rPr>
      </w:pPr>
      <w:r>
        <w:rPr>
          <w:rFonts w:cs="Times New Roman"/>
        </w:rPr>
        <w:t>专栏5：共建共治共享重点工程</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1.综合减灾示范社区建设</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28"/>
          <w:szCs w:val="28"/>
        </w:rPr>
      </w:pPr>
      <w:r>
        <w:rPr>
          <w:sz w:val="32"/>
          <w:szCs w:val="22"/>
        </w:rPr>
        <w:t>建设内容：</w:t>
      </w:r>
      <w:r>
        <w:rPr>
          <w:rFonts w:hint="eastAsia"/>
          <w:sz w:val="32"/>
          <w:szCs w:val="22"/>
        </w:rPr>
        <w:t>推进片区开展综合减灾示范村（社区）、安全生产示范村（社区）、安全文化示范单位建设，切实提升公众防灾减灾能力和水平，提高基层关键基础设施和重点场所的安全韧性。其中：争创国家级综合减灾示范村（社区）</w:t>
      </w:r>
      <w:r>
        <w:rPr>
          <w:sz w:val="32"/>
          <w:szCs w:val="22"/>
        </w:rPr>
        <w:t>2</w:t>
      </w:r>
      <w:r>
        <w:rPr>
          <w:rFonts w:hint="eastAsia"/>
          <w:sz w:val="32"/>
          <w:szCs w:val="22"/>
        </w:rPr>
        <w:t>个，省级综合减灾示范村（社区）</w:t>
      </w:r>
      <w:r>
        <w:rPr>
          <w:sz w:val="32"/>
          <w:szCs w:val="22"/>
        </w:rPr>
        <w:t>4</w:t>
      </w:r>
      <w:r>
        <w:rPr>
          <w:rFonts w:hint="eastAsia"/>
          <w:sz w:val="32"/>
          <w:szCs w:val="22"/>
        </w:rPr>
        <w:t>个，省级安全村（社区）</w:t>
      </w:r>
      <w:r>
        <w:rPr>
          <w:sz w:val="32"/>
          <w:szCs w:val="22"/>
        </w:rPr>
        <w:t>3</w:t>
      </w:r>
      <w:r>
        <w:rPr>
          <w:rFonts w:hint="eastAsia"/>
          <w:sz w:val="32"/>
          <w:szCs w:val="22"/>
        </w:rPr>
        <w:t>个。</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建设地点：片区各村（社区）</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责任单位：区应急管理局</w:t>
      </w:r>
      <w:r>
        <w:rPr>
          <w:rFonts w:hint="eastAsia"/>
          <w:sz w:val="32"/>
          <w:szCs w:val="22"/>
        </w:rPr>
        <w:t>，各镇党委和人民政府</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资金估算：总计投入200万元</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完成时限：2035年。</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2.应急宣教阵地建设</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建设内容：在村（居）委会聚居点、文化广场、学校、医院等设置应急知识科普专栏，增加应急知识科普书籍、应急管理时事资讯等文化内容。持续推进安全生产</w:t>
      </w:r>
      <w:r>
        <w:rPr>
          <w:rFonts w:hint="eastAsia" w:ascii="仿宋" w:hAnsi="仿宋" w:cs="仿宋"/>
          <w:sz w:val="32"/>
          <w:szCs w:val="22"/>
        </w:rPr>
        <w:t>“五进”</w:t>
      </w:r>
      <w:r>
        <w:rPr>
          <w:sz w:val="32"/>
          <w:szCs w:val="22"/>
        </w:rPr>
        <w:t>活动，于片区内各村（社区）的党员活动中心设置村级宣教场所，开展宣传培训；学校开展应急宣教进课堂活动，培训儿童和青少年</w:t>
      </w:r>
      <w:r>
        <w:rPr>
          <w:rFonts w:hint="eastAsia"/>
          <w:sz w:val="32"/>
          <w:szCs w:val="22"/>
        </w:rPr>
        <w:t>。</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责任单位：</w:t>
      </w:r>
      <w:r>
        <w:rPr>
          <w:rFonts w:hint="eastAsia"/>
          <w:sz w:val="32"/>
          <w:szCs w:val="22"/>
        </w:rPr>
        <w:t>区应急管理局，区教育和体育局，各镇党委和人民政府</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资金估算：总计投入100万元</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完成期限：2035年</w:t>
      </w:r>
      <w:r>
        <w:rPr>
          <w:rFonts w:hint="eastAsia"/>
          <w:sz w:val="32"/>
          <w:szCs w:val="22"/>
        </w:rPr>
        <w:t>。</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3.</w:t>
      </w:r>
      <w:r>
        <w:rPr>
          <w:rFonts w:hint="eastAsia"/>
          <w:sz w:val="32"/>
          <w:szCs w:val="22"/>
        </w:rPr>
        <w:t>防灾减灾科普示范学校</w:t>
      </w:r>
      <w:r>
        <w:rPr>
          <w:sz w:val="32"/>
          <w:szCs w:val="22"/>
        </w:rPr>
        <w:t>建设</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建设内容：</w:t>
      </w:r>
      <w:r>
        <w:rPr>
          <w:rFonts w:hint="eastAsia"/>
          <w:sz w:val="32"/>
          <w:szCs w:val="22"/>
        </w:rPr>
        <w:t>开展防震减灾科普示范学校建设工作，积极开展防震减灾科普宣传工作。各级各类学校主动、慎重、科学、有效地开展防震减灾科普宣传教育活动，全面提升师生防震减灾意识和防震避震能力，进而在全社会营造防震减灾良好宣传氛围，带动民众提升防震意识。</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建设地点：片区各学校</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责任单位：各镇党委和人民政府</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资金估算：总计投入</w:t>
      </w:r>
      <w:r>
        <w:rPr>
          <w:rFonts w:hint="eastAsia"/>
          <w:sz w:val="32"/>
          <w:szCs w:val="22"/>
        </w:rPr>
        <w:t>1</w:t>
      </w:r>
      <w:r>
        <w:rPr>
          <w:sz w:val="32"/>
          <w:szCs w:val="22"/>
        </w:rPr>
        <w:t>00万元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rPr>
        <w:t>完成期限：2035年</w:t>
      </w:r>
      <w:r>
        <w:rPr>
          <w:rFonts w:hint="eastAsia" w:cs="Times New Roman"/>
        </w:rPr>
        <w:t>。</w:t>
      </w:r>
    </w:p>
    <w:bookmarkEnd w:id="44"/>
    <w:p>
      <w:pPr>
        <w:pStyle w:val="3"/>
        <w:rPr>
          <w:rFonts w:cs="Times New Roman"/>
        </w:rPr>
      </w:pPr>
      <w:bookmarkStart w:id="59" w:name="_Toc98773659"/>
      <w:bookmarkStart w:id="60" w:name="_Toc91790511"/>
      <w:bookmarkStart w:id="61" w:name="_Toc2746"/>
      <w:r>
        <w:rPr>
          <w:rFonts w:cs="Times New Roman"/>
        </w:rPr>
        <w:br w:type="page"/>
      </w:r>
    </w:p>
    <w:p>
      <w:pPr>
        <w:pStyle w:val="3"/>
        <w:rPr>
          <w:rFonts w:cs="Times New Roman"/>
        </w:rPr>
      </w:pPr>
      <w:r>
        <w:rPr>
          <w:rFonts w:cs="Times New Roman"/>
        </w:rPr>
        <w:t>五、保障措施</w:t>
      </w:r>
      <w:bookmarkEnd w:id="59"/>
      <w:bookmarkEnd w:id="60"/>
      <w:bookmarkEnd w:id="61"/>
      <w:bookmarkStart w:id="62" w:name="_Toc98773660"/>
      <w:bookmarkStart w:id="63" w:name="_Toc91790512"/>
    </w:p>
    <w:bookmarkEnd w:id="62"/>
    <w:bookmarkEnd w:id="63"/>
    <w:p>
      <w:pPr>
        <w:pStyle w:val="4"/>
        <w:rPr>
          <w:rFonts w:cs="Times New Roman"/>
          <w:bCs w:val="0"/>
        </w:rPr>
      </w:pPr>
      <w:bookmarkStart w:id="64" w:name="_Toc11031"/>
      <w:bookmarkStart w:id="65" w:name="_Toc28610"/>
      <w:r>
        <w:rPr>
          <w:rFonts w:cs="Times New Roman"/>
          <w:bCs w:val="0"/>
        </w:rPr>
        <w:t>（一）完善组织保障</w:t>
      </w:r>
      <w:bookmarkEnd w:id="64"/>
      <w:bookmarkEnd w:id="65"/>
    </w:p>
    <w:p>
      <w:pPr>
        <w:ind w:firstLine="640"/>
        <w:rPr>
          <w:rFonts w:cs="Times New Roman"/>
        </w:rPr>
      </w:pPr>
      <w:bookmarkStart w:id="66" w:name="_Toc98773661"/>
      <w:bookmarkStart w:id="67" w:name="_Toc91790513"/>
      <w:bookmarkStart w:id="68" w:name="_Toc12001"/>
      <w:r>
        <w:rPr>
          <w:rFonts w:cs="Times New Roman"/>
        </w:rPr>
        <w:t>加强组织领导，统筹协调推进。根据本规划要求，结合实际制定规划实施方案，细化工作分工，严格落实责任主体，加强规划实施与年度计划的衔接，明确规划各项任务的推进计划、时间节点和阶段目标。强化统筹协调，确保规划实施有序推进、确保重大举措有效落地，确保各项目标如期实现。</w:t>
      </w:r>
    </w:p>
    <w:bookmarkEnd w:id="66"/>
    <w:bookmarkEnd w:id="67"/>
    <w:bookmarkEnd w:id="68"/>
    <w:p>
      <w:pPr>
        <w:pStyle w:val="4"/>
        <w:rPr>
          <w:rFonts w:cs="Times New Roman"/>
        </w:rPr>
      </w:pPr>
      <w:bookmarkStart w:id="69" w:name="_Toc12446"/>
      <w:bookmarkStart w:id="70" w:name="_Toc98773662"/>
      <w:r>
        <w:rPr>
          <w:rFonts w:cs="Times New Roman"/>
        </w:rPr>
        <w:t>（二）强化资金保障</w:t>
      </w:r>
      <w:bookmarkEnd w:id="69"/>
    </w:p>
    <w:p>
      <w:pPr>
        <w:ind w:firstLine="640"/>
        <w:rPr>
          <w:rFonts w:cs="Times New Roman"/>
        </w:rPr>
      </w:pPr>
      <w:r>
        <w:rPr>
          <w:rFonts w:cs="Times New Roman"/>
        </w:rPr>
        <w:t>优化资金投入机制，积极争取上级政策和财政支持，区财政局统筹安排规划重大工程项目所需财政资金。建立健全政府、企业、社会相结合的应急管理体系投入机制，扩大应急管理专项资金规模，发挥财政资金引领带动作用，动员全社会广泛参与应急管理事业建设，保障工程项目实施落地，加强资金的使用和管理。</w:t>
      </w:r>
    </w:p>
    <w:bookmarkEnd w:id="70"/>
    <w:p>
      <w:pPr>
        <w:pStyle w:val="4"/>
        <w:rPr>
          <w:rFonts w:cs="Times New Roman"/>
        </w:rPr>
      </w:pPr>
      <w:bookmarkStart w:id="71" w:name="_Toc1441"/>
      <w:bookmarkStart w:id="72" w:name="_Toc17249"/>
      <w:r>
        <w:rPr>
          <w:rFonts w:cs="Times New Roman"/>
        </w:rPr>
        <w:t>（三）强化政策保障</w:t>
      </w:r>
      <w:bookmarkEnd w:id="71"/>
      <w:bookmarkEnd w:id="72"/>
    </w:p>
    <w:p>
      <w:pPr>
        <w:widowControl/>
        <w:ind w:firstLine="640"/>
        <w:jc w:val="left"/>
        <w:rPr>
          <w:rFonts w:cs="Times New Roman"/>
        </w:rPr>
      </w:pPr>
      <w:bookmarkStart w:id="73" w:name="_Toc19127"/>
      <w:r>
        <w:rPr>
          <w:rFonts w:cs="Times New Roman"/>
        </w:rPr>
        <w:t>结合两项改革</w:t>
      </w:r>
      <w:r>
        <w:rPr>
          <w:rFonts w:hint="eastAsia" w:cs="Times New Roman"/>
        </w:rPr>
        <w:t>“</w:t>
      </w:r>
      <w:r>
        <w:rPr>
          <w:rFonts w:cs="Times New Roman"/>
        </w:rPr>
        <w:t>后半篇</w:t>
      </w:r>
      <w:r>
        <w:rPr>
          <w:rFonts w:hint="eastAsia" w:cs="Times New Roman"/>
        </w:rPr>
        <w:t>”</w:t>
      </w:r>
      <w:r>
        <w:rPr>
          <w:rFonts w:cs="Times New Roman"/>
        </w:rPr>
        <w:t>文章专项工作方案及专项规划，制定详细项目计划安排。协调项目完成情况纳入相关负责人的年度目标任务履职考核，量化考核任务，细化考核目标。</w:t>
      </w:r>
      <w:r>
        <w:rPr>
          <w:rFonts w:cs="Times New Roman"/>
          <w:lang w:bidi="ar"/>
        </w:rPr>
        <w:t>片区管辖</w:t>
      </w:r>
      <w:r>
        <w:rPr>
          <w:rFonts w:hint="eastAsia" w:cs="Times New Roman"/>
          <w:lang w:bidi="ar"/>
        </w:rPr>
        <w:t>各镇</w:t>
      </w:r>
      <w:r>
        <w:rPr>
          <w:rFonts w:cs="Times New Roman"/>
          <w:lang w:bidi="ar"/>
        </w:rPr>
        <w:t>开展规划实施年度监测分析、中期评估和终期评估，及时公布进展情况，加强对片区规划实施情况的监督检查和考核评估，确保工作有序推进。</w:t>
      </w:r>
    </w:p>
    <w:p>
      <w:pPr>
        <w:pStyle w:val="4"/>
        <w:rPr>
          <w:rFonts w:cs="Times New Roman"/>
        </w:rPr>
      </w:pPr>
      <w:bookmarkStart w:id="74" w:name="_Toc18819"/>
      <w:r>
        <w:rPr>
          <w:rFonts w:cs="Times New Roman"/>
        </w:rPr>
        <w:t>（四）加大督查问效</w:t>
      </w:r>
      <w:bookmarkEnd w:id="73"/>
      <w:bookmarkEnd w:id="74"/>
    </w:p>
    <w:p>
      <w:pPr>
        <w:widowControl/>
        <w:ind w:firstLine="640"/>
        <w:rPr>
          <w:rFonts w:cs="Times New Roman"/>
        </w:rPr>
        <w:sectPr>
          <w:footerReference r:id="rId12" w:type="first"/>
          <w:footerReference r:id="rId11" w:type="default"/>
          <w:pgSz w:w="11906" w:h="16838"/>
          <w:pgMar w:top="1458" w:right="1474" w:bottom="1985" w:left="1588" w:header="851" w:footer="1134" w:gutter="0"/>
          <w:pgNumType w:start="1"/>
          <w:cols w:space="425" w:num="1"/>
          <w:titlePg/>
          <w:docGrid w:type="lines" w:linePitch="435" w:charSpace="0"/>
        </w:sectPr>
      </w:pPr>
      <w:r>
        <w:rPr>
          <w:rFonts w:cs="Times New Roman"/>
        </w:rPr>
        <w:t>建立督导、考核以及</w:t>
      </w:r>
      <w:r>
        <w:rPr>
          <w:rFonts w:cs="Times New Roman"/>
          <w:kern w:val="0"/>
          <w:szCs w:val="32"/>
        </w:rPr>
        <w:t>履职</w:t>
      </w:r>
      <w:r>
        <w:rPr>
          <w:rFonts w:cs="Times New Roman"/>
        </w:rPr>
        <w:t>尽责、监督问责机制，坚持将应急管理与经济社会发展同步推进落实，把应急管理工作纳入领导干部绩效考核，结合年度工作安排，分解落实规划目标与任务，建立科学的考核评价机制，全面分析检查规划实施效果。加强应急管理政策落实、重大项目建设、资金物资使用等审计监督，实施过程中要根据统一部署开展规划评估工作，确保各项规划任务落地，按时保质完成规划目标。加强规划实施的社会监督，开展规划宣传和展示，及时公布规划的进展情况，营造全员共同参与和支持规划实施的氛围，确保规划相关任务高质量完成。</w:t>
      </w:r>
    </w:p>
    <w:p>
      <w:pPr>
        <w:spacing w:line="600" w:lineRule="exact"/>
        <w:ind w:firstLine="0" w:firstLineChars="0"/>
        <w:jc w:val="left"/>
        <w:outlineLvl w:val="0"/>
        <w:rPr>
          <w:rFonts w:eastAsia="黑体" w:cs="Times New Roman"/>
          <w:szCs w:val="32"/>
        </w:rPr>
      </w:pPr>
      <w:bookmarkStart w:id="75" w:name="_Toc6135"/>
      <w:bookmarkStart w:id="76" w:name="_Toc22538"/>
      <w:r>
        <w:rPr>
          <w:rFonts w:eastAsia="黑体" w:cs="Times New Roman"/>
          <w:szCs w:val="32"/>
        </w:rPr>
        <w:t>附表</w:t>
      </w:r>
      <w:bookmarkEnd w:id="75"/>
      <w:bookmarkEnd w:id="76"/>
    </w:p>
    <w:p>
      <w:pPr>
        <w:ind w:firstLine="640"/>
        <w:rPr>
          <w:rFonts w:cs="Times New Roman"/>
          <w:szCs w:val="32"/>
        </w:rPr>
      </w:pPr>
      <w:r>
        <w:rPr>
          <w:rFonts w:cs="Times New Roman"/>
          <w:szCs w:val="32"/>
        </w:rPr>
        <w:t>1.片区企业风险等级及分布表……………………………35</w:t>
      </w:r>
    </w:p>
    <w:p>
      <w:pPr>
        <w:ind w:firstLine="640"/>
        <w:rPr>
          <w:rFonts w:cs="Times New Roman"/>
          <w:szCs w:val="32"/>
        </w:rPr>
      </w:pPr>
      <w:r>
        <w:rPr>
          <w:rFonts w:cs="Times New Roman"/>
          <w:szCs w:val="32"/>
        </w:rPr>
        <w:t>2.片区近年来典型安全生产和自然灾害事故统计表……36</w:t>
      </w:r>
    </w:p>
    <w:p>
      <w:pPr>
        <w:ind w:firstLine="640"/>
        <w:rPr>
          <w:rFonts w:cs="Times New Roman"/>
          <w:szCs w:val="32"/>
        </w:rPr>
      </w:pPr>
      <w:r>
        <w:rPr>
          <w:rFonts w:cs="Times New Roman"/>
          <w:szCs w:val="32"/>
        </w:rPr>
        <w:t>3.片区应急队伍统计及分布表……………………………37</w:t>
      </w:r>
    </w:p>
    <w:p>
      <w:pPr>
        <w:ind w:firstLine="640"/>
        <w:rPr>
          <w:rFonts w:cs="Times New Roman"/>
          <w:szCs w:val="32"/>
        </w:rPr>
      </w:pPr>
      <w:r>
        <w:rPr>
          <w:rFonts w:cs="Times New Roman"/>
          <w:szCs w:val="32"/>
        </w:rPr>
        <w:t>4.片区应急救援装备、物资统计及分布表………………40</w:t>
      </w:r>
    </w:p>
    <w:p>
      <w:pPr>
        <w:ind w:firstLine="640"/>
        <w:rPr>
          <w:rFonts w:cs="Times New Roman"/>
          <w:szCs w:val="32"/>
        </w:rPr>
      </w:pPr>
      <w:r>
        <w:rPr>
          <w:rFonts w:cs="Times New Roman"/>
          <w:szCs w:val="32"/>
        </w:rPr>
        <w:t>5.片区应急管理用地现状和规划用地指标………………42</w:t>
      </w:r>
    </w:p>
    <w:p>
      <w:pPr>
        <w:ind w:firstLine="640"/>
        <w:rPr>
          <w:rFonts w:cs="Times New Roman"/>
          <w:szCs w:val="32"/>
        </w:rPr>
        <w:sectPr>
          <w:pgSz w:w="11906" w:h="16838"/>
          <w:pgMar w:top="2098" w:right="1474" w:bottom="1984" w:left="1587" w:header="851" w:footer="1134" w:gutter="0"/>
          <w:cols w:space="0" w:num="1"/>
          <w:docGrid w:type="lines" w:linePitch="435" w:charSpace="0"/>
        </w:sectPr>
      </w:pPr>
      <w:r>
        <w:rPr>
          <w:rFonts w:cs="Times New Roman"/>
          <w:szCs w:val="32"/>
        </w:rPr>
        <w:t>6.片区重点工程项目统计表………………………………47</w:t>
      </w:r>
    </w:p>
    <w:p>
      <w:pPr>
        <w:ind w:firstLine="643"/>
        <w:jc w:val="center"/>
        <w:rPr>
          <w:rFonts w:cs="Times New Roman"/>
          <w:b/>
          <w:bCs/>
          <w:szCs w:val="32"/>
        </w:rPr>
      </w:pPr>
      <w:r>
        <w:rPr>
          <w:rFonts w:eastAsia="黑体" w:cs="Times New Roman"/>
          <w:b/>
          <w:bCs/>
          <w:szCs w:val="32"/>
        </w:rPr>
        <w:t>附表1  企业风险等级及分布表</w:t>
      </w:r>
    </w:p>
    <w:tbl>
      <w:tblPr>
        <w:tblStyle w:val="23"/>
        <w:tblW w:w="10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276"/>
        <w:gridCol w:w="3139"/>
        <w:gridCol w:w="1276"/>
        <w:gridCol w:w="1397"/>
        <w:gridCol w:w="127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序号</w:t>
            </w:r>
          </w:p>
        </w:tc>
        <w:tc>
          <w:tcPr>
            <w:tcW w:w="1276"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类型</w:t>
            </w:r>
          </w:p>
        </w:tc>
        <w:tc>
          <w:tcPr>
            <w:tcW w:w="3139"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kern w:val="0"/>
                <w:sz w:val="24"/>
                <w:szCs w:val="24"/>
              </w:rPr>
              <w:t>企业名称</w:t>
            </w:r>
          </w:p>
        </w:tc>
        <w:tc>
          <w:tcPr>
            <w:tcW w:w="1276"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地址</w:t>
            </w:r>
          </w:p>
        </w:tc>
        <w:tc>
          <w:tcPr>
            <w:tcW w:w="1397"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kern w:val="0"/>
                <w:sz w:val="24"/>
                <w:szCs w:val="24"/>
              </w:rPr>
              <w:t>危险源</w:t>
            </w:r>
          </w:p>
        </w:tc>
        <w:tc>
          <w:tcPr>
            <w:tcW w:w="1275" w:type="dxa"/>
          </w:tcPr>
          <w:p>
            <w:pPr>
              <w:ind w:firstLine="0" w:firstLineChars="0"/>
              <w:jc w:val="center"/>
              <w:rPr>
                <w:rFonts w:cs="Times New Roman"/>
                <w:b/>
                <w:bCs/>
                <w:color w:val="000000"/>
                <w:kern w:val="0"/>
                <w:sz w:val="24"/>
                <w:szCs w:val="24"/>
              </w:rPr>
            </w:pPr>
            <w:r>
              <w:rPr>
                <w:rFonts w:cs="Times New Roman"/>
                <w:b/>
                <w:bCs/>
                <w:color w:val="000000"/>
                <w:kern w:val="0"/>
                <w:sz w:val="24"/>
                <w:szCs w:val="24"/>
              </w:rPr>
              <w:t>风险等级</w:t>
            </w:r>
          </w:p>
        </w:tc>
        <w:tc>
          <w:tcPr>
            <w:tcW w:w="1276" w:type="dxa"/>
          </w:tcPr>
          <w:p>
            <w:pPr>
              <w:ind w:firstLine="0" w:firstLineChars="0"/>
              <w:jc w:val="center"/>
              <w:rPr>
                <w:rFonts w:cs="Times New Roman"/>
                <w:b/>
                <w:bCs/>
                <w:color w:val="000000"/>
                <w:kern w:val="0"/>
                <w:sz w:val="24"/>
                <w:szCs w:val="24"/>
              </w:rPr>
            </w:pPr>
            <w:r>
              <w:rPr>
                <w:rFonts w:cs="Times New Roman"/>
                <w:b/>
                <w:bCs/>
                <w:color w:val="000000"/>
                <w:kern w:val="0"/>
                <w:sz w:val="24"/>
                <w:szCs w:val="24"/>
              </w:rPr>
              <w:t>生产情况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w:t>
            </w:r>
          </w:p>
        </w:tc>
        <w:tc>
          <w:tcPr>
            <w:tcW w:w="1276"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建材</w:t>
            </w:r>
          </w:p>
        </w:tc>
        <w:tc>
          <w:tcPr>
            <w:tcW w:w="313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ascii="宋体" w:hAnsi="宋体" w:eastAsia="宋体" w:cs="宋体"/>
                <w:color w:val="000000"/>
                <w:kern w:val="0"/>
                <w:sz w:val="22"/>
                <w:lang w:bidi="ar"/>
              </w:rPr>
              <w:t>遂宁市安居区宏发机砖厂</w:t>
            </w:r>
          </w:p>
        </w:tc>
        <w:tc>
          <w:tcPr>
            <w:tcW w:w="1276" w:type="dxa"/>
            <w:noWrap/>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拦江</w:t>
            </w:r>
            <w:r>
              <w:rPr>
                <w:rFonts w:ascii="宋体" w:hAnsi="宋体" w:eastAsia="宋体" w:cs="宋体"/>
                <w:color w:val="000000"/>
                <w:kern w:val="0"/>
                <w:sz w:val="22"/>
                <w:lang w:bidi="ar"/>
              </w:rPr>
              <w:t>镇</w:t>
            </w:r>
          </w:p>
        </w:tc>
        <w:tc>
          <w:tcPr>
            <w:tcW w:w="1397" w:type="dxa"/>
            <w:noWrap/>
            <w:vAlign w:val="center"/>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机械伤害</w:t>
            </w:r>
          </w:p>
        </w:tc>
        <w:tc>
          <w:tcPr>
            <w:tcW w:w="1275"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C</w:t>
            </w:r>
          </w:p>
        </w:tc>
        <w:tc>
          <w:tcPr>
            <w:tcW w:w="1276"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w:t>
            </w:r>
          </w:p>
        </w:tc>
        <w:tc>
          <w:tcPr>
            <w:tcW w:w="1276" w:type="dxa"/>
            <w:vMerge w:val="restart"/>
            <w:vAlign w:val="center"/>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加油站</w:t>
            </w:r>
          </w:p>
        </w:tc>
        <w:tc>
          <w:tcPr>
            <w:tcW w:w="3139"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白马加油站</w:t>
            </w:r>
          </w:p>
        </w:tc>
        <w:tc>
          <w:tcPr>
            <w:tcW w:w="1276" w:type="dxa"/>
            <w:noWrap/>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白马</w:t>
            </w:r>
            <w:r>
              <w:rPr>
                <w:rFonts w:ascii="宋体" w:hAnsi="宋体" w:eastAsia="宋体" w:cs="宋体"/>
                <w:color w:val="000000"/>
                <w:kern w:val="0"/>
                <w:sz w:val="22"/>
                <w:lang w:bidi="ar"/>
              </w:rPr>
              <w:t>镇</w:t>
            </w:r>
          </w:p>
        </w:tc>
        <w:tc>
          <w:tcPr>
            <w:tcW w:w="1397" w:type="dxa"/>
            <w:noWrap/>
            <w:vAlign w:val="center"/>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易燃易爆</w:t>
            </w:r>
          </w:p>
        </w:tc>
        <w:tc>
          <w:tcPr>
            <w:tcW w:w="1275"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B</w:t>
            </w:r>
          </w:p>
        </w:tc>
        <w:tc>
          <w:tcPr>
            <w:tcW w:w="1276"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w:t>
            </w:r>
          </w:p>
        </w:tc>
        <w:tc>
          <w:tcPr>
            <w:tcW w:w="1276" w:type="dxa"/>
            <w:vMerge w:val="continue"/>
            <w:vAlign w:val="center"/>
          </w:tcPr>
          <w:p>
            <w:pPr>
              <w:ind w:firstLine="0" w:firstLineChars="0"/>
              <w:jc w:val="center"/>
              <w:rPr>
                <w:rFonts w:ascii="宋体" w:hAnsi="宋体" w:eastAsia="宋体" w:cs="宋体"/>
                <w:color w:val="000000"/>
                <w:kern w:val="0"/>
                <w:sz w:val="22"/>
                <w:lang w:bidi="ar"/>
              </w:rPr>
            </w:pPr>
          </w:p>
        </w:tc>
        <w:tc>
          <w:tcPr>
            <w:tcW w:w="3139"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遂宁市安居区凤鸣加油站</w:t>
            </w:r>
          </w:p>
        </w:tc>
        <w:tc>
          <w:tcPr>
            <w:tcW w:w="1276" w:type="dxa"/>
            <w:noWrap/>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拦江镇</w:t>
            </w:r>
          </w:p>
        </w:tc>
        <w:tc>
          <w:tcPr>
            <w:tcW w:w="1397" w:type="dxa"/>
            <w:noWrap/>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易燃易爆</w:t>
            </w:r>
          </w:p>
        </w:tc>
        <w:tc>
          <w:tcPr>
            <w:tcW w:w="1275"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B</w:t>
            </w:r>
          </w:p>
        </w:tc>
        <w:tc>
          <w:tcPr>
            <w:tcW w:w="1276"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4</w:t>
            </w:r>
          </w:p>
        </w:tc>
        <w:tc>
          <w:tcPr>
            <w:tcW w:w="1276" w:type="dxa"/>
            <w:vMerge w:val="continue"/>
            <w:vAlign w:val="center"/>
          </w:tcPr>
          <w:p>
            <w:pPr>
              <w:ind w:firstLine="0" w:firstLineChars="0"/>
              <w:jc w:val="center"/>
              <w:rPr>
                <w:rFonts w:ascii="宋体" w:hAnsi="宋体" w:eastAsia="宋体" w:cs="宋体"/>
                <w:color w:val="000000"/>
                <w:kern w:val="0"/>
                <w:sz w:val="22"/>
                <w:lang w:bidi="ar"/>
              </w:rPr>
            </w:pPr>
          </w:p>
        </w:tc>
        <w:tc>
          <w:tcPr>
            <w:tcW w:w="3139"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遂宁市安居区遂蓬加油站</w:t>
            </w:r>
          </w:p>
        </w:tc>
        <w:tc>
          <w:tcPr>
            <w:tcW w:w="1276" w:type="dxa"/>
            <w:noWrap/>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拦江镇</w:t>
            </w:r>
          </w:p>
        </w:tc>
        <w:tc>
          <w:tcPr>
            <w:tcW w:w="1397" w:type="dxa"/>
            <w:noWrap/>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易燃易爆</w:t>
            </w:r>
          </w:p>
        </w:tc>
        <w:tc>
          <w:tcPr>
            <w:tcW w:w="1275"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B</w:t>
            </w:r>
          </w:p>
        </w:tc>
        <w:tc>
          <w:tcPr>
            <w:tcW w:w="1276"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w:t>
            </w:r>
          </w:p>
        </w:tc>
        <w:tc>
          <w:tcPr>
            <w:tcW w:w="1276" w:type="dxa"/>
            <w:vMerge w:val="continue"/>
            <w:vAlign w:val="center"/>
          </w:tcPr>
          <w:p>
            <w:pPr>
              <w:ind w:firstLine="0" w:firstLineChars="0"/>
              <w:jc w:val="center"/>
              <w:rPr>
                <w:rFonts w:ascii="宋体" w:hAnsi="宋体" w:eastAsia="宋体" w:cs="宋体"/>
                <w:color w:val="000000"/>
                <w:kern w:val="0"/>
                <w:sz w:val="22"/>
                <w:lang w:bidi="ar"/>
              </w:rPr>
            </w:pPr>
          </w:p>
        </w:tc>
        <w:tc>
          <w:tcPr>
            <w:tcW w:w="3139"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遂宁市安居区光辉加油站</w:t>
            </w:r>
          </w:p>
        </w:tc>
        <w:tc>
          <w:tcPr>
            <w:tcW w:w="1276" w:type="dxa"/>
            <w:noWrap/>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拦江镇</w:t>
            </w:r>
          </w:p>
        </w:tc>
        <w:tc>
          <w:tcPr>
            <w:tcW w:w="1397" w:type="dxa"/>
            <w:noWrap/>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易燃易爆</w:t>
            </w:r>
          </w:p>
        </w:tc>
        <w:tc>
          <w:tcPr>
            <w:tcW w:w="1275"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B</w:t>
            </w:r>
          </w:p>
        </w:tc>
        <w:tc>
          <w:tcPr>
            <w:tcW w:w="1276"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6</w:t>
            </w:r>
          </w:p>
        </w:tc>
        <w:tc>
          <w:tcPr>
            <w:tcW w:w="1276" w:type="dxa"/>
            <w:vMerge w:val="continue"/>
            <w:vAlign w:val="center"/>
          </w:tcPr>
          <w:p>
            <w:pPr>
              <w:ind w:firstLine="0" w:firstLineChars="0"/>
              <w:jc w:val="center"/>
              <w:rPr>
                <w:rFonts w:ascii="宋体" w:hAnsi="宋体" w:eastAsia="宋体" w:cs="宋体"/>
                <w:color w:val="000000"/>
                <w:kern w:val="0"/>
                <w:sz w:val="22"/>
                <w:lang w:bidi="ar"/>
              </w:rPr>
            </w:pPr>
          </w:p>
        </w:tc>
        <w:tc>
          <w:tcPr>
            <w:tcW w:w="3139"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中兴加油站</w:t>
            </w:r>
          </w:p>
        </w:tc>
        <w:tc>
          <w:tcPr>
            <w:tcW w:w="1276" w:type="dxa"/>
            <w:noWrap/>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中兴镇</w:t>
            </w:r>
          </w:p>
        </w:tc>
        <w:tc>
          <w:tcPr>
            <w:tcW w:w="1397" w:type="dxa"/>
            <w:noWrap/>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易燃易爆</w:t>
            </w:r>
          </w:p>
        </w:tc>
        <w:tc>
          <w:tcPr>
            <w:tcW w:w="1275"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B</w:t>
            </w:r>
          </w:p>
        </w:tc>
        <w:tc>
          <w:tcPr>
            <w:tcW w:w="1276"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7</w:t>
            </w:r>
          </w:p>
        </w:tc>
        <w:tc>
          <w:tcPr>
            <w:tcW w:w="1276" w:type="dxa"/>
            <w:vAlign w:val="center"/>
          </w:tcPr>
          <w:p>
            <w:pPr>
              <w:spacing w:line="240" w:lineRule="exact"/>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危险爆炸品存储</w:t>
            </w:r>
          </w:p>
        </w:tc>
        <w:tc>
          <w:tcPr>
            <w:tcW w:w="3139"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宝泉沟村炸药库</w:t>
            </w:r>
          </w:p>
        </w:tc>
        <w:tc>
          <w:tcPr>
            <w:tcW w:w="1276"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白马</w:t>
            </w:r>
            <w:r>
              <w:rPr>
                <w:rFonts w:ascii="宋体" w:hAnsi="宋体" w:eastAsia="宋体" w:cs="宋体"/>
                <w:color w:val="000000"/>
                <w:kern w:val="0"/>
                <w:sz w:val="22"/>
                <w:lang w:bidi="ar"/>
              </w:rPr>
              <w:t>镇</w:t>
            </w:r>
          </w:p>
        </w:tc>
        <w:tc>
          <w:tcPr>
            <w:tcW w:w="1397" w:type="dxa"/>
            <w:noWrap/>
            <w:vAlign w:val="center"/>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易燃易爆</w:t>
            </w:r>
          </w:p>
        </w:tc>
        <w:tc>
          <w:tcPr>
            <w:tcW w:w="1275" w:type="dxa"/>
            <w:vAlign w:val="center"/>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B</w:t>
            </w:r>
          </w:p>
        </w:tc>
        <w:tc>
          <w:tcPr>
            <w:tcW w:w="1276" w:type="dxa"/>
            <w:vAlign w:val="center"/>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8</w:t>
            </w:r>
          </w:p>
        </w:tc>
        <w:tc>
          <w:tcPr>
            <w:tcW w:w="1276" w:type="dxa"/>
            <w:vMerge w:val="restart"/>
            <w:vAlign w:val="center"/>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天然气供应设施</w:t>
            </w:r>
          </w:p>
        </w:tc>
        <w:tc>
          <w:tcPr>
            <w:tcW w:w="3139"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蓬探-303井（四方井村）</w:t>
            </w:r>
          </w:p>
        </w:tc>
        <w:tc>
          <w:tcPr>
            <w:tcW w:w="1276"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白马镇</w:t>
            </w:r>
          </w:p>
        </w:tc>
        <w:tc>
          <w:tcPr>
            <w:tcW w:w="1397" w:type="dxa"/>
            <w:noWrap/>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易燃易爆</w:t>
            </w:r>
          </w:p>
        </w:tc>
        <w:tc>
          <w:tcPr>
            <w:tcW w:w="1275"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B</w:t>
            </w:r>
          </w:p>
        </w:tc>
        <w:tc>
          <w:tcPr>
            <w:tcW w:w="1276"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9</w:t>
            </w:r>
          </w:p>
        </w:tc>
        <w:tc>
          <w:tcPr>
            <w:tcW w:w="1276" w:type="dxa"/>
            <w:vMerge w:val="continue"/>
            <w:vAlign w:val="center"/>
          </w:tcPr>
          <w:p>
            <w:pPr>
              <w:ind w:firstLine="0" w:firstLineChars="0"/>
              <w:jc w:val="center"/>
              <w:rPr>
                <w:rFonts w:ascii="宋体" w:hAnsi="宋体" w:eastAsia="宋体" w:cs="宋体"/>
                <w:color w:val="000000"/>
                <w:kern w:val="0"/>
                <w:sz w:val="22"/>
                <w:lang w:bidi="ar"/>
              </w:rPr>
            </w:pPr>
          </w:p>
        </w:tc>
        <w:tc>
          <w:tcPr>
            <w:tcW w:w="3139"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蓬探-101井（青峰村）</w:t>
            </w:r>
          </w:p>
        </w:tc>
        <w:tc>
          <w:tcPr>
            <w:tcW w:w="1276"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白马镇</w:t>
            </w:r>
          </w:p>
        </w:tc>
        <w:tc>
          <w:tcPr>
            <w:tcW w:w="1397" w:type="dxa"/>
            <w:noWrap/>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易燃易爆</w:t>
            </w:r>
          </w:p>
        </w:tc>
        <w:tc>
          <w:tcPr>
            <w:tcW w:w="1275"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B</w:t>
            </w:r>
          </w:p>
        </w:tc>
        <w:tc>
          <w:tcPr>
            <w:tcW w:w="1276"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w:t>
            </w:r>
            <w:r>
              <w:rPr>
                <w:rFonts w:cs="Times New Roman"/>
                <w:color w:val="000000" w:themeColor="text1"/>
                <w:sz w:val="24"/>
                <w:szCs w:val="24"/>
                <w14:textFill>
                  <w14:solidFill>
                    <w14:schemeClr w14:val="tx1"/>
                  </w14:solidFill>
                </w14:textFill>
              </w:rPr>
              <w:t>0</w:t>
            </w:r>
          </w:p>
        </w:tc>
        <w:tc>
          <w:tcPr>
            <w:tcW w:w="1276" w:type="dxa"/>
            <w:vMerge w:val="restart"/>
            <w:vAlign w:val="center"/>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天然气</w:t>
            </w:r>
          </w:p>
        </w:tc>
        <w:tc>
          <w:tcPr>
            <w:tcW w:w="3139"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遂宁万源天然气有限公司</w:t>
            </w:r>
          </w:p>
        </w:tc>
        <w:tc>
          <w:tcPr>
            <w:tcW w:w="1276"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白马镇</w:t>
            </w:r>
          </w:p>
        </w:tc>
        <w:tc>
          <w:tcPr>
            <w:tcW w:w="1397" w:type="dxa"/>
            <w:noWrap/>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易燃易爆</w:t>
            </w:r>
          </w:p>
        </w:tc>
        <w:tc>
          <w:tcPr>
            <w:tcW w:w="1275"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D</w:t>
            </w:r>
          </w:p>
        </w:tc>
        <w:tc>
          <w:tcPr>
            <w:tcW w:w="1276"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w:t>
            </w:r>
            <w:r>
              <w:rPr>
                <w:rFonts w:cs="Times New Roman"/>
                <w:color w:val="000000" w:themeColor="text1"/>
                <w:sz w:val="24"/>
                <w:szCs w:val="24"/>
                <w14:textFill>
                  <w14:solidFill>
                    <w14:schemeClr w14:val="tx1"/>
                  </w14:solidFill>
                </w14:textFill>
              </w:rPr>
              <w:t>1</w:t>
            </w:r>
          </w:p>
        </w:tc>
        <w:tc>
          <w:tcPr>
            <w:tcW w:w="1276" w:type="dxa"/>
            <w:vMerge w:val="continue"/>
            <w:vAlign w:val="center"/>
          </w:tcPr>
          <w:p>
            <w:pPr>
              <w:ind w:firstLine="0" w:firstLineChars="0"/>
              <w:jc w:val="center"/>
              <w:rPr>
                <w:rFonts w:ascii="宋体" w:hAnsi="宋体" w:eastAsia="宋体" w:cs="宋体"/>
                <w:color w:val="000000"/>
                <w:kern w:val="0"/>
                <w:sz w:val="22"/>
                <w:lang w:bidi="ar"/>
              </w:rPr>
            </w:pPr>
          </w:p>
        </w:tc>
        <w:tc>
          <w:tcPr>
            <w:tcW w:w="3139"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田玉英液化气销售门面</w:t>
            </w:r>
          </w:p>
        </w:tc>
        <w:tc>
          <w:tcPr>
            <w:tcW w:w="1276" w:type="dxa"/>
            <w:noWrap/>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拦江镇</w:t>
            </w:r>
          </w:p>
        </w:tc>
        <w:tc>
          <w:tcPr>
            <w:tcW w:w="1397" w:type="dxa"/>
            <w:noWrap/>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易燃易爆</w:t>
            </w:r>
          </w:p>
        </w:tc>
        <w:tc>
          <w:tcPr>
            <w:tcW w:w="1275"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D</w:t>
            </w:r>
          </w:p>
        </w:tc>
        <w:tc>
          <w:tcPr>
            <w:tcW w:w="1276"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12</w:t>
            </w:r>
          </w:p>
        </w:tc>
        <w:tc>
          <w:tcPr>
            <w:tcW w:w="1276" w:type="dxa"/>
            <w:vMerge w:val="restart"/>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工贸企业</w:t>
            </w:r>
          </w:p>
        </w:tc>
        <w:tc>
          <w:tcPr>
            <w:tcW w:w="3139"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花天坝木材加工厂</w:t>
            </w:r>
          </w:p>
        </w:tc>
        <w:tc>
          <w:tcPr>
            <w:tcW w:w="1276"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白马镇</w:t>
            </w:r>
          </w:p>
        </w:tc>
        <w:tc>
          <w:tcPr>
            <w:tcW w:w="1397"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易燃</w:t>
            </w:r>
          </w:p>
        </w:tc>
        <w:tc>
          <w:tcPr>
            <w:tcW w:w="1275" w:type="dxa"/>
            <w:vAlign w:val="center"/>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C</w:t>
            </w:r>
          </w:p>
        </w:tc>
        <w:tc>
          <w:tcPr>
            <w:tcW w:w="1276"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w:t>
            </w:r>
            <w:r>
              <w:rPr>
                <w:rFonts w:cs="Times New Roman"/>
                <w:color w:val="000000" w:themeColor="text1"/>
                <w:sz w:val="24"/>
                <w:szCs w:val="24"/>
                <w14:textFill>
                  <w14:solidFill>
                    <w14:schemeClr w14:val="tx1"/>
                  </w14:solidFill>
                </w14:textFill>
              </w:rPr>
              <w:t>3</w:t>
            </w:r>
          </w:p>
        </w:tc>
        <w:tc>
          <w:tcPr>
            <w:tcW w:w="1276" w:type="dxa"/>
            <w:vMerge w:val="continue"/>
            <w:vAlign w:val="center"/>
          </w:tcPr>
          <w:p>
            <w:pPr>
              <w:ind w:firstLine="0" w:firstLineChars="0"/>
              <w:jc w:val="center"/>
              <w:rPr>
                <w:rFonts w:ascii="宋体" w:hAnsi="宋体" w:eastAsia="宋体" w:cs="宋体"/>
                <w:color w:val="000000"/>
                <w:kern w:val="0"/>
                <w:sz w:val="22"/>
                <w:lang w:bidi="ar"/>
              </w:rPr>
            </w:pPr>
          </w:p>
        </w:tc>
        <w:tc>
          <w:tcPr>
            <w:tcW w:w="3139"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四方井村草纸加工厂</w:t>
            </w:r>
          </w:p>
        </w:tc>
        <w:tc>
          <w:tcPr>
            <w:tcW w:w="1276"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白马镇</w:t>
            </w:r>
          </w:p>
        </w:tc>
        <w:tc>
          <w:tcPr>
            <w:tcW w:w="1397"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易燃</w:t>
            </w:r>
          </w:p>
        </w:tc>
        <w:tc>
          <w:tcPr>
            <w:tcW w:w="1275" w:type="dxa"/>
            <w:vAlign w:val="center"/>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C</w:t>
            </w:r>
          </w:p>
        </w:tc>
        <w:tc>
          <w:tcPr>
            <w:tcW w:w="1276"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w:t>
            </w:r>
            <w:r>
              <w:rPr>
                <w:rFonts w:cs="Times New Roman"/>
                <w:color w:val="000000" w:themeColor="text1"/>
                <w:sz w:val="24"/>
                <w:szCs w:val="24"/>
                <w14:textFill>
                  <w14:solidFill>
                    <w14:schemeClr w14:val="tx1"/>
                  </w14:solidFill>
                </w14:textFill>
              </w:rPr>
              <w:t>4</w:t>
            </w:r>
          </w:p>
        </w:tc>
        <w:tc>
          <w:tcPr>
            <w:tcW w:w="1276" w:type="dxa"/>
            <w:vMerge w:val="continue"/>
            <w:vAlign w:val="center"/>
          </w:tcPr>
          <w:p>
            <w:pPr>
              <w:ind w:firstLine="0" w:firstLineChars="0"/>
              <w:jc w:val="center"/>
              <w:rPr>
                <w:rFonts w:ascii="宋体" w:hAnsi="宋体" w:eastAsia="宋体" w:cs="宋体"/>
                <w:color w:val="000000"/>
                <w:kern w:val="0"/>
                <w:sz w:val="22"/>
                <w:lang w:bidi="ar"/>
              </w:rPr>
            </w:pPr>
          </w:p>
        </w:tc>
        <w:tc>
          <w:tcPr>
            <w:tcW w:w="3139"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麻子滩村电杆厂</w:t>
            </w:r>
          </w:p>
        </w:tc>
        <w:tc>
          <w:tcPr>
            <w:tcW w:w="1276"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白马镇</w:t>
            </w:r>
          </w:p>
        </w:tc>
        <w:tc>
          <w:tcPr>
            <w:tcW w:w="1397" w:type="dxa"/>
            <w:noWrap/>
            <w:vAlign w:val="center"/>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机械伤害</w:t>
            </w:r>
          </w:p>
        </w:tc>
        <w:tc>
          <w:tcPr>
            <w:tcW w:w="1275" w:type="dxa"/>
            <w:vAlign w:val="center"/>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C</w:t>
            </w:r>
          </w:p>
        </w:tc>
        <w:tc>
          <w:tcPr>
            <w:tcW w:w="1276"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w:t>
            </w:r>
            <w:r>
              <w:rPr>
                <w:rFonts w:cs="Times New Roman"/>
                <w:color w:val="000000" w:themeColor="text1"/>
                <w:sz w:val="24"/>
                <w:szCs w:val="24"/>
                <w14:textFill>
                  <w14:solidFill>
                    <w14:schemeClr w14:val="tx1"/>
                  </w14:solidFill>
                </w14:textFill>
              </w:rPr>
              <w:t>5</w:t>
            </w:r>
          </w:p>
        </w:tc>
        <w:tc>
          <w:tcPr>
            <w:tcW w:w="1276" w:type="dxa"/>
            <w:vMerge w:val="continue"/>
            <w:vAlign w:val="center"/>
          </w:tcPr>
          <w:p>
            <w:pPr>
              <w:ind w:firstLine="0" w:firstLineChars="0"/>
              <w:jc w:val="center"/>
              <w:rPr>
                <w:rFonts w:ascii="宋体" w:hAnsi="宋体" w:eastAsia="宋体" w:cs="宋体"/>
                <w:color w:val="000000"/>
                <w:kern w:val="0"/>
                <w:sz w:val="22"/>
                <w:lang w:bidi="ar"/>
              </w:rPr>
            </w:pPr>
          </w:p>
        </w:tc>
        <w:tc>
          <w:tcPr>
            <w:tcW w:w="3139"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穗丰制衣厂</w:t>
            </w:r>
          </w:p>
        </w:tc>
        <w:tc>
          <w:tcPr>
            <w:tcW w:w="1276"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白马镇</w:t>
            </w:r>
          </w:p>
        </w:tc>
        <w:tc>
          <w:tcPr>
            <w:tcW w:w="1397" w:type="dxa"/>
            <w:noWrap/>
            <w:vAlign w:val="center"/>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机械伤害</w:t>
            </w:r>
          </w:p>
        </w:tc>
        <w:tc>
          <w:tcPr>
            <w:tcW w:w="1275" w:type="dxa"/>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D</w:t>
            </w:r>
          </w:p>
        </w:tc>
        <w:tc>
          <w:tcPr>
            <w:tcW w:w="1276"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w:t>
            </w:r>
            <w:r>
              <w:rPr>
                <w:rFonts w:cs="Times New Roman"/>
                <w:color w:val="000000" w:themeColor="text1"/>
                <w:sz w:val="24"/>
                <w:szCs w:val="24"/>
                <w14:textFill>
                  <w14:solidFill>
                    <w14:schemeClr w14:val="tx1"/>
                  </w14:solidFill>
                </w14:textFill>
              </w:rPr>
              <w:t>6</w:t>
            </w:r>
          </w:p>
        </w:tc>
        <w:tc>
          <w:tcPr>
            <w:tcW w:w="1276" w:type="dxa"/>
            <w:vMerge w:val="continue"/>
            <w:vAlign w:val="center"/>
          </w:tcPr>
          <w:p>
            <w:pPr>
              <w:ind w:firstLine="0" w:firstLineChars="0"/>
              <w:jc w:val="center"/>
              <w:rPr>
                <w:rFonts w:ascii="宋体" w:hAnsi="宋体" w:eastAsia="宋体" w:cs="宋体"/>
                <w:color w:val="000000"/>
                <w:kern w:val="0"/>
                <w:sz w:val="22"/>
                <w:lang w:bidi="ar"/>
              </w:rPr>
            </w:pPr>
          </w:p>
        </w:tc>
        <w:tc>
          <w:tcPr>
            <w:tcW w:w="3139"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武冠冠生园食品加工厂</w:t>
            </w:r>
          </w:p>
        </w:tc>
        <w:tc>
          <w:tcPr>
            <w:tcW w:w="1276"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保石镇</w:t>
            </w:r>
          </w:p>
        </w:tc>
        <w:tc>
          <w:tcPr>
            <w:tcW w:w="1397" w:type="dxa"/>
            <w:noWrap/>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机械伤害</w:t>
            </w:r>
          </w:p>
        </w:tc>
        <w:tc>
          <w:tcPr>
            <w:tcW w:w="1275"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C</w:t>
            </w:r>
          </w:p>
        </w:tc>
        <w:tc>
          <w:tcPr>
            <w:tcW w:w="1276"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w:t>
            </w:r>
            <w:r>
              <w:rPr>
                <w:rFonts w:cs="Times New Roman"/>
                <w:color w:val="000000" w:themeColor="text1"/>
                <w:sz w:val="24"/>
                <w:szCs w:val="24"/>
                <w14:textFill>
                  <w14:solidFill>
                    <w14:schemeClr w14:val="tx1"/>
                  </w14:solidFill>
                </w14:textFill>
              </w:rPr>
              <w:t>7</w:t>
            </w:r>
          </w:p>
        </w:tc>
        <w:tc>
          <w:tcPr>
            <w:tcW w:w="1276" w:type="dxa"/>
            <w:vMerge w:val="continue"/>
            <w:vAlign w:val="center"/>
          </w:tcPr>
          <w:p>
            <w:pPr>
              <w:ind w:firstLine="0" w:firstLineChars="0"/>
              <w:jc w:val="center"/>
              <w:rPr>
                <w:rFonts w:ascii="宋体" w:hAnsi="宋体" w:eastAsia="宋体" w:cs="宋体"/>
                <w:color w:val="000000"/>
                <w:kern w:val="0"/>
                <w:sz w:val="22"/>
                <w:lang w:bidi="ar"/>
              </w:rPr>
            </w:pPr>
          </w:p>
        </w:tc>
        <w:tc>
          <w:tcPr>
            <w:tcW w:w="3139"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遂宁市天露酒业有限责任公司</w:t>
            </w:r>
          </w:p>
        </w:tc>
        <w:tc>
          <w:tcPr>
            <w:tcW w:w="1276"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拦江镇</w:t>
            </w:r>
          </w:p>
        </w:tc>
        <w:tc>
          <w:tcPr>
            <w:tcW w:w="1397" w:type="dxa"/>
            <w:noWrap/>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易燃易爆</w:t>
            </w:r>
          </w:p>
        </w:tc>
        <w:tc>
          <w:tcPr>
            <w:tcW w:w="1275"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C</w:t>
            </w:r>
          </w:p>
        </w:tc>
        <w:tc>
          <w:tcPr>
            <w:tcW w:w="1276"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w:t>
            </w:r>
            <w:r>
              <w:rPr>
                <w:rFonts w:cs="Times New Roman"/>
                <w:color w:val="000000" w:themeColor="text1"/>
                <w:sz w:val="24"/>
                <w:szCs w:val="24"/>
                <w14:textFill>
                  <w14:solidFill>
                    <w14:schemeClr w14:val="tx1"/>
                  </w14:solidFill>
                </w14:textFill>
              </w:rPr>
              <w:t>8</w:t>
            </w:r>
          </w:p>
        </w:tc>
        <w:tc>
          <w:tcPr>
            <w:tcW w:w="1276" w:type="dxa"/>
            <w:vMerge w:val="continue"/>
            <w:vAlign w:val="center"/>
          </w:tcPr>
          <w:p>
            <w:pPr>
              <w:ind w:firstLine="0" w:firstLineChars="0"/>
              <w:jc w:val="center"/>
              <w:rPr>
                <w:rFonts w:ascii="宋体" w:hAnsi="宋体" w:eastAsia="宋体" w:cs="宋体"/>
                <w:color w:val="000000"/>
                <w:kern w:val="0"/>
                <w:sz w:val="22"/>
                <w:lang w:bidi="ar"/>
              </w:rPr>
            </w:pPr>
          </w:p>
        </w:tc>
        <w:tc>
          <w:tcPr>
            <w:tcW w:w="3139"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拦河堰酒厂</w:t>
            </w:r>
          </w:p>
        </w:tc>
        <w:tc>
          <w:tcPr>
            <w:tcW w:w="1276" w:type="dxa"/>
            <w:noWrap/>
            <w:vAlign w:val="center"/>
          </w:tcPr>
          <w:p>
            <w:pPr>
              <w:ind w:firstLine="0" w:firstLineChars="0"/>
              <w:jc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中兴镇</w:t>
            </w:r>
          </w:p>
        </w:tc>
        <w:tc>
          <w:tcPr>
            <w:tcW w:w="1397" w:type="dxa"/>
            <w:noWrap/>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易燃易爆</w:t>
            </w:r>
          </w:p>
        </w:tc>
        <w:tc>
          <w:tcPr>
            <w:tcW w:w="1275"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C</w:t>
            </w:r>
          </w:p>
        </w:tc>
        <w:tc>
          <w:tcPr>
            <w:tcW w:w="1276" w:type="dxa"/>
          </w:tcPr>
          <w:p>
            <w:pPr>
              <w:ind w:firstLine="0" w:firstLineChars="0"/>
              <w:jc w:val="center"/>
              <w:rPr>
                <w:rFonts w:ascii="宋体" w:hAnsi="宋体" w:eastAsia="宋体" w:cs="宋体"/>
                <w:color w:val="000000"/>
                <w:kern w:val="0"/>
                <w:sz w:val="22"/>
                <w:lang w:bidi="ar"/>
              </w:rPr>
            </w:pPr>
            <w:r>
              <w:rPr>
                <w:rFonts w:ascii="宋体" w:hAnsi="宋体" w:eastAsia="宋体" w:cs="宋体"/>
                <w:color w:val="000000"/>
                <w:kern w:val="0"/>
                <w:sz w:val="22"/>
                <w:lang w:bidi="ar"/>
              </w:rPr>
              <w:t>正常生产</w:t>
            </w:r>
          </w:p>
        </w:tc>
      </w:tr>
    </w:tbl>
    <w:p>
      <w:pPr>
        <w:ind w:firstLine="0" w:firstLineChars="0"/>
        <w:rPr>
          <w:rFonts w:ascii="仿宋" w:hAnsi="仿宋" w:cs="Times New Roman"/>
          <w:kern w:val="0"/>
          <w:sz w:val="24"/>
          <w:szCs w:val="24"/>
        </w:rPr>
      </w:pPr>
      <w:r>
        <w:rPr>
          <w:rFonts w:hint="eastAsia" w:ascii="仿宋" w:hAnsi="仿宋" w:cs="Times New Roman"/>
          <w:kern w:val="0"/>
          <w:sz w:val="24"/>
          <w:szCs w:val="24"/>
        </w:rPr>
        <w:t>备注：</w:t>
      </w:r>
      <w:r>
        <w:rPr>
          <w:rFonts w:ascii="仿宋" w:hAnsi="仿宋" w:cs="Times New Roman"/>
          <w:kern w:val="0"/>
          <w:sz w:val="24"/>
          <w:szCs w:val="24"/>
        </w:rPr>
        <w:t>D</w:t>
      </w:r>
      <w:r>
        <w:rPr>
          <w:rFonts w:hint="eastAsia" w:ascii="仿宋" w:hAnsi="仿宋" w:cs="Times New Roman"/>
          <w:kern w:val="0"/>
          <w:sz w:val="24"/>
          <w:szCs w:val="24"/>
        </w:rPr>
        <w:t>级</w:t>
      </w:r>
      <w:r>
        <w:rPr>
          <w:rFonts w:ascii="仿宋" w:hAnsi="仿宋" w:cs="Times New Roman"/>
          <w:kern w:val="0"/>
          <w:sz w:val="24"/>
          <w:szCs w:val="24"/>
        </w:rPr>
        <w:t>\4</w:t>
      </w:r>
      <w:r>
        <w:rPr>
          <w:rFonts w:hint="eastAsia" w:ascii="仿宋" w:hAnsi="仿宋" w:cs="Times New Roman"/>
          <w:kern w:val="0"/>
          <w:sz w:val="24"/>
          <w:szCs w:val="24"/>
        </w:rPr>
        <w:t>级</w:t>
      </w:r>
      <w:r>
        <w:rPr>
          <w:rFonts w:ascii="仿宋" w:hAnsi="仿宋" w:cs="Times New Roman"/>
          <w:kern w:val="0"/>
          <w:sz w:val="24"/>
          <w:szCs w:val="24"/>
        </w:rPr>
        <w:t>\</w:t>
      </w:r>
      <w:r>
        <w:rPr>
          <w:rFonts w:hint="eastAsia" w:ascii="仿宋" w:hAnsi="仿宋" w:cs="Times New Roman"/>
          <w:kern w:val="0"/>
          <w:sz w:val="24"/>
          <w:szCs w:val="24"/>
        </w:rPr>
        <w:t>蓝色</w:t>
      </w:r>
      <w:r>
        <w:rPr>
          <w:rFonts w:ascii="仿宋" w:hAnsi="仿宋" w:cs="Times New Roman"/>
          <w:kern w:val="0"/>
          <w:sz w:val="24"/>
          <w:szCs w:val="24"/>
        </w:rPr>
        <w:t>\</w:t>
      </w:r>
      <w:r>
        <w:rPr>
          <w:rFonts w:hint="eastAsia" w:ascii="仿宋" w:hAnsi="仿宋" w:cs="Times New Roman"/>
          <w:kern w:val="0"/>
          <w:sz w:val="24"/>
          <w:szCs w:val="24"/>
        </w:rPr>
        <w:t>轻度危险：属于低风险；</w:t>
      </w:r>
      <w:r>
        <w:rPr>
          <w:rFonts w:ascii="仿宋" w:hAnsi="仿宋" w:cs="Times New Roman"/>
          <w:kern w:val="0"/>
          <w:sz w:val="24"/>
          <w:szCs w:val="24"/>
        </w:rPr>
        <w:t>C</w:t>
      </w:r>
      <w:r>
        <w:rPr>
          <w:rFonts w:hint="eastAsia" w:ascii="仿宋" w:hAnsi="仿宋" w:cs="Times New Roman"/>
          <w:kern w:val="0"/>
          <w:sz w:val="24"/>
          <w:szCs w:val="24"/>
        </w:rPr>
        <w:t>级</w:t>
      </w:r>
      <w:r>
        <w:rPr>
          <w:rFonts w:ascii="仿宋" w:hAnsi="仿宋" w:cs="Times New Roman"/>
          <w:kern w:val="0"/>
          <w:sz w:val="24"/>
          <w:szCs w:val="24"/>
        </w:rPr>
        <w:t>\3</w:t>
      </w:r>
      <w:r>
        <w:rPr>
          <w:rFonts w:hint="eastAsia" w:ascii="仿宋" w:hAnsi="仿宋" w:cs="Times New Roman"/>
          <w:kern w:val="0"/>
          <w:sz w:val="24"/>
          <w:szCs w:val="24"/>
        </w:rPr>
        <w:t>级</w:t>
      </w:r>
      <w:r>
        <w:rPr>
          <w:rFonts w:ascii="仿宋" w:hAnsi="仿宋" w:cs="Times New Roman"/>
          <w:kern w:val="0"/>
          <w:sz w:val="24"/>
          <w:szCs w:val="24"/>
        </w:rPr>
        <w:t>\</w:t>
      </w:r>
      <w:r>
        <w:rPr>
          <w:rFonts w:hint="eastAsia" w:ascii="仿宋" w:hAnsi="仿宋" w:cs="Times New Roman"/>
          <w:kern w:val="0"/>
          <w:sz w:val="24"/>
          <w:szCs w:val="24"/>
        </w:rPr>
        <w:t>黄色</w:t>
      </w:r>
      <w:r>
        <w:rPr>
          <w:rFonts w:ascii="仿宋" w:hAnsi="仿宋" w:cs="Times New Roman"/>
          <w:kern w:val="0"/>
          <w:sz w:val="24"/>
          <w:szCs w:val="24"/>
        </w:rPr>
        <w:t>\</w:t>
      </w:r>
      <w:r>
        <w:rPr>
          <w:rFonts w:hint="eastAsia" w:ascii="仿宋" w:hAnsi="仿宋" w:cs="Times New Roman"/>
          <w:kern w:val="0"/>
          <w:sz w:val="24"/>
          <w:szCs w:val="24"/>
        </w:rPr>
        <w:t>显著危险：属于一般风险；</w:t>
      </w:r>
      <w:r>
        <w:rPr>
          <w:rFonts w:ascii="仿宋" w:hAnsi="仿宋" w:cs="Times New Roman"/>
          <w:kern w:val="0"/>
          <w:sz w:val="24"/>
          <w:szCs w:val="24"/>
        </w:rPr>
        <w:t xml:space="preserve"> B</w:t>
      </w:r>
      <w:r>
        <w:rPr>
          <w:rFonts w:hint="eastAsia" w:ascii="仿宋" w:hAnsi="仿宋" w:cs="Times New Roman"/>
          <w:kern w:val="0"/>
          <w:sz w:val="24"/>
          <w:szCs w:val="24"/>
        </w:rPr>
        <w:t>级</w:t>
      </w:r>
      <w:r>
        <w:rPr>
          <w:rFonts w:ascii="仿宋" w:hAnsi="仿宋" w:cs="Times New Roman"/>
          <w:kern w:val="0"/>
          <w:sz w:val="24"/>
          <w:szCs w:val="24"/>
        </w:rPr>
        <w:t>\2</w:t>
      </w:r>
      <w:r>
        <w:rPr>
          <w:rFonts w:hint="eastAsia" w:ascii="仿宋" w:hAnsi="仿宋" w:cs="Times New Roman"/>
          <w:kern w:val="0"/>
          <w:sz w:val="24"/>
          <w:szCs w:val="24"/>
        </w:rPr>
        <w:t>级</w:t>
      </w:r>
      <w:r>
        <w:rPr>
          <w:rFonts w:ascii="仿宋" w:hAnsi="仿宋" w:cs="Times New Roman"/>
          <w:kern w:val="0"/>
          <w:sz w:val="24"/>
          <w:szCs w:val="24"/>
        </w:rPr>
        <w:t>\</w:t>
      </w:r>
      <w:r>
        <w:rPr>
          <w:rFonts w:hint="eastAsia" w:ascii="仿宋" w:hAnsi="仿宋" w:cs="Times New Roman"/>
          <w:kern w:val="0"/>
          <w:sz w:val="24"/>
          <w:szCs w:val="24"/>
        </w:rPr>
        <w:t>橙色</w:t>
      </w:r>
      <w:r>
        <w:rPr>
          <w:rFonts w:ascii="仿宋" w:hAnsi="仿宋" w:cs="Times New Roman"/>
          <w:kern w:val="0"/>
          <w:sz w:val="24"/>
          <w:szCs w:val="24"/>
        </w:rPr>
        <w:t>\</w:t>
      </w:r>
      <w:r>
        <w:rPr>
          <w:rFonts w:hint="eastAsia" w:ascii="仿宋" w:hAnsi="仿宋" w:cs="Times New Roman"/>
          <w:kern w:val="0"/>
          <w:sz w:val="24"/>
          <w:szCs w:val="24"/>
        </w:rPr>
        <w:t>高度危险：属于较大风险；</w:t>
      </w:r>
      <w:r>
        <w:rPr>
          <w:rFonts w:ascii="仿宋" w:hAnsi="仿宋" w:cs="Times New Roman"/>
          <w:kern w:val="0"/>
          <w:sz w:val="24"/>
          <w:szCs w:val="24"/>
        </w:rPr>
        <w:t>A</w:t>
      </w:r>
      <w:r>
        <w:rPr>
          <w:rFonts w:hint="eastAsia" w:ascii="仿宋" w:hAnsi="仿宋" w:cs="Times New Roman"/>
          <w:kern w:val="0"/>
          <w:sz w:val="24"/>
          <w:szCs w:val="24"/>
        </w:rPr>
        <w:t>级</w:t>
      </w:r>
      <w:r>
        <w:rPr>
          <w:rFonts w:ascii="仿宋" w:hAnsi="仿宋" w:cs="Times New Roman"/>
          <w:kern w:val="0"/>
          <w:sz w:val="24"/>
          <w:szCs w:val="24"/>
        </w:rPr>
        <w:t>\1</w:t>
      </w:r>
      <w:r>
        <w:rPr>
          <w:rFonts w:hint="eastAsia" w:ascii="仿宋" w:hAnsi="仿宋" w:cs="Times New Roman"/>
          <w:kern w:val="0"/>
          <w:sz w:val="24"/>
          <w:szCs w:val="24"/>
        </w:rPr>
        <w:t>级</w:t>
      </w:r>
      <w:r>
        <w:rPr>
          <w:rFonts w:ascii="仿宋" w:hAnsi="仿宋" w:cs="Times New Roman"/>
          <w:kern w:val="0"/>
          <w:sz w:val="24"/>
          <w:szCs w:val="24"/>
        </w:rPr>
        <w:t>\</w:t>
      </w:r>
      <w:r>
        <w:rPr>
          <w:rFonts w:hint="eastAsia" w:ascii="仿宋" w:hAnsi="仿宋" w:cs="Times New Roman"/>
          <w:kern w:val="0"/>
          <w:sz w:val="24"/>
          <w:szCs w:val="24"/>
        </w:rPr>
        <w:t>红色</w:t>
      </w:r>
      <w:r>
        <w:rPr>
          <w:rFonts w:ascii="仿宋" w:hAnsi="仿宋" w:cs="Times New Roman"/>
          <w:kern w:val="0"/>
          <w:sz w:val="24"/>
          <w:szCs w:val="24"/>
        </w:rPr>
        <w:t>\</w:t>
      </w:r>
      <w:r>
        <w:rPr>
          <w:rFonts w:hint="eastAsia" w:ascii="仿宋" w:hAnsi="仿宋" w:cs="Times New Roman"/>
          <w:kern w:val="0"/>
          <w:sz w:val="24"/>
          <w:szCs w:val="24"/>
        </w:rPr>
        <w:t>极其危险：属于重大风险。</w:t>
      </w:r>
    </w:p>
    <w:p>
      <w:pPr>
        <w:ind w:firstLine="0" w:firstLineChars="0"/>
        <w:rPr>
          <w:rFonts w:cs="Times New Roman"/>
          <w:color w:val="FF0000"/>
          <w:szCs w:val="32"/>
        </w:rPr>
        <w:sectPr>
          <w:footerReference r:id="rId13" w:type="default"/>
          <w:pgSz w:w="11906" w:h="16838"/>
          <w:pgMar w:top="1440" w:right="1800" w:bottom="1440" w:left="1800" w:header="851" w:footer="992" w:gutter="0"/>
          <w:cols w:space="425" w:num="1"/>
          <w:docGrid w:type="lines" w:linePitch="435" w:charSpace="0"/>
        </w:sectPr>
      </w:pPr>
    </w:p>
    <w:p>
      <w:pPr>
        <w:pStyle w:val="5"/>
        <w:ind w:firstLine="0" w:firstLineChars="0"/>
        <w:jc w:val="center"/>
        <w:rPr>
          <w:rFonts w:eastAsia="黑体" w:cs="Times New Roman"/>
          <w:color w:val="FF0000"/>
        </w:rPr>
      </w:pPr>
      <w:r>
        <w:rPr>
          <w:rFonts w:eastAsia="黑体" w:cs="Times New Roman"/>
          <w:color w:val="000000" w:themeColor="text1"/>
          <w14:textFill>
            <w14:solidFill>
              <w14:schemeClr w14:val="tx1"/>
            </w14:solidFill>
          </w14:textFill>
        </w:rPr>
        <w:t>附表2</w:t>
      </w:r>
      <w:r>
        <w:rPr>
          <w:rFonts w:eastAsia="黑体" w:cs="Times New Roman"/>
          <w:color w:val="FF0000"/>
        </w:rPr>
        <w:t xml:space="preserve">  </w:t>
      </w:r>
      <w:r>
        <w:rPr>
          <w:rFonts w:eastAsia="黑体" w:cs="Times New Roman"/>
        </w:rPr>
        <w:t>片区发生安全生产事故人员伤亡和经济财产损失表</w:t>
      </w:r>
    </w:p>
    <w:tbl>
      <w:tblPr>
        <w:tblStyle w:val="22"/>
        <w:tblW w:w="0" w:type="auto"/>
        <w:jc w:val="center"/>
        <w:tblLayout w:type="autofit"/>
        <w:tblCellMar>
          <w:top w:w="0" w:type="dxa"/>
          <w:left w:w="108" w:type="dxa"/>
          <w:bottom w:w="0" w:type="dxa"/>
          <w:right w:w="108" w:type="dxa"/>
        </w:tblCellMar>
      </w:tblPr>
      <w:tblGrid>
        <w:gridCol w:w="704"/>
        <w:gridCol w:w="1701"/>
        <w:gridCol w:w="1276"/>
        <w:gridCol w:w="1276"/>
        <w:gridCol w:w="1275"/>
        <w:gridCol w:w="1276"/>
        <w:gridCol w:w="1276"/>
      </w:tblGrid>
      <w:tr>
        <w:tblPrEx>
          <w:tblCellMar>
            <w:top w:w="0" w:type="dxa"/>
            <w:left w:w="108" w:type="dxa"/>
            <w:bottom w:w="0" w:type="dxa"/>
            <w:right w:w="108" w:type="dxa"/>
          </w:tblCellMar>
        </w:tblPrEx>
        <w:trPr>
          <w:trHeight w:val="550"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序号</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行业类型</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事故</w:t>
            </w:r>
            <w:r>
              <w:rPr>
                <w:rFonts w:hint="eastAsia" w:cs="Times New Roman"/>
                <w:b/>
                <w:bCs/>
                <w:color w:val="000000"/>
                <w:kern w:val="0"/>
                <w:sz w:val="24"/>
                <w:szCs w:val="24"/>
              </w:rPr>
              <w:t>原因</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伤亡情况</w:t>
            </w:r>
          </w:p>
        </w:tc>
        <w:tc>
          <w:tcPr>
            <w:tcW w:w="1275" w:type="dxa"/>
            <w:tcBorders>
              <w:top w:val="single" w:color="auto" w:sz="4" w:space="0"/>
              <w:left w:val="nil"/>
              <w:bottom w:val="single" w:color="auto" w:sz="4" w:space="0"/>
              <w:right w:val="single" w:color="auto" w:sz="4" w:space="0"/>
            </w:tcBorders>
          </w:tcPr>
          <w:p>
            <w:pPr>
              <w:widowControl/>
              <w:spacing w:line="240" w:lineRule="auto"/>
              <w:ind w:firstLine="0" w:firstLineChars="0"/>
              <w:jc w:val="center"/>
              <w:rPr>
                <w:rFonts w:cs="Times New Roman"/>
                <w:b/>
                <w:bCs/>
                <w:color w:val="000000"/>
                <w:kern w:val="0"/>
                <w:sz w:val="24"/>
                <w:szCs w:val="24"/>
              </w:rPr>
            </w:pPr>
            <w:r>
              <w:rPr>
                <w:rFonts w:hint="eastAsia" w:cs="Times New Roman"/>
                <w:b/>
                <w:bCs/>
                <w:color w:val="000000"/>
                <w:kern w:val="0"/>
                <w:sz w:val="24"/>
                <w:szCs w:val="24"/>
              </w:rPr>
              <w:t>所属镇</w:t>
            </w:r>
          </w:p>
        </w:tc>
        <w:tc>
          <w:tcPr>
            <w:tcW w:w="1276"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经济损失</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发生年份</w:t>
            </w:r>
          </w:p>
        </w:tc>
      </w:tr>
      <w:tr>
        <w:tblPrEx>
          <w:tblCellMar>
            <w:top w:w="0" w:type="dxa"/>
            <w:left w:w="108" w:type="dxa"/>
            <w:bottom w:w="0" w:type="dxa"/>
            <w:right w:w="108" w:type="dxa"/>
          </w:tblCellMar>
        </w:tblPrEx>
        <w:trPr>
          <w:trHeight w:val="309"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1</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安全生产</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c>
          <w:tcPr>
            <w:tcW w:w="1275" w:type="dxa"/>
            <w:tcBorders>
              <w:top w:val="single" w:color="auto" w:sz="4" w:space="0"/>
              <w:left w:val="nil"/>
              <w:bottom w:val="single" w:color="auto" w:sz="4" w:space="0"/>
              <w:right w:val="single" w:color="auto" w:sz="4" w:space="0"/>
            </w:tcBorders>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c>
          <w:tcPr>
            <w:tcW w:w="1276"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r>
      <w:tr>
        <w:tblPrEx>
          <w:tblCellMar>
            <w:top w:w="0" w:type="dxa"/>
            <w:left w:w="108" w:type="dxa"/>
            <w:bottom w:w="0" w:type="dxa"/>
            <w:right w:w="108" w:type="dxa"/>
          </w:tblCellMar>
        </w:tblPrEx>
        <w:trPr>
          <w:trHeight w:val="309"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cs="Times New Roman"/>
                <w:color w:val="000000" w:themeColor="text1"/>
                <w:kern w:val="0"/>
                <w:sz w:val="24"/>
                <w:szCs w:val="24"/>
                <w:lang w:bidi="ar"/>
                <w14:textFill>
                  <w14:solidFill>
                    <w14:schemeClr w14:val="tx1"/>
                  </w14:solidFill>
                </w14:textFill>
              </w:rPr>
              <w:t>2</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cs="Times New Roman"/>
                <w:color w:val="000000" w:themeColor="text1"/>
                <w:kern w:val="0"/>
                <w:sz w:val="24"/>
                <w:szCs w:val="24"/>
                <w:lang w:bidi="ar"/>
                <w14:textFill>
                  <w14:solidFill>
                    <w14:schemeClr w14:val="tx1"/>
                  </w14:solidFill>
                </w14:textFill>
              </w:rPr>
              <w:t>自然灾害</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c>
          <w:tcPr>
            <w:tcW w:w="1275" w:type="dxa"/>
            <w:tcBorders>
              <w:top w:val="single" w:color="auto" w:sz="4" w:space="0"/>
              <w:left w:val="nil"/>
              <w:bottom w:val="single" w:color="auto" w:sz="4" w:space="0"/>
              <w:right w:val="single" w:color="auto" w:sz="4" w:space="0"/>
            </w:tcBorders>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c>
          <w:tcPr>
            <w:tcW w:w="1276"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w:t>
            </w:r>
          </w:p>
        </w:tc>
      </w:tr>
    </w:tbl>
    <w:p>
      <w:pPr>
        <w:ind w:firstLine="640"/>
        <w:jc w:val="center"/>
        <w:rPr>
          <w:rFonts w:cs="Times New Roman"/>
          <w:color w:val="FF0000"/>
          <w:szCs w:val="32"/>
        </w:rPr>
      </w:pPr>
      <w:r>
        <w:rPr>
          <w:rFonts w:cs="Times New Roman"/>
          <w:color w:val="FF0000"/>
          <w:szCs w:val="32"/>
        </w:rPr>
        <w:br w:type="page"/>
      </w:r>
    </w:p>
    <w:p>
      <w:pPr>
        <w:ind w:firstLine="0" w:firstLineChars="0"/>
        <w:jc w:val="center"/>
        <w:rPr>
          <w:rFonts w:eastAsia="黑体" w:cs="Times New Roman"/>
          <w:b/>
          <w:bCs/>
          <w:szCs w:val="32"/>
        </w:rPr>
      </w:pPr>
      <w:r>
        <w:rPr>
          <w:rFonts w:eastAsia="黑体" w:cs="Times New Roman"/>
          <w:b/>
          <w:bCs/>
          <w:szCs w:val="32"/>
        </w:rPr>
        <w:t>附表3  应急队伍统计及分布表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119"/>
        <w:gridCol w:w="1275"/>
        <w:gridCol w:w="993"/>
        <w:gridCol w:w="992"/>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704"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序号</w:t>
            </w:r>
          </w:p>
        </w:tc>
        <w:tc>
          <w:tcPr>
            <w:tcW w:w="3119"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类型</w:t>
            </w:r>
          </w:p>
        </w:tc>
        <w:tc>
          <w:tcPr>
            <w:tcW w:w="1275"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人数</w:t>
            </w:r>
          </w:p>
        </w:tc>
        <w:tc>
          <w:tcPr>
            <w:tcW w:w="993" w:type="dxa"/>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负责人</w:t>
            </w:r>
          </w:p>
        </w:tc>
        <w:tc>
          <w:tcPr>
            <w:tcW w:w="992"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职务</w:t>
            </w:r>
          </w:p>
        </w:tc>
        <w:tc>
          <w:tcPr>
            <w:tcW w:w="1751"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1"/>
              </w:numPr>
              <w:spacing w:line="300" w:lineRule="exact"/>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r>
              <w:rPr>
                <w:rFonts w:cs="Times New Roman"/>
                <w:color w:val="000000" w:themeColor="text1"/>
                <w:sz w:val="24"/>
                <w:szCs w:val="24"/>
                <w14:textFill>
                  <w14:solidFill>
                    <w14:schemeClr w14:val="tx1"/>
                  </w14:solidFill>
                </w14:textFill>
              </w:rPr>
              <w:t>综合应急救援队伍</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陈元</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队长</w:t>
            </w:r>
          </w:p>
        </w:tc>
        <w:tc>
          <w:tcPr>
            <w:tcW w:w="17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18909066272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1"/>
              </w:numPr>
              <w:ind w:firstLineChars="0"/>
              <w:jc w:val="center"/>
              <w:rPr>
                <w:rFonts w:cs="Times New Roman"/>
                <w:color w:val="000000" w:themeColor="text1"/>
                <w:sz w:val="24"/>
                <w:szCs w:val="24"/>
                <w14:textFill>
                  <w14:solidFill>
                    <w14:schemeClr w14:val="tx1"/>
                  </w14:solidFill>
                </w14:textFill>
              </w:rPr>
            </w:pP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w:t>
            </w:r>
            <w:r>
              <w:rPr>
                <w:rFonts w:cs="Times New Roman"/>
                <w:color w:val="000000" w:themeColor="text1"/>
                <w:sz w:val="24"/>
                <w:szCs w:val="24"/>
                <w14:textFill>
                  <w14:solidFill>
                    <w14:schemeClr w14:val="tx1"/>
                  </w14:solidFill>
                </w14:textFill>
              </w:rPr>
              <w:t>镇综合应急救援队伍</w:t>
            </w:r>
          </w:p>
        </w:tc>
        <w:tc>
          <w:tcPr>
            <w:tcW w:w="1275"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w:t>
            </w:r>
            <w:r>
              <w:rPr>
                <w:rFonts w:cs="Times New Roman"/>
                <w:color w:val="000000" w:themeColor="text1"/>
                <w:sz w:val="24"/>
                <w:szCs w:val="24"/>
                <w14:textFill>
                  <w14:solidFill>
                    <w14:schemeClr w14:val="tx1"/>
                  </w14:solidFill>
                </w14:textFill>
              </w:rPr>
              <w:t>0</w:t>
            </w:r>
          </w:p>
        </w:tc>
        <w:tc>
          <w:tcPr>
            <w:tcW w:w="993" w:type="dxa"/>
            <w:tcBorders>
              <w:top w:val="nil"/>
              <w:left w:val="single" w:color="auto" w:sz="4" w:space="0"/>
              <w:bottom w:val="single" w:color="auto" w:sz="4" w:space="0"/>
              <w:right w:val="single" w:color="auto" w:sz="4" w:space="0"/>
            </w:tcBorders>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张均</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队长</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13649085396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1"/>
              </w:numPr>
              <w:ind w:firstLineChars="0"/>
              <w:jc w:val="center"/>
              <w:rPr>
                <w:rFonts w:cs="Times New Roman"/>
                <w:color w:val="000000" w:themeColor="text1"/>
                <w:sz w:val="24"/>
                <w:szCs w:val="24"/>
                <w14:textFill>
                  <w14:solidFill>
                    <w14:schemeClr w14:val="tx1"/>
                  </w14:solidFill>
                </w14:textFill>
              </w:rPr>
            </w:pP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w:t>
            </w:r>
            <w:r>
              <w:rPr>
                <w:rFonts w:cs="Times New Roman"/>
                <w:color w:val="000000" w:themeColor="text1"/>
                <w:sz w:val="24"/>
                <w:szCs w:val="24"/>
                <w14:textFill>
                  <w14:solidFill>
                    <w14:schemeClr w14:val="tx1"/>
                  </w14:solidFill>
                </w14:textFill>
              </w:rPr>
              <w:t>镇综合应急救援队伍</w:t>
            </w:r>
          </w:p>
        </w:tc>
        <w:tc>
          <w:tcPr>
            <w:tcW w:w="1275"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w:t>
            </w:r>
            <w:r>
              <w:rPr>
                <w:rFonts w:cs="Times New Roman"/>
                <w:color w:val="000000" w:themeColor="text1"/>
                <w:sz w:val="24"/>
                <w:szCs w:val="24"/>
                <w14:textFill>
                  <w14:solidFill>
                    <w14:schemeClr w14:val="tx1"/>
                  </w14:solidFill>
                </w14:textFill>
              </w:rPr>
              <w:t>0</w:t>
            </w:r>
          </w:p>
        </w:tc>
        <w:tc>
          <w:tcPr>
            <w:tcW w:w="993" w:type="dxa"/>
            <w:tcBorders>
              <w:top w:val="nil"/>
              <w:left w:val="single" w:color="auto" w:sz="4" w:space="0"/>
              <w:bottom w:val="single" w:color="auto" w:sz="4" w:space="0"/>
              <w:right w:val="single" w:color="auto" w:sz="4" w:space="0"/>
            </w:tcBorders>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王易</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队长</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13795870577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1"/>
              </w:numPr>
              <w:ind w:firstLineChars="0"/>
              <w:jc w:val="center"/>
              <w:rPr>
                <w:rFonts w:cs="Times New Roman"/>
                <w:color w:val="000000" w:themeColor="text1"/>
                <w:sz w:val="24"/>
                <w:szCs w:val="24"/>
                <w14:textFill>
                  <w14:solidFill>
                    <w14:schemeClr w14:val="tx1"/>
                  </w14:solidFill>
                </w14:textFill>
              </w:rPr>
            </w:pP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w:t>
            </w:r>
            <w:r>
              <w:rPr>
                <w:rFonts w:cs="Times New Roman"/>
                <w:color w:val="000000" w:themeColor="text1"/>
                <w:sz w:val="24"/>
                <w:szCs w:val="24"/>
                <w14:textFill>
                  <w14:solidFill>
                    <w14:schemeClr w14:val="tx1"/>
                  </w14:solidFill>
                </w14:textFill>
              </w:rPr>
              <w:t>镇综合应急救援队伍</w:t>
            </w:r>
          </w:p>
        </w:tc>
        <w:tc>
          <w:tcPr>
            <w:tcW w:w="1275"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w:t>
            </w:r>
            <w:r>
              <w:rPr>
                <w:rFonts w:cs="Times New Roman"/>
                <w:color w:val="000000" w:themeColor="text1"/>
                <w:sz w:val="24"/>
                <w:szCs w:val="24"/>
                <w14:textFill>
                  <w14:solidFill>
                    <w14:schemeClr w14:val="tx1"/>
                  </w14:solidFill>
                </w14:textFill>
              </w:rPr>
              <w:t>0</w:t>
            </w:r>
          </w:p>
        </w:tc>
        <w:tc>
          <w:tcPr>
            <w:tcW w:w="993" w:type="dxa"/>
            <w:tcBorders>
              <w:top w:val="nil"/>
              <w:left w:val="single" w:color="auto" w:sz="4" w:space="0"/>
              <w:bottom w:val="single" w:color="auto" w:sz="4" w:space="0"/>
              <w:right w:val="single" w:color="auto" w:sz="4" w:space="0"/>
            </w:tcBorders>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唐瑶</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队长</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13882511190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序号</w:t>
            </w: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类型</w:t>
            </w:r>
          </w:p>
        </w:tc>
        <w:tc>
          <w:tcPr>
            <w:tcW w:w="1275"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所属镇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人数</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负责人</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清凉寺村</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补东升</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13882587267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黄盐井村</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陈昌</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13547436838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河边井村</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谭小平</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15520692888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平宁社区</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邹中成</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18398180870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陈家沟村</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谭兵</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13982516979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炭洞子村</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柯中琼</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15982567390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宝泉沟村</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补世春</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15282558819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两路口村</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邹成义</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15181926061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顺河社区</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蔡碧琼</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15182571817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治平寺村</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谭建军</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13568739531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四方井村</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贺泽茂</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15228698383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雾盐井社区</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周进松</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15828985757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小龙塘村</w:t>
            </w:r>
            <w:r>
              <w:rPr>
                <w:rFonts w:hint="eastAsia" w:cs="Times New Roman"/>
                <w:color w:val="000000" w:themeColor="text1"/>
                <w:sz w:val="24"/>
                <w:szCs w:val="24"/>
                <w14:textFill>
                  <w14:solidFill>
                    <w14:schemeClr w14:val="tx1"/>
                  </w14:solidFill>
                </w14:textFill>
              </w:rPr>
              <w:t>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夏建军</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15182534758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青峰村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rPr>
                <w:rFonts w:cs="Times New Roman"/>
                <w:color w:val="000000" w:themeColor="text1"/>
                <w:sz w:val="24"/>
                <w:szCs w:val="24"/>
                <w14:textFill>
                  <w14:solidFill>
                    <w14:schemeClr w14:val="tx1"/>
                  </w14:solidFill>
                </w14:textFill>
              </w:rPr>
            </w:pPr>
            <w:r>
              <w:rPr>
                <w:rFonts w:hint="eastAsia" w:cs="Times New Roman"/>
                <w:color w:val="000000"/>
                <w:sz w:val="24"/>
                <w:szCs w:val="24"/>
              </w:rPr>
              <w:t>冯磊</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15196924888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白马庙村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袁阳</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18782520289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毗庐寺村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蔡春</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13678250836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黄桶坡村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谭春翔</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15182529484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白塔村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谭万军</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18608258256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步云村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蔡强林</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18782515858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筒竹湾村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蔡祺兴</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13619082771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麻子滩村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谭志强</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18782511231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花天坝村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萧强</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18280890528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刺桐垭村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贺军</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18282514393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白果树村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陈小明</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13378211033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禅林寺村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向红平</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18282539818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金堂村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邓永久</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18728568886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卧牛寺村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唐成贵</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15828968166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清泉村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唐成洪</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13698352828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石山沟村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熊桂英</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15882541200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贺家井村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陈军</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18608255205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广胜村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王  全</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18583095577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保石村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胡应伟</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13882504333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水井村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刘成建</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18782518307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惜福村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文  华</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13982502626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瓦口井村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喻雷</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15378678909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石湾村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黄礼兵</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13982540068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玉王村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唐守贵</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17761351656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普慈镇村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彭建平</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18582368312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老屋沟村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唐文生</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13340640383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红星社区</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2"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王  军</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13808260123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檬子垭村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阳绪兵</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13882505272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染房沟村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罗建国</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13982552261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峨眉店村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邹一华</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13982530507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转龙桥村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周  波</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15082545530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凤鸣村村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周伦国</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15983081851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千块石村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卢永军</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15196927623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崇胜寺村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张晓辉</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13982563045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玉泉寺村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陆绍富</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13678252987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成玉桥村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王  涛</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18382596006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马河嘴村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杨伟宏</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13982506425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大益湾村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杨漫生</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13982542199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龙门村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张春艳</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18280388421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富国寺村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谭启凤</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15282590451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土桥子村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何启亮</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13558973560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五琅坝村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向  军</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13541410860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库楼湾村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邓  兵</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13795752033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广福村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吴云峰</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18608070771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回音寺村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罗晓宇</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13568737669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会元社区</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杨伟宏</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13982506425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东平社区</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何元民</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13980182260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吉祥社区</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宋承志</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13882537233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莲花村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孙建军</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13882560782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会龙桥村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周琴</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15228697370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花梁湾村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刘戊香</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15282586293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上沟村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杨  健</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13568711505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狮陆村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罗孝华</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18398101110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洪家岩村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王成艳</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15828864577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柏林村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郑甫军</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18190173031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接绍寺村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黄林文</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13547750376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福兴岩村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拦江镇</w:t>
            </w:r>
          </w:p>
        </w:tc>
        <w:tc>
          <w:tcPr>
            <w:tcW w:w="993" w:type="dxa"/>
          </w:tcPr>
          <w:p>
            <w:pPr>
              <w:ind w:firstLine="0" w:firstLineChars="0"/>
              <w:jc w:val="center"/>
              <w:rPr>
                <w:rFonts w:cs="Times New Roman"/>
                <w:color w:val="000000"/>
                <w:sz w:val="24"/>
                <w:szCs w:val="24"/>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罗华荣</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15828860895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正兴社区</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中兴镇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阳林容</w:t>
            </w:r>
          </w:p>
        </w:tc>
        <w:tc>
          <w:tcPr>
            <w:tcW w:w="1751" w:type="dxa"/>
            <w:noWrap/>
            <w:vAlign w:val="center"/>
          </w:tcPr>
          <w:p>
            <w:pPr>
              <w:ind w:firstLine="0" w:firstLineChars="0"/>
              <w:jc w:val="center"/>
              <w:rPr>
                <w:rFonts w:cs="Times New Roman"/>
                <w:color w:val="000000"/>
                <w:sz w:val="24"/>
                <w:szCs w:val="24"/>
              </w:rPr>
            </w:pPr>
            <w:r>
              <w:rPr>
                <w:rFonts w:cs="Times New Roman"/>
                <w:color w:val="000000"/>
                <w:sz w:val="24"/>
                <w:szCs w:val="24"/>
              </w:rPr>
              <w:t>15228668187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中兴场村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中兴镇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cs="Times New Roman"/>
                <w:color w:val="000000"/>
                <w:sz w:val="24"/>
                <w:szCs w:val="24"/>
              </w:rPr>
              <w:t>谭建光</w:t>
            </w:r>
          </w:p>
        </w:tc>
        <w:tc>
          <w:tcPr>
            <w:tcW w:w="1751" w:type="dxa"/>
            <w:noWrap/>
            <w:vAlign w:val="center"/>
          </w:tcPr>
          <w:p>
            <w:pPr>
              <w:ind w:firstLine="0" w:firstLineChars="0"/>
              <w:jc w:val="center"/>
              <w:rPr>
                <w:rFonts w:cs="Times New Roman"/>
                <w:color w:val="000000"/>
                <w:sz w:val="24"/>
                <w:szCs w:val="24"/>
              </w:rPr>
            </w:pPr>
            <w:r>
              <w:rPr>
                <w:rFonts w:cs="Times New Roman"/>
                <w:color w:val="000000"/>
                <w:sz w:val="24"/>
                <w:szCs w:val="24"/>
              </w:rPr>
              <w:t>15983098571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堆子山村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中兴镇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cs="Times New Roman"/>
                <w:color w:val="000000"/>
                <w:sz w:val="24"/>
                <w:szCs w:val="24"/>
              </w:rPr>
              <w:t>吕宗林</w:t>
            </w:r>
          </w:p>
        </w:tc>
        <w:tc>
          <w:tcPr>
            <w:tcW w:w="1751" w:type="dxa"/>
            <w:noWrap/>
            <w:vAlign w:val="center"/>
          </w:tcPr>
          <w:p>
            <w:pPr>
              <w:ind w:firstLine="0" w:firstLineChars="0"/>
              <w:jc w:val="center"/>
              <w:rPr>
                <w:rFonts w:cs="Times New Roman"/>
                <w:color w:val="000000"/>
                <w:sz w:val="24"/>
                <w:szCs w:val="24"/>
              </w:rPr>
            </w:pPr>
            <w:r>
              <w:rPr>
                <w:rFonts w:cs="Times New Roman"/>
                <w:color w:val="000000"/>
                <w:sz w:val="24"/>
                <w:szCs w:val="24"/>
              </w:rPr>
              <w:t>13982568588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五香庙村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中兴镇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cs="Times New Roman"/>
                <w:color w:val="000000"/>
                <w:sz w:val="24"/>
                <w:szCs w:val="24"/>
              </w:rPr>
              <w:t>蔡</w:t>
            </w:r>
            <w:r>
              <w:rPr>
                <w:rFonts w:hint="eastAsia" w:cs="Times New Roman"/>
                <w:color w:val="000000"/>
                <w:sz w:val="24"/>
                <w:szCs w:val="24"/>
              </w:rPr>
              <w:t xml:space="preserve">  </w:t>
            </w:r>
            <w:r>
              <w:rPr>
                <w:rFonts w:cs="Times New Roman"/>
                <w:color w:val="000000"/>
                <w:sz w:val="24"/>
                <w:szCs w:val="24"/>
              </w:rPr>
              <w:t>奇</w:t>
            </w:r>
          </w:p>
        </w:tc>
        <w:tc>
          <w:tcPr>
            <w:tcW w:w="1751" w:type="dxa"/>
            <w:noWrap/>
            <w:vAlign w:val="center"/>
          </w:tcPr>
          <w:p>
            <w:pPr>
              <w:ind w:firstLine="0" w:firstLineChars="0"/>
              <w:jc w:val="center"/>
              <w:rPr>
                <w:rFonts w:cs="Times New Roman"/>
                <w:color w:val="000000"/>
                <w:sz w:val="24"/>
                <w:szCs w:val="24"/>
              </w:rPr>
            </w:pPr>
            <w:r>
              <w:rPr>
                <w:rFonts w:cs="Times New Roman"/>
                <w:color w:val="000000"/>
                <w:sz w:val="24"/>
                <w:szCs w:val="24"/>
              </w:rPr>
              <w:t>13980006307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水洞湾村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中兴镇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cs="Times New Roman"/>
                <w:color w:val="000000"/>
                <w:sz w:val="24"/>
                <w:szCs w:val="24"/>
              </w:rPr>
              <w:t>罗孝银</w:t>
            </w:r>
          </w:p>
        </w:tc>
        <w:tc>
          <w:tcPr>
            <w:tcW w:w="1751" w:type="dxa"/>
            <w:noWrap/>
            <w:vAlign w:val="center"/>
          </w:tcPr>
          <w:p>
            <w:pPr>
              <w:ind w:firstLine="0" w:firstLineChars="0"/>
              <w:jc w:val="center"/>
              <w:rPr>
                <w:rFonts w:cs="Times New Roman"/>
                <w:color w:val="000000"/>
                <w:sz w:val="24"/>
                <w:szCs w:val="24"/>
              </w:rPr>
            </w:pPr>
            <w:r>
              <w:rPr>
                <w:rFonts w:cs="Times New Roman"/>
                <w:color w:val="000000"/>
                <w:sz w:val="24"/>
                <w:szCs w:val="24"/>
              </w:rPr>
              <w:t>15196931337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水竹林村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中兴镇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cs="Times New Roman"/>
                <w:color w:val="000000"/>
                <w:sz w:val="24"/>
                <w:szCs w:val="24"/>
              </w:rPr>
              <w:t>刘仁明</w:t>
            </w:r>
          </w:p>
        </w:tc>
        <w:tc>
          <w:tcPr>
            <w:tcW w:w="1751" w:type="dxa"/>
            <w:noWrap/>
            <w:vAlign w:val="center"/>
          </w:tcPr>
          <w:p>
            <w:pPr>
              <w:ind w:firstLine="0" w:firstLineChars="0"/>
              <w:jc w:val="center"/>
              <w:rPr>
                <w:rFonts w:cs="Times New Roman"/>
                <w:color w:val="000000"/>
                <w:sz w:val="24"/>
                <w:szCs w:val="24"/>
              </w:rPr>
            </w:pPr>
            <w:r>
              <w:rPr>
                <w:rFonts w:cs="Times New Roman"/>
                <w:color w:val="000000"/>
                <w:sz w:val="24"/>
                <w:szCs w:val="24"/>
              </w:rPr>
              <w:t>13808266628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响滩子村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中兴镇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cs="Times New Roman"/>
                <w:color w:val="000000"/>
                <w:sz w:val="24"/>
                <w:szCs w:val="24"/>
              </w:rPr>
              <w:t>吴佑辉</w:t>
            </w:r>
          </w:p>
        </w:tc>
        <w:tc>
          <w:tcPr>
            <w:tcW w:w="1751" w:type="dxa"/>
            <w:noWrap/>
            <w:vAlign w:val="center"/>
          </w:tcPr>
          <w:p>
            <w:pPr>
              <w:ind w:firstLine="0" w:firstLineChars="0"/>
              <w:jc w:val="center"/>
              <w:rPr>
                <w:rFonts w:cs="Times New Roman"/>
                <w:color w:val="000000"/>
                <w:sz w:val="24"/>
                <w:szCs w:val="24"/>
              </w:rPr>
            </w:pPr>
            <w:r>
              <w:rPr>
                <w:rFonts w:cs="Times New Roman"/>
                <w:color w:val="000000"/>
                <w:sz w:val="24"/>
                <w:szCs w:val="24"/>
              </w:rPr>
              <w:t>15282589378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三圣庙村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中兴镇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cs="Times New Roman"/>
                <w:color w:val="000000"/>
                <w:sz w:val="24"/>
                <w:szCs w:val="24"/>
              </w:rPr>
              <w:t>郭登友</w:t>
            </w:r>
          </w:p>
        </w:tc>
        <w:tc>
          <w:tcPr>
            <w:tcW w:w="1751" w:type="dxa"/>
            <w:noWrap/>
            <w:vAlign w:val="center"/>
          </w:tcPr>
          <w:p>
            <w:pPr>
              <w:ind w:firstLine="0" w:firstLineChars="0"/>
              <w:jc w:val="center"/>
              <w:rPr>
                <w:rFonts w:cs="Times New Roman"/>
                <w:color w:val="000000"/>
                <w:sz w:val="24"/>
                <w:szCs w:val="24"/>
              </w:rPr>
            </w:pPr>
            <w:r>
              <w:rPr>
                <w:rFonts w:cs="Times New Roman"/>
                <w:color w:val="000000"/>
                <w:sz w:val="24"/>
                <w:szCs w:val="24"/>
              </w:rPr>
              <w:t>13982544320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安家沟村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中兴镇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cs="Times New Roman"/>
                <w:color w:val="000000"/>
                <w:sz w:val="24"/>
                <w:szCs w:val="24"/>
              </w:rPr>
              <w:t>伍班辉</w:t>
            </w:r>
          </w:p>
        </w:tc>
        <w:tc>
          <w:tcPr>
            <w:tcW w:w="1751" w:type="dxa"/>
            <w:noWrap/>
            <w:vAlign w:val="center"/>
          </w:tcPr>
          <w:p>
            <w:pPr>
              <w:ind w:firstLine="0" w:firstLineChars="0"/>
              <w:jc w:val="center"/>
              <w:rPr>
                <w:rFonts w:cs="Times New Roman"/>
                <w:color w:val="000000"/>
                <w:sz w:val="24"/>
                <w:szCs w:val="24"/>
              </w:rPr>
            </w:pPr>
            <w:r>
              <w:rPr>
                <w:rFonts w:cs="Times New Roman"/>
                <w:color w:val="000000"/>
                <w:sz w:val="24"/>
                <w:szCs w:val="24"/>
              </w:rPr>
              <w:t>15882537642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高楼房村</w:t>
            </w:r>
            <w:r>
              <w:rPr>
                <w:rFonts w:hint="eastAsia" w:cs="Times New Roman"/>
                <w:color w:val="000000" w:themeColor="text1"/>
                <w:sz w:val="24"/>
                <w:szCs w:val="24"/>
                <w14:textFill>
                  <w14:solidFill>
                    <w14:schemeClr w14:val="tx1"/>
                  </w14:solidFill>
                </w14:textFill>
              </w:rPr>
              <w:t>应急救援分队</w:t>
            </w:r>
          </w:p>
        </w:tc>
        <w:tc>
          <w:tcPr>
            <w:tcW w:w="1275" w:type="dxa"/>
            <w:noWrap/>
          </w:tcPr>
          <w:p>
            <w:pPr>
              <w:ind w:firstLine="0" w:firstLineChars="0"/>
              <w:jc w:val="center"/>
              <w:rPr>
                <w:rFonts w:cs="Times New Roman"/>
                <w:color w:val="000000"/>
                <w:sz w:val="24"/>
                <w:szCs w:val="24"/>
              </w:rPr>
            </w:pPr>
            <w:r>
              <w:rPr>
                <w:rFonts w:hint="eastAsia" w:cs="Times New Roman"/>
                <w:color w:val="000000"/>
                <w:sz w:val="24"/>
                <w:szCs w:val="24"/>
              </w:rPr>
              <w:t>中兴镇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sz w:val="24"/>
                <w:szCs w:val="24"/>
              </w:rPr>
              <w:t>20</w:t>
            </w:r>
          </w:p>
        </w:tc>
        <w:tc>
          <w:tcPr>
            <w:tcW w:w="992" w:type="dxa"/>
            <w:noWrap/>
            <w:vAlign w:val="center"/>
          </w:tcPr>
          <w:p>
            <w:pPr>
              <w:ind w:firstLine="0" w:firstLineChars="0"/>
              <w:jc w:val="center"/>
              <w:rPr>
                <w:rFonts w:cs="Times New Roman"/>
                <w:color w:val="000000"/>
                <w:sz w:val="24"/>
                <w:szCs w:val="24"/>
              </w:rPr>
            </w:pPr>
            <w:r>
              <w:rPr>
                <w:rFonts w:cs="Times New Roman"/>
                <w:color w:val="000000"/>
                <w:sz w:val="24"/>
                <w:szCs w:val="24"/>
              </w:rPr>
              <w:t>吴冬军</w:t>
            </w:r>
          </w:p>
        </w:tc>
        <w:tc>
          <w:tcPr>
            <w:tcW w:w="1751" w:type="dxa"/>
            <w:noWrap/>
            <w:vAlign w:val="center"/>
          </w:tcPr>
          <w:p>
            <w:pPr>
              <w:ind w:firstLine="0" w:firstLineChars="0"/>
              <w:jc w:val="center"/>
              <w:rPr>
                <w:rFonts w:cs="Times New Roman"/>
                <w:color w:val="000000"/>
                <w:sz w:val="24"/>
                <w:szCs w:val="24"/>
              </w:rPr>
            </w:pPr>
            <w:r>
              <w:rPr>
                <w:rFonts w:cs="Times New Roman"/>
                <w:color w:val="000000"/>
                <w:sz w:val="24"/>
                <w:szCs w:val="24"/>
              </w:rPr>
              <w:t>18728521115</w:t>
            </w:r>
          </w:p>
        </w:tc>
      </w:tr>
    </w:tbl>
    <w:p>
      <w:pPr>
        <w:ind w:firstLine="0" w:firstLineChars="0"/>
        <w:jc w:val="center"/>
        <w:rPr>
          <w:rFonts w:eastAsia="黑体" w:cs="Times New Roman"/>
          <w:b/>
          <w:bCs/>
          <w:szCs w:val="32"/>
        </w:rPr>
      </w:pPr>
      <w:r>
        <w:rPr>
          <w:rFonts w:eastAsia="黑体" w:cs="Times New Roman"/>
          <w:b/>
          <w:bCs/>
          <w:szCs w:val="32"/>
        </w:rPr>
        <w:t>附表4  应急救援装备、物资统计及分布表</w:t>
      </w:r>
    </w:p>
    <w:tbl>
      <w:tblPr>
        <w:tblStyle w:val="22"/>
        <w:tblW w:w="88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65"/>
        <w:gridCol w:w="983"/>
        <w:gridCol w:w="18"/>
        <w:gridCol w:w="1246"/>
        <w:gridCol w:w="20"/>
        <w:gridCol w:w="1246"/>
        <w:gridCol w:w="1266"/>
        <w:gridCol w:w="1266"/>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961"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储备物资</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单位</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白马镇应急物资贮备库</w:t>
            </w:r>
          </w:p>
        </w:tc>
        <w:tc>
          <w:tcPr>
            <w:tcW w:w="1266" w:type="dxa"/>
            <w:gridSpan w:val="2"/>
          </w:tcPr>
          <w:p>
            <w:pPr>
              <w:widowControl/>
              <w:adjustRightInd w:val="0"/>
              <w:snapToGrid w:val="0"/>
              <w:spacing w:line="240" w:lineRule="auto"/>
              <w:ind w:firstLine="0" w:firstLineChars="0"/>
              <w:jc w:val="center"/>
              <w:rPr>
                <w:rFonts w:ascii="宋体" w:hAnsi="宋体" w:eastAsia="宋体" w:cs="宋体"/>
                <w:sz w:val="24"/>
                <w:szCs w:val="24"/>
              </w:rPr>
            </w:pPr>
            <w:r>
              <w:rPr>
                <w:rFonts w:hint="eastAsia" w:ascii="仿宋" w:hAnsi="仿宋" w:cs="仿宋"/>
                <w:sz w:val="24"/>
                <w:szCs w:val="24"/>
              </w:rPr>
              <w:t>保石镇应急物资贮备库</w:t>
            </w:r>
          </w:p>
        </w:tc>
        <w:tc>
          <w:tcPr>
            <w:tcW w:w="1266" w:type="dxa"/>
          </w:tcPr>
          <w:p>
            <w:pPr>
              <w:widowControl/>
              <w:adjustRightInd w:val="0"/>
              <w:snapToGrid w:val="0"/>
              <w:spacing w:line="240" w:lineRule="auto"/>
              <w:ind w:firstLine="0" w:firstLineChars="0"/>
              <w:jc w:val="center"/>
              <w:rPr>
                <w:rFonts w:ascii="宋体" w:hAnsi="宋体" w:eastAsia="宋体" w:cs="宋体"/>
                <w:sz w:val="24"/>
                <w:szCs w:val="24"/>
              </w:rPr>
            </w:pPr>
            <w:r>
              <w:rPr>
                <w:rFonts w:hint="eastAsia" w:ascii="仿宋" w:hAnsi="仿宋" w:cs="仿宋"/>
                <w:sz w:val="24"/>
                <w:szCs w:val="24"/>
              </w:rPr>
              <w:t>拦江镇应急物资贮备库</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 xml:space="preserve">中兴镇应急物资贮备库  </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4594" w:type="dxa"/>
          <w:trHeight w:val="285" w:hRule="atLeast"/>
          <w:jc w:val="center"/>
        </w:trPr>
        <w:tc>
          <w:tcPr>
            <w:tcW w:w="1696" w:type="dxa"/>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生活类物资</w:t>
            </w:r>
          </w:p>
        </w:tc>
        <w:tc>
          <w:tcPr>
            <w:tcW w:w="1266" w:type="dxa"/>
            <w:gridSpan w:val="3"/>
          </w:tcPr>
          <w:p>
            <w:pPr>
              <w:widowControl/>
              <w:adjustRightInd w:val="0"/>
              <w:snapToGrid w:val="0"/>
              <w:spacing w:line="240" w:lineRule="auto"/>
              <w:ind w:firstLine="0" w:firstLineChars="0"/>
              <w:jc w:val="left"/>
              <w:rPr>
                <w:rFonts w:ascii="仿宋" w:hAnsi="仿宋" w:cs="仿宋"/>
                <w:sz w:val="24"/>
                <w:szCs w:val="24"/>
              </w:rPr>
            </w:pPr>
          </w:p>
        </w:tc>
        <w:tc>
          <w:tcPr>
            <w:tcW w:w="1266" w:type="dxa"/>
            <w:gridSpan w:val="2"/>
          </w:tcPr>
          <w:p>
            <w:pPr>
              <w:widowControl/>
              <w:adjustRightInd w:val="0"/>
              <w:snapToGrid w:val="0"/>
              <w:spacing w:line="240" w:lineRule="auto"/>
              <w:ind w:firstLine="0" w:firstLineChars="0"/>
              <w:jc w:val="left"/>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其中：救灾帐篷</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顶</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3</w:t>
            </w:r>
          </w:p>
        </w:tc>
        <w:tc>
          <w:tcPr>
            <w:tcW w:w="1266" w:type="dxa"/>
            <w:gridSpan w:val="2"/>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2</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12</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r>
              <w:rPr>
                <w:rFonts w:ascii="仿宋" w:hAnsi="仿宋" w:cs="仿宋"/>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棉被</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床</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62</w:t>
            </w:r>
          </w:p>
        </w:tc>
        <w:tc>
          <w:tcPr>
            <w:tcW w:w="1266" w:type="dxa"/>
            <w:gridSpan w:val="2"/>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20</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8</w:t>
            </w:r>
            <w:r>
              <w:rPr>
                <w:rFonts w:ascii="仿宋" w:hAnsi="仿宋" w:cs="仿宋"/>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棉衣、棉大衣</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件</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5</w:t>
            </w:r>
          </w:p>
        </w:tc>
        <w:tc>
          <w:tcPr>
            <w:tcW w:w="1266" w:type="dxa"/>
            <w:gridSpan w:val="2"/>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2</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10</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r>
              <w:rPr>
                <w:rFonts w:ascii="仿宋" w:hAnsi="仿宋" w:cs="仿宋"/>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毛巾被</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床</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gridSpan w:val="2"/>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毛毯</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件</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gridSpan w:val="2"/>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睡袋</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个</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gridSpan w:val="2"/>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折叠床</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张</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8</w:t>
            </w:r>
          </w:p>
        </w:tc>
        <w:tc>
          <w:tcPr>
            <w:tcW w:w="1266" w:type="dxa"/>
            <w:gridSpan w:val="2"/>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r>
              <w:rPr>
                <w:rFonts w:ascii="仿宋" w:hAnsi="仿宋" w:cs="仿宋"/>
                <w:sz w:val="24"/>
                <w:szCs w:val="24"/>
              </w:rPr>
              <w:t>0</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6</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4</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2</w:t>
            </w:r>
            <w:r>
              <w:rPr>
                <w:rFonts w:ascii="仿宋" w:hAnsi="仿宋" w:cs="仿宋"/>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简易厕所</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个</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gridSpan w:val="2"/>
          </w:tcPr>
          <w:p>
            <w:pPr>
              <w:widowControl/>
              <w:adjustRightInd w:val="0"/>
              <w:snapToGrid w:val="0"/>
              <w:spacing w:line="240" w:lineRule="auto"/>
              <w:ind w:firstLine="0" w:firstLineChars="0"/>
              <w:jc w:val="center"/>
              <w:rPr>
                <w:rFonts w:ascii="仿宋" w:hAnsi="仿宋" w:cs="仿宋"/>
                <w:sz w:val="24"/>
                <w:szCs w:val="24"/>
              </w:rPr>
            </w:pPr>
          </w:p>
        </w:tc>
        <w:tc>
          <w:tcPr>
            <w:tcW w:w="1266" w:type="dxa"/>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生活类物资折合金额</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万元</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0.792</w:t>
            </w:r>
          </w:p>
        </w:tc>
        <w:tc>
          <w:tcPr>
            <w:tcW w:w="1266"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0</w:t>
            </w:r>
            <w:r>
              <w:rPr>
                <w:rFonts w:ascii="仿宋" w:hAnsi="仿宋" w:cs="仿宋"/>
                <w:sz w:val="24"/>
                <w:szCs w:val="24"/>
              </w:rPr>
              <w:t>.4</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0</w:t>
            </w:r>
            <w:r>
              <w:rPr>
                <w:rFonts w:ascii="仿宋" w:hAnsi="仿宋" w:cs="仿宋"/>
                <w:sz w:val="24"/>
                <w:szCs w:val="24"/>
              </w:rPr>
              <w:t>.4</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0</w:t>
            </w:r>
            <w:r>
              <w:rPr>
                <w:rFonts w:ascii="仿宋" w:hAnsi="仿宋" w:cs="仿宋"/>
                <w:sz w:val="24"/>
                <w:szCs w:val="24"/>
              </w:rPr>
              <w:t>.8</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2</w:t>
            </w:r>
            <w:r>
              <w:rPr>
                <w:rFonts w:ascii="仿宋" w:hAnsi="仿宋" w:cs="仿宋"/>
                <w:sz w:val="24"/>
                <w:szCs w:val="24"/>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4594" w:type="dxa"/>
          <w:trHeight w:val="285" w:hRule="atLeast"/>
          <w:jc w:val="center"/>
        </w:trPr>
        <w:tc>
          <w:tcPr>
            <w:tcW w:w="1696" w:type="dxa"/>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救援类物资</w:t>
            </w:r>
          </w:p>
        </w:tc>
        <w:tc>
          <w:tcPr>
            <w:tcW w:w="1266" w:type="dxa"/>
            <w:gridSpan w:val="3"/>
            <w:vAlign w:val="center"/>
          </w:tcPr>
          <w:p>
            <w:pPr>
              <w:widowControl/>
              <w:adjustRightInd w:val="0"/>
              <w:snapToGrid w:val="0"/>
              <w:spacing w:line="240" w:lineRule="auto"/>
              <w:ind w:firstLine="0" w:firstLineChars="0"/>
              <w:jc w:val="left"/>
              <w:rPr>
                <w:rFonts w:ascii="仿宋" w:hAnsi="仿宋" w:cs="仿宋"/>
                <w:sz w:val="24"/>
                <w:szCs w:val="24"/>
              </w:rPr>
            </w:pPr>
          </w:p>
        </w:tc>
        <w:tc>
          <w:tcPr>
            <w:tcW w:w="1266" w:type="dxa"/>
            <w:gridSpan w:val="2"/>
            <w:vAlign w:val="center"/>
          </w:tcPr>
          <w:p>
            <w:pPr>
              <w:widowControl/>
              <w:adjustRightInd w:val="0"/>
              <w:snapToGrid w:val="0"/>
              <w:spacing w:line="240" w:lineRule="auto"/>
              <w:ind w:firstLine="0" w:firstLineChars="0"/>
              <w:jc w:val="left"/>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其中：橡皮船（艇）</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艘</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gridSpan w:val="2"/>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冲锋舟</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艘</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gridSpan w:val="2"/>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救生船</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艘</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gridSpan w:val="2"/>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救生衣</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件</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32</w:t>
            </w:r>
          </w:p>
        </w:tc>
        <w:tc>
          <w:tcPr>
            <w:tcW w:w="1266"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15</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78</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40</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r>
              <w:rPr>
                <w:rFonts w:ascii="仿宋" w:hAnsi="仿宋" w:cs="仿宋"/>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救生圈</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个</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30</w:t>
            </w:r>
          </w:p>
        </w:tc>
        <w:tc>
          <w:tcPr>
            <w:tcW w:w="1266"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10</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22</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20</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8</w:t>
            </w:r>
            <w:r>
              <w:rPr>
                <w:rFonts w:ascii="仿宋" w:hAnsi="仿宋" w:cs="仿宋"/>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编织袋</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个</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200</w:t>
            </w:r>
          </w:p>
        </w:tc>
        <w:tc>
          <w:tcPr>
            <w:tcW w:w="1266"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400</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300</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400</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r>
              <w:rPr>
                <w:rFonts w:ascii="仿宋" w:hAnsi="仿宋" w:cs="仿宋"/>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麻袋</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个</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gridSpan w:val="2"/>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100</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r>
              <w:rPr>
                <w:rFonts w:ascii="仿宋" w:hAnsi="仿宋" w:cs="仿宋"/>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抽水泵</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个</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2</w:t>
            </w:r>
          </w:p>
        </w:tc>
        <w:tc>
          <w:tcPr>
            <w:tcW w:w="1266" w:type="dxa"/>
            <w:gridSpan w:val="2"/>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救援类物资折合金额</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万元</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ascii="仿宋" w:hAnsi="仿宋" w:cs="仿宋"/>
                <w:sz w:val="24"/>
                <w:szCs w:val="24"/>
              </w:rPr>
              <w:t>2</w:t>
            </w:r>
            <w:r>
              <w:rPr>
                <w:rFonts w:hint="eastAsia" w:ascii="仿宋" w:hAnsi="仿宋" w:cs="仿宋"/>
                <w:sz w:val="24"/>
                <w:szCs w:val="24"/>
              </w:rPr>
              <w:t>.42</w:t>
            </w:r>
          </w:p>
        </w:tc>
        <w:tc>
          <w:tcPr>
            <w:tcW w:w="1266"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ascii="仿宋" w:hAnsi="仿宋" w:cs="仿宋"/>
                <w:sz w:val="24"/>
                <w:szCs w:val="24"/>
              </w:rPr>
              <w:t>1</w:t>
            </w:r>
            <w:r>
              <w:rPr>
                <w:rFonts w:hint="eastAsia" w:ascii="仿宋" w:hAnsi="仿宋" w:cs="仿宋"/>
                <w:sz w:val="24"/>
                <w:szCs w:val="24"/>
              </w:rPr>
              <w:t>.3</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ascii="仿宋" w:hAnsi="仿宋" w:cs="仿宋"/>
                <w:sz w:val="24"/>
                <w:szCs w:val="24"/>
              </w:rPr>
              <w:t>1.5</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ascii="仿宋" w:hAnsi="仿宋" w:cs="仿宋"/>
                <w:sz w:val="24"/>
                <w:szCs w:val="24"/>
              </w:rPr>
              <w:t>2.12</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7</w:t>
            </w:r>
            <w:r>
              <w:rPr>
                <w:rFonts w:ascii="仿宋" w:hAnsi="仿宋" w:cs="仿宋"/>
                <w:sz w:val="24"/>
                <w:szCs w:val="24"/>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4594" w:type="dxa"/>
          <w:trHeight w:val="285" w:hRule="atLeast"/>
          <w:jc w:val="center"/>
        </w:trPr>
        <w:tc>
          <w:tcPr>
            <w:tcW w:w="1696" w:type="dxa"/>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其他物资</w:t>
            </w:r>
          </w:p>
        </w:tc>
        <w:tc>
          <w:tcPr>
            <w:tcW w:w="1266" w:type="dxa"/>
            <w:gridSpan w:val="3"/>
            <w:vAlign w:val="center"/>
          </w:tcPr>
          <w:p>
            <w:pPr>
              <w:widowControl/>
              <w:adjustRightInd w:val="0"/>
              <w:snapToGrid w:val="0"/>
              <w:spacing w:line="240" w:lineRule="auto"/>
              <w:ind w:firstLine="0" w:firstLineChars="0"/>
              <w:jc w:val="left"/>
              <w:rPr>
                <w:rFonts w:ascii="仿宋" w:hAnsi="仿宋" w:cs="仿宋"/>
                <w:sz w:val="24"/>
                <w:szCs w:val="24"/>
              </w:rPr>
            </w:pPr>
          </w:p>
        </w:tc>
        <w:tc>
          <w:tcPr>
            <w:tcW w:w="1266" w:type="dxa"/>
            <w:gridSpan w:val="2"/>
            <w:vAlign w:val="center"/>
          </w:tcPr>
          <w:p>
            <w:pPr>
              <w:widowControl/>
              <w:adjustRightInd w:val="0"/>
              <w:snapToGrid w:val="0"/>
              <w:spacing w:line="240" w:lineRule="auto"/>
              <w:ind w:firstLine="0" w:firstLineChars="0"/>
              <w:jc w:val="left"/>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其中：发电机</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台</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gridSpan w:val="2"/>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应急灯</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盏</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16</w:t>
            </w:r>
          </w:p>
        </w:tc>
        <w:tc>
          <w:tcPr>
            <w:tcW w:w="1266"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r>
              <w:rPr>
                <w:rFonts w:ascii="仿宋" w:hAnsi="仿宋" w:cs="仿宋"/>
                <w:sz w:val="24"/>
                <w:szCs w:val="24"/>
              </w:rPr>
              <w:t>0</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ascii="仿宋" w:hAnsi="仿宋" w:cs="仿宋"/>
                <w:sz w:val="24"/>
                <w:szCs w:val="24"/>
              </w:rPr>
              <w:t>10</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30</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6</w:t>
            </w:r>
            <w:r>
              <w:rPr>
                <w:rFonts w:ascii="仿宋" w:hAnsi="仿宋" w:cs="仿宋"/>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1" w:type="dxa"/>
            <w:gridSpan w:val="2"/>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其他物资折合金额</w:t>
            </w:r>
          </w:p>
        </w:tc>
        <w:tc>
          <w:tcPr>
            <w:tcW w:w="983"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万元</w:t>
            </w:r>
          </w:p>
        </w:tc>
        <w:tc>
          <w:tcPr>
            <w:tcW w:w="1264"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0.048</w:t>
            </w:r>
          </w:p>
        </w:tc>
        <w:tc>
          <w:tcPr>
            <w:tcW w:w="1266" w:type="dxa"/>
            <w:gridSpan w:val="2"/>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0.0</w:t>
            </w:r>
            <w:r>
              <w:rPr>
                <w:rFonts w:ascii="仿宋" w:hAnsi="仿宋" w:cs="仿宋"/>
                <w:sz w:val="24"/>
                <w:szCs w:val="24"/>
              </w:rPr>
              <w:t>2</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0</w:t>
            </w:r>
            <w:r>
              <w:rPr>
                <w:rFonts w:ascii="仿宋" w:hAnsi="仿宋" w:cs="仿宋"/>
                <w:sz w:val="24"/>
                <w:szCs w:val="24"/>
              </w:rPr>
              <w:t>.02</w:t>
            </w:r>
          </w:p>
        </w:tc>
        <w:tc>
          <w:tcPr>
            <w:tcW w:w="126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0</w:t>
            </w:r>
            <w:r>
              <w:rPr>
                <w:rFonts w:ascii="仿宋" w:hAnsi="仿宋" w:cs="仿宋"/>
                <w:sz w:val="24"/>
                <w:szCs w:val="24"/>
              </w:rPr>
              <w:t>.3</w:t>
            </w:r>
          </w:p>
        </w:tc>
        <w:tc>
          <w:tcPr>
            <w:tcW w:w="816" w:type="dxa"/>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0</w:t>
            </w:r>
            <w:r>
              <w:rPr>
                <w:rFonts w:ascii="仿宋" w:hAnsi="仿宋" w:cs="仿宋"/>
                <w:sz w:val="24"/>
                <w:szCs w:val="24"/>
              </w:rPr>
              <w:t>.388</w:t>
            </w:r>
          </w:p>
        </w:tc>
      </w:tr>
    </w:tbl>
    <w:p>
      <w:pPr>
        <w:pStyle w:val="2"/>
        <w:ind w:firstLine="420"/>
      </w:pPr>
    </w:p>
    <w:p>
      <w:pPr>
        <w:ind w:firstLine="640"/>
        <w:jc w:val="center"/>
        <w:rPr>
          <w:rFonts w:cs="Times New Roman"/>
          <w:color w:val="FF0000"/>
          <w:szCs w:val="32"/>
        </w:rPr>
      </w:pPr>
    </w:p>
    <w:p>
      <w:pPr>
        <w:pStyle w:val="2"/>
        <w:ind w:firstLine="420"/>
      </w:pPr>
      <w:r>
        <w:br w:type="page"/>
      </w:r>
    </w:p>
    <w:p>
      <w:pPr>
        <w:ind w:firstLine="640"/>
        <w:jc w:val="center"/>
        <w:rPr>
          <w:rFonts w:cs="Times New Roman"/>
          <w:color w:val="FF0000"/>
          <w:szCs w:val="32"/>
        </w:rPr>
        <w:sectPr>
          <w:pgSz w:w="11906" w:h="16838"/>
          <w:pgMar w:top="2098" w:right="1474" w:bottom="1985" w:left="1588" w:header="851" w:footer="992" w:gutter="0"/>
          <w:cols w:space="425" w:num="1"/>
          <w:docGrid w:type="lines" w:linePitch="435" w:charSpace="0"/>
        </w:sectPr>
      </w:pPr>
    </w:p>
    <w:p>
      <w:pPr>
        <w:ind w:firstLine="4819" w:firstLineChars="1500"/>
        <w:rPr>
          <w:rFonts w:cs="Times New Roman"/>
          <w:sz w:val="24"/>
          <w:szCs w:val="24"/>
        </w:rPr>
      </w:pPr>
      <w:r>
        <w:rPr>
          <w:rFonts w:eastAsia="黑体" w:cs="Times New Roman"/>
          <w:b/>
          <w:bCs/>
          <w:szCs w:val="32"/>
        </w:rPr>
        <w:t>附表5  应急管理用地现状和规划用地指标</w:t>
      </w:r>
      <w:bookmarkStart w:id="77" w:name="_Toc106829488"/>
      <w:bookmarkStart w:id="78" w:name="_Toc3215"/>
    </w:p>
    <w:tbl>
      <w:tblPr>
        <w:tblStyle w:val="22"/>
        <w:tblpPr w:leftFromText="180" w:rightFromText="180" w:vertAnchor="text" w:horzAnchor="page" w:tblpXSpec="center" w:tblpY="535"/>
        <w:tblOverlap w:val="never"/>
        <w:tblW w:w="49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3402"/>
        <w:gridCol w:w="2510"/>
        <w:gridCol w:w="2278"/>
        <w:gridCol w:w="2429"/>
        <w:gridCol w:w="1734"/>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74" w:type="pct"/>
            <w:shd w:val="clear" w:color="auto" w:fill="auto"/>
            <w:vAlign w:val="center"/>
          </w:tcPr>
          <w:p>
            <w:pPr>
              <w:spacing w:before="100" w:beforeAutospacing="1" w:after="100" w:afterAutospacing="1" w:line="300" w:lineRule="exact"/>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序号</w:t>
            </w:r>
          </w:p>
        </w:tc>
        <w:tc>
          <w:tcPr>
            <w:tcW w:w="1217" w:type="pct"/>
            <w:shd w:val="clear" w:color="auto" w:fill="auto"/>
            <w:vAlign w:val="center"/>
          </w:tcPr>
          <w:p>
            <w:pPr>
              <w:spacing w:before="100" w:beforeAutospacing="1" w:after="100" w:afterAutospacing="1" w:line="300" w:lineRule="exact"/>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项目名称</w:t>
            </w:r>
          </w:p>
        </w:tc>
        <w:tc>
          <w:tcPr>
            <w:tcW w:w="898" w:type="pct"/>
            <w:shd w:val="clear" w:color="auto" w:fill="auto"/>
            <w:vAlign w:val="center"/>
          </w:tcPr>
          <w:p>
            <w:pPr>
              <w:spacing w:before="100" w:beforeAutospacing="1" w:after="100" w:afterAutospacing="1" w:line="300" w:lineRule="exact"/>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所属镇、街道</w:t>
            </w:r>
          </w:p>
        </w:tc>
        <w:tc>
          <w:tcPr>
            <w:tcW w:w="815" w:type="pct"/>
            <w:shd w:val="clear" w:color="auto" w:fill="auto"/>
            <w:vAlign w:val="center"/>
          </w:tcPr>
          <w:p>
            <w:pPr>
              <w:spacing w:before="100" w:beforeAutospacing="1" w:after="100" w:afterAutospacing="1" w:line="300" w:lineRule="exact"/>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用途</w:t>
            </w:r>
          </w:p>
        </w:tc>
        <w:tc>
          <w:tcPr>
            <w:tcW w:w="869" w:type="pct"/>
            <w:shd w:val="clear" w:color="auto" w:fill="auto"/>
            <w:vAlign w:val="center"/>
          </w:tcPr>
          <w:p>
            <w:pPr>
              <w:spacing w:before="100" w:beforeAutospacing="1" w:after="100" w:afterAutospacing="1" w:line="300" w:lineRule="exact"/>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用地类型（共建/新建）</w:t>
            </w:r>
          </w:p>
        </w:tc>
        <w:tc>
          <w:tcPr>
            <w:tcW w:w="620" w:type="pct"/>
            <w:shd w:val="clear" w:color="auto" w:fill="auto"/>
            <w:vAlign w:val="center"/>
          </w:tcPr>
          <w:p>
            <w:pPr>
              <w:spacing w:before="100" w:beforeAutospacing="1" w:after="100" w:afterAutospacing="1" w:line="300" w:lineRule="exact"/>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用地规模（㎡）</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镇应急指挥中心</w:t>
            </w:r>
          </w:p>
        </w:tc>
        <w:tc>
          <w:tcPr>
            <w:tcW w:w="898" w:type="pct"/>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w:t>
            </w:r>
            <w:r>
              <w:rPr>
                <w:rFonts w:cs="Times New Roman"/>
                <w:color w:val="000000" w:themeColor="text1"/>
                <w:sz w:val="24"/>
                <w:szCs w:val="24"/>
                <w14:textFill>
                  <w14:solidFill>
                    <w14:schemeClr w14:val="tx1"/>
                  </w14:solidFill>
                </w14:textFill>
              </w:rPr>
              <w:t>镇</w:t>
            </w:r>
          </w:p>
        </w:tc>
        <w:tc>
          <w:tcPr>
            <w:tcW w:w="815"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应急指挥</w:t>
            </w:r>
          </w:p>
        </w:tc>
        <w:tc>
          <w:tcPr>
            <w:tcW w:w="869"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升级改造</w:t>
            </w:r>
          </w:p>
        </w:tc>
        <w:tc>
          <w:tcPr>
            <w:tcW w:w="620" w:type="pct"/>
            <w:shd w:val="clear" w:color="auto" w:fill="auto"/>
          </w:tcPr>
          <w:p>
            <w:pPr>
              <w:ind w:firstLine="33" w:firstLineChars="14"/>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w:t>
            </w:r>
            <w:r>
              <w:rPr>
                <w:rFonts w:cs="Times New Roman"/>
                <w:color w:val="000000" w:themeColor="text1"/>
                <w:sz w:val="24"/>
                <w:szCs w:val="24"/>
                <w14:textFill>
                  <w14:solidFill>
                    <w14:schemeClr w14:val="tx1"/>
                  </w14:solidFill>
                </w14:textFill>
              </w:rPr>
              <w:t>镇应急指挥中心</w:t>
            </w:r>
          </w:p>
        </w:tc>
        <w:tc>
          <w:tcPr>
            <w:tcW w:w="898" w:type="pct"/>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w:t>
            </w:r>
            <w:r>
              <w:rPr>
                <w:rFonts w:cs="Times New Roman"/>
                <w:color w:val="000000" w:themeColor="text1"/>
                <w:sz w:val="24"/>
                <w:szCs w:val="24"/>
                <w14:textFill>
                  <w14:solidFill>
                    <w14:schemeClr w14:val="tx1"/>
                  </w14:solidFill>
                </w14:textFill>
              </w:rPr>
              <w:t>镇</w:t>
            </w:r>
          </w:p>
        </w:tc>
        <w:tc>
          <w:tcPr>
            <w:tcW w:w="815"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应急指挥</w:t>
            </w:r>
          </w:p>
        </w:tc>
        <w:tc>
          <w:tcPr>
            <w:tcW w:w="869"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升级改造</w:t>
            </w:r>
          </w:p>
        </w:tc>
        <w:tc>
          <w:tcPr>
            <w:tcW w:w="620" w:type="pct"/>
            <w:shd w:val="clear" w:color="auto" w:fill="auto"/>
          </w:tcPr>
          <w:p>
            <w:pPr>
              <w:ind w:firstLine="33" w:firstLineChars="14"/>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w:t>
            </w:r>
            <w:r>
              <w:rPr>
                <w:rFonts w:cs="Times New Roman"/>
                <w:color w:val="000000" w:themeColor="text1"/>
                <w:sz w:val="24"/>
                <w:szCs w:val="24"/>
                <w14:textFill>
                  <w14:solidFill>
                    <w14:schemeClr w14:val="tx1"/>
                  </w14:solidFill>
                </w14:textFill>
              </w:rPr>
              <w:t>镇应急指挥中心</w:t>
            </w:r>
          </w:p>
        </w:tc>
        <w:tc>
          <w:tcPr>
            <w:tcW w:w="898" w:type="pct"/>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w:t>
            </w:r>
            <w:r>
              <w:rPr>
                <w:rFonts w:cs="Times New Roman"/>
                <w:color w:val="000000" w:themeColor="text1"/>
                <w:sz w:val="24"/>
                <w:szCs w:val="24"/>
                <w14:textFill>
                  <w14:solidFill>
                    <w14:schemeClr w14:val="tx1"/>
                  </w14:solidFill>
                </w14:textFill>
              </w:rPr>
              <w:t>镇</w:t>
            </w:r>
          </w:p>
        </w:tc>
        <w:tc>
          <w:tcPr>
            <w:tcW w:w="815"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应急指挥</w:t>
            </w:r>
          </w:p>
        </w:tc>
        <w:tc>
          <w:tcPr>
            <w:tcW w:w="869"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升级改造</w:t>
            </w:r>
          </w:p>
        </w:tc>
        <w:tc>
          <w:tcPr>
            <w:tcW w:w="620" w:type="pct"/>
            <w:shd w:val="clear" w:color="auto" w:fill="auto"/>
          </w:tcPr>
          <w:p>
            <w:pPr>
              <w:ind w:firstLine="33" w:firstLineChars="14"/>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w:t>
            </w:r>
            <w:r>
              <w:rPr>
                <w:rFonts w:cs="Times New Roman"/>
                <w:color w:val="000000" w:themeColor="text1"/>
                <w:sz w:val="24"/>
                <w:szCs w:val="24"/>
                <w14:textFill>
                  <w14:solidFill>
                    <w14:schemeClr w14:val="tx1"/>
                  </w14:solidFill>
                </w14:textFill>
              </w:rPr>
              <w:t>镇应急指挥中心</w:t>
            </w:r>
          </w:p>
        </w:tc>
        <w:tc>
          <w:tcPr>
            <w:tcW w:w="898" w:type="pct"/>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w:t>
            </w:r>
            <w:r>
              <w:rPr>
                <w:rFonts w:cs="Times New Roman"/>
                <w:color w:val="000000" w:themeColor="text1"/>
                <w:sz w:val="24"/>
                <w:szCs w:val="24"/>
                <w14:textFill>
                  <w14:solidFill>
                    <w14:schemeClr w14:val="tx1"/>
                  </w14:solidFill>
                </w14:textFill>
              </w:rPr>
              <w:t>镇</w:t>
            </w:r>
          </w:p>
        </w:tc>
        <w:tc>
          <w:tcPr>
            <w:tcW w:w="815"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应急指挥</w:t>
            </w:r>
          </w:p>
        </w:tc>
        <w:tc>
          <w:tcPr>
            <w:tcW w:w="869"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升级改造</w:t>
            </w:r>
          </w:p>
        </w:tc>
        <w:tc>
          <w:tcPr>
            <w:tcW w:w="620" w:type="pct"/>
            <w:shd w:val="clear" w:color="auto" w:fill="auto"/>
          </w:tcPr>
          <w:p>
            <w:pPr>
              <w:ind w:firstLine="33" w:firstLineChars="14"/>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白马镇人民政府</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3500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白马中学</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11000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白马小学</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5500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白马镇中心幼儿园</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2700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白马敬老院</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1300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步云中学</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5000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步云小学</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5800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步云集中隔离点</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2400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平宁小学</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3800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解放小学</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3600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保石明德小学</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30</w:t>
            </w:r>
            <w:r>
              <w:rPr>
                <w:rFonts w:cs="Times New Roman"/>
                <w:color w:val="000000" w:themeColor="text1"/>
                <w:sz w:val="24"/>
                <w:szCs w:val="24"/>
                <w14:textFill>
                  <w14:solidFill>
                    <w14:schemeClr w14:val="tx1"/>
                  </w14:solidFill>
                </w14:textFill>
              </w:rPr>
              <w:t>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保石中学</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7200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水井九年义务学校</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4200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拦江镇政府</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1000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拦江九义校</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5000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拦江中学</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4000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拦江马河初中</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2000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莲花九义校</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3000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真武小学</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2000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凉风中心小学</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2000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拦江敬老院</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1000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拦江医院</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1000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莲花医院</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1000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滨河路广场</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1500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步行街</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800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学府广场</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800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中兴镇政府</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600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中兴镇小学</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3000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中兴镇中学</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2000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中兴镇敬老院</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2000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中兴镇文化广场</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800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中兴镇卫生院</w:t>
            </w:r>
          </w:p>
        </w:tc>
        <w:tc>
          <w:tcPr>
            <w:tcW w:w="898"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改建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800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白果树村村民委员会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120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花天坝村村民委员会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130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陈家沟村村民委员会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350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治平寺村村民委员会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110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小龙塘村村民委员会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500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白塔村村民委员会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450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白马庙村村民委员会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200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青峰村村民委员会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320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宝泉沟村民委员会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600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清凉寺村村民委员会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700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禅林寺村村民委员会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500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两路口村村民委员会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390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四方井村村民委员会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340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before="100" w:beforeAutospacing="1" w:after="100" w:afterAutospacing="1" w:line="30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刺桐垭村村民委员会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520</w:t>
            </w:r>
          </w:p>
        </w:tc>
        <w:tc>
          <w:tcPr>
            <w:tcW w:w="307" w:type="pct"/>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毗庐寺村村民委员会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130</w:t>
            </w:r>
          </w:p>
        </w:tc>
        <w:tc>
          <w:tcPr>
            <w:tcW w:w="307" w:type="pct"/>
            <w:shd w:val="clear" w:color="auto" w:fill="auto"/>
            <w:vAlign w:val="center"/>
          </w:tcPr>
          <w:p>
            <w:pPr>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麻子滩村村民委员会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600</w:t>
            </w:r>
          </w:p>
        </w:tc>
        <w:tc>
          <w:tcPr>
            <w:tcW w:w="307" w:type="pct"/>
            <w:shd w:val="clear" w:color="auto" w:fill="auto"/>
            <w:vAlign w:val="center"/>
          </w:tcPr>
          <w:p>
            <w:pPr>
              <w:spacing w:before="100" w:beforeAutospacing="1" w:after="100" w:afterAutospacing="1" w:line="300" w:lineRule="exact"/>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ascii="仿宋" w:hAnsi="仿宋" w:cs="仿宋"/>
                <w:sz w:val="24"/>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黄桶坡村村民委员会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360</w:t>
            </w:r>
          </w:p>
        </w:tc>
        <w:tc>
          <w:tcPr>
            <w:tcW w:w="307" w:type="pct"/>
            <w:shd w:val="clear" w:color="auto" w:fill="auto"/>
            <w:vAlign w:val="center"/>
          </w:tcPr>
          <w:p>
            <w:pPr>
              <w:spacing w:before="100" w:beforeAutospacing="1" w:after="100" w:afterAutospacing="1" w:line="300" w:lineRule="exact"/>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步云村村民委员会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180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筒竹湾村村民委员会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450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黄盐井村村民委员会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河边井村村民委员会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650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炭洞子村村民委员会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顺河社区居民委员会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420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平宁社区居民委员会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330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雾盐井社区居民委员会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白马镇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540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金堂村委会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w:t>
            </w:r>
            <w:r>
              <w:rPr>
                <w:rFonts w:hint="eastAsia" w:cs="Times New Roman"/>
                <w:color w:val="000000" w:themeColor="text1"/>
                <w:sz w:val="24"/>
                <w:szCs w:val="24"/>
                <w14:textFill>
                  <w14:solidFill>
                    <w14:schemeClr w14:val="tx1"/>
                  </w14:solidFill>
                </w14:textFill>
              </w:rPr>
              <w:t>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卧牛寺村委会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4</w:t>
            </w:r>
            <w:r>
              <w:rPr>
                <w:rFonts w:hint="eastAsia" w:cs="Times New Roman"/>
                <w:color w:val="000000" w:themeColor="text1"/>
                <w:sz w:val="24"/>
                <w:szCs w:val="24"/>
                <w14:textFill>
                  <w14:solidFill>
                    <w14:schemeClr w14:val="tx1"/>
                  </w14:solidFill>
                </w14:textFill>
              </w:rPr>
              <w:t>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清泉村委会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w:t>
            </w:r>
            <w:r>
              <w:rPr>
                <w:rFonts w:cs="Times New Roman"/>
                <w:color w:val="000000" w:themeColor="text1"/>
                <w:sz w:val="24"/>
                <w:szCs w:val="24"/>
                <w14:textFill>
                  <w14:solidFill>
                    <w14:schemeClr w14:val="tx1"/>
                  </w14:solidFill>
                </w14:textFill>
              </w:rPr>
              <w:t>5</w:t>
            </w:r>
            <w:r>
              <w:rPr>
                <w:rFonts w:hint="eastAsia" w:cs="Times New Roman"/>
                <w:color w:val="000000" w:themeColor="text1"/>
                <w:sz w:val="24"/>
                <w:szCs w:val="24"/>
                <w14:textFill>
                  <w14:solidFill>
                    <w14:schemeClr w14:val="tx1"/>
                  </w14:solidFill>
                </w14:textFill>
              </w:rPr>
              <w:t>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石山沟村委会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40</w:t>
            </w:r>
            <w:r>
              <w:rPr>
                <w:rFonts w:hint="eastAsia" w:cs="Times New Roman"/>
                <w:color w:val="000000" w:themeColor="text1"/>
                <w:sz w:val="24"/>
                <w:szCs w:val="24"/>
                <w14:textFill>
                  <w14:solidFill>
                    <w14:schemeClr w14:val="tx1"/>
                  </w14:solidFill>
                </w14:textFill>
              </w:rPr>
              <w:t>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贺家井村委会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w:t>
            </w:r>
            <w:r>
              <w:rPr>
                <w:rFonts w:hint="eastAsia" w:cs="Times New Roman"/>
                <w:color w:val="000000" w:themeColor="text1"/>
                <w:sz w:val="24"/>
                <w:szCs w:val="24"/>
                <w14:textFill>
                  <w14:solidFill>
                    <w14:schemeClr w14:val="tx1"/>
                  </w14:solidFill>
                </w14:textFill>
              </w:rPr>
              <w:t>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广胜村委会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6</w:t>
            </w:r>
            <w:r>
              <w:rPr>
                <w:rFonts w:hint="eastAsia" w:cs="Times New Roman"/>
                <w:color w:val="000000" w:themeColor="text1"/>
                <w:sz w:val="24"/>
                <w:szCs w:val="24"/>
                <w14:textFill>
                  <w14:solidFill>
                    <w14:schemeClr w14:val="tx1"/>
                  </w14:solidFill>
                </w14:textFill>
              </w:rPr>
              <w:t>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保石村委会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w:t>
            </w:r>
            <w:r>
              <w:rPr>
                <w:rFonts w:cs="Times New Roman"/>
                <w:color w:val="000000" w:themeColor="text1"/>
                <w:sz w:val="24"/>
                <w:szCs w:val="24"/>
                <w14:textFill>
                  <w14:solidFill>
                    <w14:schemeClr w14:val="tx1"/>
                  </w14:solidFill>
                </w14:textFill>
              </w:rPr>
              <w:t>5</w:t>
            </w:r>
            <w:r>
              <w:rPr>
                <w:rFonts w:hint="eastAsia" w:cs="Times New Roman"/>
                <w:color w:val="000000" w:themeColor="text1"/>
                <w:sz w:val="24"/>
                <w:szCs w:val="24"/>
                <w14:textFill>
                  <w14:solidFill>
                    <w14:schemeClr w14:val="tx1"/>
                  </w14:solidFill>
                </w14:textFill>
              </w:rPr>
              <w:t>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水井村委会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4</w:t>
            </w:r>
            <w:r>
              <w:rPr>
                <w:rFonts w:hint="eastAsia" w:cs="Times New Roman"/>
                <w:color w:val="000000" w:themeColor="text1"/>
                <w:sz w:val="24"/>
                <w:szCs w:val="24"/>
                <w14:textFill>
                  <w14:solidFill>
                    <w14:schemeClr w14:val="tx1"/>
                  </w14:solidFill>
                </w14:textFill>
              </w:rPr>
              <w:t>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惜福村委会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w:t>
            </w:r>
            <w:r>
              <w:rPr>
                <w:rFonts w:hint="eastAsia" w:cs="Times New Roman"/>
                <w:color w:val="000000" w:themeColor="text1"/>
                <w:sz w:val="24"/>
                <w:szCs w:val="24"/>
                <w14:textFill>
                  <w14:solidFill>
                    <w14:schemeClr w14:val="tx1"/>
                  </w14:solidFill>
                </w14:textFill>
              </w:rPr>
              <w:t>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瓦口井村委会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w:t>
            </w:r>
            <w:r>
              <w:rPr>
                <w:rFonts w:cs="Times New Roman"/>
                <w:color w:val="000000" w:themeColor="text1"/>
                <w:sz w:val="24"/>
                <w:szCs w:val="24"/>
                <w14:textFill>
                  <w14:solidFill>
                    <w14:schemeClr w14:val="tx1"/>
                  </w14:solidFill>
                </w14:textFill>
              </w:rPr>
              <w:t>5</w:t>
            </w:r>
            <w:r>
              <w:rPr>
                <w:rFonts w:hint="eastAsia" w:cs="Times New Roman"/>
                <w:color w:val="000000" w:themeColor="text1"/>
                <w:sz w:val="24"/>
                <w:szCs w:val="24"/>
                <w14:textFill>
                  <w14:solidFill>
                    <w14:schemeClr w14:val="tx1"/>
                  </w14:solidFill>
                </w14:textFill>
              </w:rPr>
              <w:t>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石湾村委会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4</w:t>
            </w:r>
            <w:r>
              <w:rPr>
                <w:rFonts w:hint="eastAsia" w:cs="Times New Roman"/>
                <w:color w:val="000000" w:themeColor="text1"/>
                <w:sz w:val="24"/>
                <w:szCs w:val="24"/>
                <w14:textFill>
                  <w14:solidFill>
                    <w14:schemeClr w14:val="tx1"/>
                  </w14:solidFill>
                </w14:textFill>
              </w:rPr>
              <w:t>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玉王村委会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4</w:t>
            </w:r>
            <w:r>
              <w:rPr>
                <w:rFonts w:hint="eastAsia" w:cs="Times New Roman"/>
                <w:color w:val="000000" w:themeColor="text1"/>
                <w:sz w:val="24"/>
                <w:szCs w:val="24"/>
                <w14:textFill>
                  <w14:solidFill>
                    <w14:schemeClr w14:val="tx1"/>
                  </w14:solidFill>
                </w14:textFill>
              </w:rPr>
              <w:t>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普慈镇村委会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w:t>
            </w:r>
            <w:r>
              <w:rPr>
                <w:rFonts w:cs="Times New Roman"/>
                <w:color w:val="000000" w:themeColor="text1"/>
                <w:sz w:val="24"/>
                <w:szCs w:val="24"/>
                <w14:textFill>
                  <w14:solidFill>
                    <w14:schemeClr w14:val="tx1"/>
                  </w14:solidFill>
                </w14:textFill>
              </w:rPr>
              <w:t>5</w:t>
            </w:r>
            <w:r>
              <w:rPr>
                <w:rFonts w:hint="eastAsia" w:cs="Times New Roman"/>
                <w:color w:val="000000" w:themeColor="text1"/>
                <w:sz w:val="24"/>
                <w:szCs w:val="24"/>
                <w14:textFill>
                  <w14:solidFill>
                    <w14:schemeClr w14:val="tx1"/>
                  </w14:solidFill>
                </w14:textFill>
              </w:rPr>
              <w:t>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老屋沟村委会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红星社区居委会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保石镇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檬子垭村村民委员会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600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染房沟村村民委员会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600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峨眉店村村民委员会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1500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转龙桥村村民委员会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400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凤鸣村村村民委员会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千块石村村民委员会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150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崇胜寺村村民委员会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400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玉泉寺村村民委员会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成玉桥村村民委员会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马河嘴村村民委员会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大益湾村村民委员会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龙门村村民委员会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800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富国寺村村民委员会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150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土桥子村村民委员会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五琅坝村村民委员会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150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库楼湾村村民委员会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400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广福村村民委员会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800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回音寺村村民委员会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会元社区居民委员会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400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东平社区居民委员会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400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吉祥社区居民委员会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莲花村村民委员会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会龙桥村村民委员会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花梁湾村村民委员会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上沟村村民委员会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狮陆村村民委员会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洪家岩村村民委员会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400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柏林村村民委员会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400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接绍寺村村民委员会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400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福兴岩村村民委员会</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拦江镇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正兴社区</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中兴场村</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800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堆子山村</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五香庙村</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三圣庙村</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400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安家沟村</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水洞湾村</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水竹林村</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200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响滩子村</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250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4" w:type="pct"/>
            <w:shd w:val="clear" w:color="auto" w:fill="auto"/>
            <w:vAlign w:val="center"/>
          </w:tcPr>
          <w:p>
            <w:pPr>
              <w:pStyle w:val="49"/>
              <w:numPr>
                <w:ilvl w:val="0"/>
                <w:numId w:val="3"/>
              </w:numPr>
              <w:spacing w:line="580" w:lineRule="exact"/>
              <w:ind w:firstLineChars="0"/>
              <w:jc w:val="center"/>
              <w:rPr>
                <w:rFonts w:cs="Times New Roman"/>
                <w:color w:val="000000" w:themeColor="text1"/>
                <w:sz w:val="24"/>
                <w:szCs w:val="24"/>
                <w14:textFill>
                  <w14:solidFill>
                    <w14:schemeClr w14:val="tx1"/>
                  </w14:solidFill>
                </w14:textFill>
              </w:rPr>
            </w:pPr>
          </w:p>
        </w:tc>
        <w:tc>
          <w:tcPr>
            <w:tcW w:w="1217" w:type="pct"/>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高楼房村</w:t>
            </w:r>
          </w:p>
        </w:tc>
        <w:tc>
          <w:tcPr>
            <w:tcW w:w="898"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中兴镇</w:t>
            </w:r>
          </w:p>
        </w:tc>
        <w:tc>
          <w:tcPr>
            <w:tcW w:w="815" w:type="pct"/>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应急避难场所</w:t>
            </w:r>
            <w:r>
              <w:rPr>
                <w:rFonts w:hint="eastAsia" w:cs="Times New Roman"/>
                <w:color w:val="000000" w:themeColor="text1"/>
                <w:sz w:val="24"/>
                <w:szCs w:val="24"/>
                <w14:textFill>
                  <w14:solidFill>
                    <w14:schemeClr w14:val="tx1"/>
                  </w14:solidFill>
                </w14:textFill>
              </w:rPr>
              <w:t>/物资储备库（点）</w:t>
            </w:r>
          </w:p>
        </w:tc>
        <w:tc>
          <w:tcPr>
            <w:tcW w:w="869" w:type="pct"/>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共建</w:t>
            </w:r>
          </w:p>
        </w:tc>
        <w:tc>
          <w:tcPr>
            <w:tcW w:w="620" w:type="pct"/>
            <w:vAlign w:val="center"/>
          </w:tcPr>
          <w:p>
            <w:pPr>
              <w:ind w:firstLine="33" w:firstLineChars="14"/>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150</w:t>
            </w:r>
          </w:p>
        </w:tc>
        <w:tc>
          <w:tcPr>
            <w:tcW w:w="307" w:type="pct"/>
            <w:shd w:val="clear" w:color="auto" w:fill="auto"/>
            <w:vAlign w:val="center"/>
          </w:tcPr>
          <w:p>
            <w:pPr>
              <w:spacing w:before="100" w:beforeAutospacing="1" w:after="100" w:afterAutospacing="1" w:line="300" w:lineRule="exact"/>
              <w:ind w:firstLine="0" w:firstLineChars="0"/>
              <w:jc w:val="center"/>
              <w:rPr>
                <w:rFonts w:cs="Times New Roman"/>
                <w:color w:val="000000" w:themeColor="text1"/>
                <w:sz w:val="24"/>
                <w:szCs w:val="24"/>
                <w14:textFill>
                  <w14:solidFill>
                    <w14:schemeClr w14:val="tx1"/>
                  </w14:solidFill>
                </w14:textFill>
              </w:rPr>
            </w:pPr>
          </w:p>
        </w:tc>
      </w:tr>
    </w:tbl>
    <w:p>
      <w:pPr>
        <w:pStyle w:val="2"/>
        <w:ind w:firstLine="420"/>
      </w:pPr>
    </w:p>
    <w:p>
      <w:pPr>
        <w:pStyle w:val="2"/>
        <w:ind w:firstLine="420"/>
        <w:sectPr>
          <w:pgSz w:w="16838" w:h="11906" w:orient="landscape"/>
          <w:pgMar w:top="1800" w:right="1440" w:bottom="1800" w:left="1440" w:header="851" w:footer="992" w:gutter="0"/>
          <w:cols w:space="425" w:num="1"/>
          <w:docGrid w:type="lines" w:linePitch="435" w:charSpace="0"/>
        </w:sectPr>
      </w:pPr>
    </w:p>
    <w:p>
      <w:pPr>
        <w:spacing w:line="240" w:lineRule="auto"/>
        <w:ind w:firstLine="0" w:firstLineChars="0"/>
        <w:jc w:val="center"/>
        <w:outlineLvl w:val="0"/>
        <w:rPr>
          <w:rFonts w:cs="Times New Roman"/>
        </w:rPr>
      </w:pPr>
      <w:r>
        <w:rPr>
          <w:rFonts w:eastAsia="黑体" w:cs="Times New Roman"/>
          <w:color w:val="000000" w:themeColor="text1"/>
          <w:szCs w:val="32"/>
          <w14:textFill>
            <w14:solidFill>
              <w14:schemeClr w14:val="tx1"/>
            </w14:solidFill>
          </w14:textFill>
        </w:rPr>
        <w:t>表6  重点工程项目统计表</w:t>
      </w:r>
    </w:p>
    <w:bookmarkEnd w:id="77"/>
    <w:bookmarkEnd w:id="78"/>
    <w:tbl>
      <w:tblPr>
        <w:tblStyle w:val="23"/>
        <w:tblpPr w:leftFromText="180" w:rightFromText="180" w:vertAnchor="text" w:horzAnchor="page" w:tblpXSpec="center" w:tblpY="535"/>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386"/>
        <w:gridCol w:w="1386"/>
        <w:gridCol w:w="5142"/>
        <w:gridCol w:w="1236"/>
        <w:gridCol w:w="963"/>
        <w:gridCol w:w="770"/>
        <w:gridCol w:w="808"/>
        <w:gridCol w:w="779"/>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281" w:type="pct"/>
            <w:vAlign w:val="center"/>
          </w:tcPr>
          <w:p>
            <w:pPr>
              <w:spacing w:line="240" w:lineRule="auto"/>
              <w:ind w:firstLine="0" w:firstLineChars="0"/>
              <w:jc w:val="center"/>
              <w:rPr>
                <w:rFonts w:cs="Times New Roman"/>
                <w:b/>
                <w:bCs/>
                <w:sz w:val="21"/>
                <w:szCs w:val="21"/>
              </w:rPr>
            </w:pPr>
            <w:r>
              <w:rPr>
                <w:rFonts w:cs="Times New Roman"/>
                <w:b/>
                <w:bCs/>
                <w:sz w:val="21"/>
                <w:szCs w:val="21"/>
              </w:rPr>
              <w:t>序号</w:t>
            </w:r>
          </w:p>
        </w:tc>
        <w:tc>
          <w:tcPr>
            <w:tcW w:w="489" w:type="pct"/>
            <w:vAlign w:val="center"/>
          </w:tcPr>
          <w:p>
            <w:pPr>
              <w:spacing w:line="240" w:lineRule="auto"/>
              <w:ind w:firstLine="0" w:firstLineChars="0"/>
              <w:jc w:val="center"/>
              <w:rPr>
                <w:rFonts w:cs="Times New Roman"/>
                <w:b/>
                <w:bCs/>
                <w:sz w:val="21"/>
                <w:szCs w:val="21"/>
              </w:rPr>
            </w:pPr>
            <w:r>
              <w:rPr>
                <w:rFonts w:cs="Times New Roman"/>
                <w:b/>
                <w:bCs/>
                <w:sz w:val="21"/>
                <w:szCs w:val="21"/>
              </w:rPr>
              <w:t>项目大类</w:t>
            </w:r>
          </w:p>
        </w:tc>
        <w:tc>
          <w:tcPr>
            <w:tcW w:w="489" w:type="pct"/>
            <w:vAlign w:val="center"/>
          </w:tcPr>
          <w:p>
            <w:pPr>
              <w:spacing w:line="240" w:lineRule="auto"/>
              <w:ind w:firstLine="0" w:firstLineChars="0"/>
              <w:jc w:val="center"/>
              <w:rPr>
                <w:rFonts w:cs="Times New Roman"/>
                <w:b/>
                <w:bCs/>
                <w:sz w:val="21"/>
                <w:szCs w:val="21"/>
              </w:rPr>
            </w:pPr>
            <w:r>
              <w:rPr>
                <w:rFonts w:cs="Times New Roman"/>
                <w:b/>
                <w:bCs/>
                <w:sz w:val="21"/>
                <w:szCs w:val="21"/>
              </w:rPr>
              <w:t>项目小类</w:t>
            </w:r>
          </w:p>
        </w:tc>
        <w:tc>
          <w:tcPr>
            <w:tcW w:w="1815" w:type="pct"/>
            <w:vAlign w:val="center"/>
          </w:tcPr>
          <w:p>
            <w:pPr>
              <w:spacing w:line="240" w:lineRule="auto"/>
              <w:ind w:firstLine="0" w:firstLineChars="0"/>
              <w:jc w:val="center"/>
              <w:rPr>
                <w:rFonts w:cs="Times New Roman"/>
                <w:b/>
                <w:bCs/>
                <w:sz w:val="21"/>
                <w:szCs w:val="21"/>
              </w:rPr>
            </w:pPr>
            <w:r>
              <w:rPr>
                <w:rFonts w:cs="Times New Roman"/>
                <w:b/>
                <w:bCs/>
                <w:sz w:val="21"/>
                <w:szCs w:val="21"/>
              </w:rPr>
              <w:t>建设内容</w:t>
            </w:r>
          </w:p>
        </w:tc>
        <w:tc>
          <w:tcPr>
            <w:tcW w:w="436" w:type="pct"/>
            <w:vAlign w:val="center"/>
          </w:tcPr>
          <w:p>
            <w:pPr>
              <w:spacing w:line="240" w:lineRule="auto"/>
              <w:ind w:firstLine="0" w:firstLineChars="0"/>
              <w:jc w:val="center"/>
              <w:rPr>
                <w:rFonts w:cs="Times New Roman"/>
                <w:b/>
                <w:bCs/>
                <w:sz w:val="21"/>
                <w:szCs w:val="21"/>
              </w:rPr>
            </w:pPr>
            <w:r>
              <w:rPr>
                <w:rFonts w:cs="Times New Roman"/>
                <w:b/>
                <w:bCs/>
                <w:sz w:val="21"/>
                <w:szCs w:val="21"/>
              </w:rPr>
              <w:t>建设地点</w:t>
            </w:r>
          </w:p>
        </w:tc>
        <w:tc>
          <w:tcPr>
            <w:tcW w:w="340" w:type="pct"/>
            <w:vAlign w:val="center"/>
          </w:tcPr>
          <w:p>
            <w:pPr>
              <w:spacing w:line="240" w:lineRule="auto"/>
              <w:ind w:firstLine="0" w:firstLineChars="0"/>
              <w:jc w:val="center"/>
              <w:rPr>
                <w:rFonts w:cs="Times New Roman"/>
                <w:b/>
                <w:bCs/>
                <w:sz w:val="21"/>
                <w:szCs w:val="21"/>
              </w:rPr>
            </w:pPr>
            <w:r>
              <w:rPr>
                <w:rFonts w:cs="Times New Roman"/>
                <w:b/>
                <w:bCs/>
                <w:sz w:val="21"/>
                <w:szCs w:val="21"/>
              </w:rPr>
              <w:t>用地量（m</w:t>
            </w:r>
            <w:r>
              <w:rPr>
                <w:rFonts w:cs="Times New Roman"/>
                <w:b/>
                <w:bCs/>
                <w:sz w:val="21"/>
                <w:szCs w:val="21"/>
                <w:vertAlign w:val="superscript"/>
              </w:rPr>
              <w:t>2</w:t>
            </w:r>
            <w:r>
              <w:rPr>
                <w:rFonts w:cs="Times New Roman"/>
                <w:b/>
                <w:bCs/>
                <w:sz w:val="21"/>
                <w:szCs w:val="21"/>
              </w:rPr>
              <w:t>）</w:t>
            </w:r>
          </w:p>
        </w:tc>
        <w:tc>
          <w:tcPr>
            <w:tcW w:w="272" w:type="pct"/>
            <w:vAlign w:val="center"/>
          </w:tcPr>
          <w:p>
            <w:pPr>
              <w:spacing w:line="240" w:lineRule="auto"/>
              <w:ind w:firstLine="0" w:firstLineChars="0"/>
              <w:jc w:val="center"/>
              <w:rPr>
                <w:rFonts w:cs="Times New Roman"/>
                <w:b/>
                <w:bCs/>
                <w:sz w:val="21"/>
                <w:szCs w:val="21"/>
              </w:rPr>
            </w:pPr>
            <w:r>
              <w:rPr>
                <w:rFonts w:cs="Times New Roman"/>
                <w:b/>
                <w:bCs/>
                <w:sz w:val="21"/>
                <w:szCs w:val="21"/>
              </w:rPr>
              <w:t>用地性质</w:t>
            </w:r>
          </w:p>
        </w:tc>
        <w:tc>
          <w:tcPr>
            <w:tcW w:w="285" w:type="pct"/>
            <w:vAlign w:val="center"/>
          </w:tcPr>
          <w:p>
            <w:pPr>
              <w:spacing w:line="240" w:lineRule="auto"/>
              <w:ind w:firstLine="0" w:firstLineChars="0"/>
              <w:jc w:val="center"/>
              <w:rPr>
                <w:rFonts w:cs="Times New Roman"/>
                <w:b/>
                <w:bCs/>
                <w:sz w:val="21"/>
                <w:szCs w:val="21"/>
              </w:rPr>
            </w:pPr>
            <w:r>
              <w:rPr>
                <w:rFonts w:cs="Times New Roman"/>
                <w:b/>
                <w:bCs/>
                <w:sz w:val="21"/>
                <w:szCs w:val="21"/>
              </w:rPr>
              <w:t>建设期限</w:t>
            </w:r>
          </w:p>
        </w:tc>
        <w:tc>
          <w:tcPr>
            <w:tcW w:w="275" w:type="pct"/>
            <w:vAlign w:val="center"/>
          </w:tcPr>
          <w:p>
            <w:pPr>
              <w:spacing w:line="240" w:lineRule="auto"/>
              <w:ind w:firstLine="0" w:firstLineChars="0"/>
              <w:jc w:val="center"/>
              <w:rPr>
                <w:rFonts w:cs="Times New Roman"/>
                <w:b/>
                <w:bCs/>
                <w:sz w:val="21"/>
                <w:szCs w:val="21"/>
              </w:rPr>
            </w:pPr>
            <w:r>
              <w:rPr>
                <w:rFonts w:cs="Times New Roman"/>
                <w:b/>
                <w:bCs/>
                <w:sz w:val="21"/>
                <w:szCs w:val="21"/>
              </w:rPr>
              <w:t>牵头单位</w:t>
            </w:r>
          </w:p>
        </w:tc>
        <w:tc>
          <w:tcPr>
            <w:tcW w:w="317" w:type="pct"/>
            <w:vAlign w:val="center"/>
          </w:tcPr>
          <w:p>
            <w:pPr>
              <w:spacing w:line="240" w:lineRule="auto"/>
              <w:ind w:firstLine="0" w:firstLineChars="0"/>
              <w:jc w:val="center"/>
              <w:rPr>
                <w:rFonts w:cs="Times New Roman"/>
                <w:b/>
                <w:bCs/>
                <w:sz w:val="21"/>
                <w:szCs w:val="21"/>
              </w:rPr>
            </w:pPr>
            <w:r>
              <w:rPr>
                <w:rFonts w:cs="Times New Roman"/>
                <w:b/>
                <w:bCs/>
                <w:sz w:val="21"/>
                <w:szCs w:val="21"/>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1</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应急管理人员能力提升项目</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加强各镇应急管理人员、安全监管人员、各镇综合应急救援队伍、村（社区）应急救援分队、村（社区）网格员、灾害信息员等人员的综合能力，每年聘请专业人员培训不少于2次。</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拦江镇、保石镇、中兴镇、白马镇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区应急管理局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hint="eastAsia" w:cs="Times New Roman"/>
                <w:sz w:val="21"/>
                <w:szCs w:val="21"/>
              </w:rPr>
              <w:t>2</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安全生产风险防控重点工程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安全执法监察监管能力提升工程</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各镇配备安全生产监管执法人员，配齐安全监察监测专用车辆、个体防护装备、专用移动执法装备等。</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拦江镇、保石镇、中兴镇、白马镇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区应急管理局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3</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安全生产风险防控重点工程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安全生产基础能力提升工程</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建设集智慧安防、智慧消防、安全隐患分布电子地图等为一体的安全监管平台，实现片区内安全信息化监管；在生产企业关键岗位、高危作业、特种作业等各环节建设在线视频监控及智能报警装置。</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拦江镇、保石镇、中兴镇、白马镇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区应急管理局</w:t>
            </w:r>
          </w:p>
        </w:tc>
        <w:tc>
          <w:tcPr>
            <w:tcW w:w="317" w:type="pct"/>
            <w:vAlign w:val="center"/>
          </w:tcPr>
          <w:p>
            <w:pPr>
              <w:spacing w:line="240" w:lineRule="auto"/>
              <w:ind w:firstLine="0" w:firstLineChars="0"/>
              <w:jc w:val="center"/>
              <w:rPr>
                <w:rFonts w:cs="Times New Roman"/>
                <w:sz w:val="21"/>
                <w:szCs w:val="21"/>
              </w:rPr>
            </w:pPr>
            <w:r>
              <w:rPr>
                <w:rFonts w:hint="eastAsia" w:cs="Times New Roman"/>
                <w:sz w:val="21"/>
                <w:szCs w:val="21"/>
              </w:rPr>
              <w:t>5</w:t>
            </w:r>
            <w:r>
              <w:rPr>
                <w:rFonts w:cs="Times New Roman"/>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4</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安全生产风险防控重点工程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重点行业领域安全监管服务</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通过政府购买专业技术服务，聘请行业领域专家辅助进行工贸、燃气、建筑施工、道路交通、消防等重点行业领域安全监管和隐患排查等工作。</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拦江镇、保石镇、中兴镇、白马镇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区应急管理局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5</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应急救援队伍建设</w:t>
            </w:r>
          </w:p>
        </w:tc>
        <w:tc>
          <w:tcPr>
            <w:tcW w:w="1815" w:type="pct"/>
            <w:vAlign w:val="center"/>
          </w:tcPr>
          <w:p>
            <w:pPr>
              <w:spacing w:line="240" w:lineRule="auto"/>
              <w:ind w:firstLine="0" w:firstLineChars="0"/>
              <w:jc w:val="left"/>
              <w:rPr>
                <w:rFonts w:cs="Times New Roman"/>
                <w:sz w:val="21"/>
                <w:szCs w:val="21"/>
              </w:rPr>
            </w:pPr>
            <w:r>
              <w:rPr>
                <w:rFonts w:hint="eastAsia" w:cs="Times New Roman"/>
                <w:sz w:val="21"/>
                <w:szCs w:val="21"/>
              </w:rPr>
              <w:t>加强专业人才引进和培训以及设备建设，推进应急队伍按预案联合演练；在拦江镇、白马镇强化建设专职消防队2支；在保石镇、中兴镇建设义务消防队2支；加强消防宣教队伍建设，消防队伍按需配置专兼职人员。</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拦江镇、保石镇、中兴镇、白马镇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hint="eastAsia" w:cs="Times New Roman"/>
                <w:sz w:val="21"/>
                <w:szCs w:val="21"/>
              </w:rPr>
              <w:t>区应急管理局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6</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消防站建设</w:t>
            </w:r>
          </w:p>
        </w:tc>
        <w:tc>
          <w:tcPr>
            <w:tcW w:w="1815" w:type="pct"/>
            <w:vAlign w:val="center"/>
          </w:tcPr>
          <w:p>
            <w:pPr>
              <w:spacing w:line="240" w:lineRule="auto"/>
              <w:ind w:firstLine="0" w:firstLineChars="0"/>
              <w:jc w:val="left"/>
              <w:rPr>
                <w:rFonts w:cs="Times New Roman"/>
                <w:sz w:val="21"/>
                <w:szCs w:val="21"/>
              </w:rPr>
            </w:pPr>
            <w:r>
              <w:rPr>
                <w:rFonts w:hint="eastAsia" w:cs="Times New Roman"/>
                <w:sz w:val="21"/>
                <w:szCs w:val="21"/>
              </w:rPr>
              <w:t>优化防灾设施配置，构建安全、及时的防灾预警体系，提升城乡韧性。规划建设2处专职消防站，分别位于拦江镇、白马镇，依托专职消防站，组建应急救援队伍作为基层应急抢险救援主要常备力量，切实承担起各类灾害事故初期应对处置、防灾宣传、安全巡查等工作。规划2处乡镇小型消防站，分别位于保石镇、中兴镇，解决基层应急管理“空心化”、保障弱、能力低等问题。按社区、村落设置微型消防站，片区内各村、社区建成微型消防站，配备相应的现代化通讯设施、消防器材。</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拦江镇、保石镇、中兴镇、白马镇、各镇村（社区）</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2035年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区消防救援大队</w:t>
            </w:r>
          </w:p>
        </w:tc>
        <w:tc>
          <w:tcPr>
            <w:tcW w:w="317"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7</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应急物资储备</w:t>
            </w:r>
            <w:r>
              <w:rPr>
                <w:rFonts w:hint="eastAsia" w:cs="Times New Roman"/>
                <w:sz w:val="21"/>
                <w:szCs w:val="21"/>
              </w:rPr>
              <w:t>库（点）</w:t>
            </w:r>
            <w:r>
              <w:rPr>
                <w:rFonts w:cs="Times New Roman"/>
                <w:sz w:val="21"/>
                <w:szCs w:val="21"/>
              </w:rPr>
              <w:t>升级改造</w:t>
            </w:r>
          </w:p>
        </w:tc>
        <w:tc>
          <w:tcPr>
            <w:tcW w:w="1815" w:type="pct"/>
            <w:vAlign w:val="center"/>
          </w:tcPr>
          <w:p>
            <w:pPr>
              <w:spacing w:line="240" w:lineRule="auto"/>
              <w:ind w:firstLine="0" w:firstLineChars="0"/>
              <w:jc w:val="left"/>
              <w:rPr>
                <w:rFonts w:cs="Times New Roman"/>
                <w:sz w:val="21"/>
                <w:szCs w:val="21"/>
              </w:rPr>
            </w:pPr>
            <w:r>
              <w:rPr>
                <w:rFonts w:hint="eastAsia" w:cs="Times New Roman"/>
                <w:sz w:val="21"/>
                <w:szCs w:val="21"/>
              </w:rPr>
              <w:t>各镇、各村（居）委会在现有基础上，升级改造应急物资储备库（点）</w:t>
            </w:r>
            <w:r>
              <w:rPr>
                <w:rFonts w:cs="Times New Roman"/>
                <w:sz w:val="21"/>
                <w:szCs w:val="21"/>
              </w:rPr>
              <w:t>112</w:t>
            </w:r>
            <w:r>
              <w:rPr>
                <w:rFonts w:hint="eastAsia" w:cs="Times New Roman"/>
                <w:sz w:val="21"/>
                <w:szCs w:val="21"/>
              </w:rPr>
              <w:t>处，重点建设视频监控、专用货架、防潮、防虫、防火等设施，不新增用地。</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拦江镇、保石镇、中兴镇、白马镇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3200</w:t>
            </w:r>
          </w:p>
        </w:tc>
        <w:tc>
          <w:tcPr>
            <w:tcW w:w="272" w:type="pct"/>
            <w:vAlign w:val="center"/>
          </w:tcPr>
          <w:p>
            <w:pPr>
              <w:spacing w:line="240" w:lineRule="auto"/>
              <w:ind w:firstLine="0" w:firstLineChars="0"/>
              <w:jc w:val="center"/>
              <w:rPr>
                <w:rFonts w:cs="Times New Roman"/>
                <w:sz w:val="21"/>
                <w:szCs w:val="21"/>
              </w:rPr>
            </w:pPr>
            <w:r>
              <w:rPr>
                <w:rFonts w:hint="eastAsia" w:cs="Times New Roman"/>
                <w:sz w:val="21"/>
                <w:szCs w:val="21"/>
              </w:rPr>
              <w:t>升级改造</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8</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应急避难场所建设</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优化完善现有避难场所建设，依托学校、公园、敬老院、政府驻地和村委会等改造共建5</w:t>
            </w:r>
            <w:r>
              <w:rPr>
                <w:rFonts w:cs="Times New Roman"/>
                <w:sz w:val="21"/>
                <w:szCs w:val="21"/>
              </w:rPr>
              <w:t>3</w:t>
            </w:r>
            <w:r>
              <w:rPr>
                <w:rFonts w:hint="eastAsia" w:cs="Times New Roman"/>
                <w:sz w:val="21"/>
                <w:szCs w:val="21"/>
              </w:rPr>
              <w:t>个应急避难场所，通过改造、改建公共建筑等方式持续构建和城镇相协调、室内和室外相结合的镇村两级应急避难体系，不新增用地。</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拦江镇、保石镇、中兴镇、白马镇</w:t>
            </w:r>
          </w:p>
        </w:tc>
        <w:tc>
          <w:tcPr>
            <w:tcW w:w="340"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23730</w:t>
            </w:r>
          </w:p>
        </w:tc>
        <w:tc>
          <w:tcPr>
            <w:tcW w:w="272" w:type="pct"/>
            <w:vAlign w:val="center"/>
          </w:tcPr>
          <w:p>
            <w:pPr>
              <w:spacing w:line="240" w:lineRule="auto"/>
              <w:ind w:firstLine="0" w:firstLineChars="0"/>
              <w:jc w:val="center"/>
              <w:rPr>
                <w:rFonts w:cs="Times New Roman"/>
                <w:sz w:val="21"/>
                <w:szCs w:val="21"/>
              </w:rPr>
            </w:pPr>
            <w:r>
              <w:rPr>
                <w:rFonts w:hint="eastAsia" w:cs="Times New Roman"/>
                <w:sz w:val="21"/>
                <w:szCs w:val="21"/>
              </w:rPr>
              <w:t>升级改造</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2035年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9</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应急装备</w:t>
            </w:r>
            <w:r>
              <w:rPr>
                <w:rFonts w:hint="eastAsia" w:cs="Times New Roman"/>
                <w:sz w:val="21"/>
                <w:szCs w:val="21"/>
              </w:rPr>
              <w:t>提升工程</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为各镇配备侦测无人机、后勤保障车等，新增对讲机及水下声呐、成像仪等水下搜救设备，同时做好人员安全操作培训及驻训训练。</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拦江镇、保石镇、中兴镇、白马镇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281"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0</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应急预案编制与修订</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以“科学化、实用化、效能化”为目标，结合各镇特点，加强企事业单位应急预案建设，完善村级应急处置方案，推进应急预案进社区、进乡村、进企业、进学校以及重点行业，梯次推进预案编修工作。</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拦江镇、保石镇、中兴镇、白马镇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11</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应急培训及演练</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各镇按照应急预案要求开展洪涝灾害、地质灾害、森林防灭火等演练，各村（社）按照处置方案的要求开展现场处置演练，各学校开展地震灾害、火灾等演练每学期不少于1次。</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拦江镇、保石镇、中兴镇、白马镇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12</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信息化建设重点工程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应急指挥中心建设</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依托个各镇政府现有信息化基础设施，升级改造建设应急指挥分中心</w:t>
            </w:r>
            <w:r>
              <w:rPr>
                <w:rFonts w:cs="Times New Roman"/>
                <w:sz w:val="21"/>
                <w:szCs w:val="21"/>
              </w:rPr>
              <w:t>4</w:t>
            </w:r>
            <w:r>
              <w:rPr>
                <w:rFonts w:hint="eastAsia" w:cs="Times New Roman"/>
                <w:sz w:val="21"/>
                <w:szCs w:val="21"/>
              </w:rPr>
              <w:t>处。整合各镇数据监管、查询；风险监测、上报以及第一现场应急处突等工作需求，建设智慧乡镇终端，并接入片区智慧平台，提供移动端日常工作信息查询需要以及紧急事件上报和应急视频会商功能。</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拦江镇、保石镇、中兴镇、白马镇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800</w:t>
            </w:r>
          </w:p>
        </w:tc>
        <w:tc>
          <w:tcPr>
            <w:tcW w:w="272" w:type="pct"/>
            <w:vAlign w:val="center"/>
          </w:tcPr>
          <w:p>
            <w:pPr>
              <w:spacing w:line="240" w:lineRule="auto"/>
              <w:ind w:firstLine="0" w:firstLineChars="0"/>
              <w:jc w:val="center"/>
              <w:rPr>
                <w:rFonts w:cs="Times New Roman"/>
                <w:sz w:val="21"/>
                <w:szCs w:val="21"/>
              </w:rPr>
            </w:pPr>
            <w:r>
              <w:rPr>
                <w:rFonts w:hint="eastAsia" w:cs="Times New Roman"/>
                <w:sz w:val="21"/>
                <w:szCs w:val="21"/>
              </w:rPr>
              <w:t>升级改造</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281"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3</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信息化建设重点工程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应急广播提升改造工程</w:t>
            </w:r>
          </w:p>
        </w:tc>
        <w:tc>
          <w:tcPr>
            <w:tcW w:w="1815" w:type="pct"/>
            <w:vAlign w:val="center"/>
          </w:tcPr>
          <w:p>
            <w:pPr>
              <w:spacing w:line="240" w:lineRule="auto"/>
              <w:ind w:firstLine="0" w:firstLineChars="0"/>
              <w:rPr>
                <w:rFonts w:cs="Times New Roman"/>
                <w:sz w:val="21"/>
                <w:szCs w:val="21"/>
              </w:rPr>
            </w:pPr>
            <w:r>
              <w:rPr>
                <w:rFonts w:cs="Times New Roman"/>
                <w:sz w:val="21"/>
                <w:szCs w:val="21"/>
              </w:rPr>
              <w:t>升级、改造各镇现有广播系统，提高应急广播覆盖率，实现片区村（社区）人口覆盖率超90%，提升灾害预警信息传播、防灾减灾宣传。</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拦江镇、保石镇、中兴镇、白马镇</w:t>
            </w:r>
            <w:r>
              <w:rPr>
                <w:rFonts w:cs="Times New Roman"/>
                <w:sz w:val="21"/>
                <w:szCs w:val="21"/>
              </w:rPr>
              <w:t>及各村（社区）</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2035年</w:t>
            </w:r>
          </w:p>
        </w:tc>
        <w:tc>
          <w:tcPr>
            <w:tcW w:w="275" w:type="pct"/>
            <w:vAlign w:val="center"/>
          </w:tcPr>
          <w:p>
            <w:pPr>
              <w:spacing w:line="240" w:lineRule="auto"/>
              <w:ind w:firstLine="0" w:firstLineChars="0"/>
              <w:jc w:val="center"/>
              <w:rPr>
                <w:rFonts w:cs="Times New Roman"/>
                <w:sz w:val="21"/>
                <w:szCs w:val="21"/>
              </w:rPr>
            </w:pPr>
            <w:r>
              <w:rPr>
                <w:rFonts w:hint="eastAsia" w:cs="Times New Roman"/>
                <w:sz w:val="21"/>
                <w:szCs w:val="21"/>
              </w:rPr>
              <w:t>区文广旅游局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4</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应急管理共建共治共享格局</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综合减灾示范社区建设</w:t>
            </w:r>
          </w:p>
        </w:tc>
        <w:tc>
          <w:tcPr>
            <w:tcW w:w="1815" w:type="pct"/>
            <w:vAlign w:val="center"/>
          </w:tcPr>
          <w:p>
            <w:pPr>
              <w:spacing w:line="240" w:lineRule="auto"/>
              <w:ind w:firstLine="0" w:firstLineChars="0"/>
              <w:jc w:val="left"/>
              <w:rPr>
                <w:rFonts w:cs="Times New Roman"/>
                <w:sz w:val="21"/>
                <w:szCs w:val="21"/>
              </w:rPr>
            </w:pPr>
            <w:r>
              <w:rPr>
                <w:rFonts w:hint="eastAsia" w:cs="Times New Roman"/>
                <w:sz w:val="21"/>
                <w:szCs w:val="21"/>
              </w:rPr>
              <w:t>推进片区开展综合减灾示范村（社区）、安全生产示范村（社区）、安全文化示范单位建设，切实提升公众防灾减灾能力和水平，提高基层关键基础设施和重点场所的安全韧性。其中：争创国家级综合减灾示范村（社区）</w:t>
            </w:r>
            <w:r>
              <w:rPr>
                <w:rFonts w:cs="Times New Roman"/>
                <w:sz w:val="21"/>
                <w:szCs w:val="21"/>
              </w:rPr>
              <w:t>2</w:t>
            </w:r>
            <w:r>
              <w:rPr>
                <w:rFonts w:hint="eastAsia" w:cs="Times New Roman"/>
                <w:sz w:val="21"/>
                <w:szCs w:val="21"/>
              </w:rPr>
              <w:t>个，省级综合减灾示范村（社区）</w:t>
            </w:r>
            <w:r>
              <w:rPr>
                <w:rFonts w:cs="Times New Roman"/>
                <w:sz w:val="21"/>
                <w:szCs w:val="21"/>
              </w:rPr>
              <w:t>4</w:t>
            </w:r>
            <w:r>
              <w:rPr>
                <w:rFonts w:hint="eastAsia" w:cs="Times New Roman"/>
                <w:sz w:val="21"/>
                <w:szCs w:val="21"/>
              </w:rPr>
              <w:t>个，省级安全村（社区）</w:t>
            </w:r>
            <w:r>
              <w:rPr>
                <w:rFonts w:cs="Times New Roman"/>
                <w:sz w:val="21"/>
                <w:szCs w:val="21"/>
              </w:rPr>
              <w:t>2</w:t>
            </w:r>
            <w:r>
              <w:rPr>
                <w:rFonts w:hint="eastAsia" w:cs="Times New Roman"/>
                <w:sz w:val="21"/>
                <w:szCs w:val="21"/>
              </w:rPr>
              <w:t>个。</w:t>
            </w:r>
          </w:p>
        </w:tc>
        <w:tc>
          <w:tcPr>
            <w:tcW w:w="436" w:type="pct"/>
            <w:vAlign w:val="center"/>
          </w:tcPr>
          <w:p>
            <w:pPr>
              <w:spacing w:line="240" w:lineRule="auto"/>
              <w:ind w:firstLine="0" w:firstLineChars="0"/>
              <w:jc w:val="center"/>
              <w:rPr>
                <w:rFonts w:cs="Times New Roman"/>
                <w:sz w:val="21"/>
                <w:szCs w:val="21"/>
              </w:rPr>
            </w:pPr>
            <w:r>
              <w:rPr>
                <w:rFonts w:cs="Times New Roman"/>
                <w:sz w:val="21"/>
                <w:szCs w:val="21"/>
              </w:rPr>
              <w:t>片区各村（社区）</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w:t>
            </w:r>
            <w:r>
              <w:rPr>
                <w:rFonts w:hint="eastAsia" w:cs="Times New Roman"/>
                <w:sz w:val="21"/>
                <w:szCs w:val="21"/>
              </w:rPr>
              <w:t>管理</w:t>
            </w:r>
            <w:r>
              <w:rPr>
                <w:rFonts w:cs="Times New Roman"/>
                <w:sz w:val="21"/>
                <w:szCs w:val="21"/>
              </w:rPr>
              <w:t>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5</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应急管理共建共治共享格局</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应急宣教阵地建设</w:t>
            </w:r>
          </w:p>
        </w:tc>
        <w:tc>
          <w:tcPr>
            <w:tcW w:w="1815" w:type="pct"/>
            <w:vAlign w:val="center"/>
          </w:tcPr>
          <w:p>
            <w:pPr>
              <w:spacing w:line="240" w:lineRule="auto"/>
              <w:ind w:firstLine="0" w:firstLineChars="0"/>
              <w:jc w:val="left"/>
              <w:rPr>
                <w:rFonts w:cs="Times New Roman"/>
                <w:sz w:val="21"/>
                <w:szCs w:val="21"/>
              </w:rPr>
            </w:pPr>
            <w:r>
              <w:rPr>
                <w:rFonts w:hint="eastAsia" w:cs="Times New Roman"/>
                <w:sz w:val="21"/>
                <w:szCs w:val="21"/>
              </w:rPr>
              <w:t>在村（居）委会聚居点、文化广场、学校、医院等设置应急知识科普专栏，增加应急知识科普书籍、应急管理时事资讯等文化内容。</w:t>
            </w:r>
            <w:r>
              <w:rPr>
                <w:rFonts w:cs="Times New Roman"/>
                <w:sz w:val="21"/>
                <w:szCs w:val="21"/>
              </w:rPr>
              <w:t>持续推进安全生产“五进”活动，于片区内各村（社区）的党员活动中心设置村级宣教场所，开展宣传培训；学校开展应急宣教进课堂活动，培训儿童和青少年。</w:t>
            </w:r>
          </w:p>
        </w:tc>
        <w:tc>
          <w:tcPr>
            <w:tcW w:w="436" w:type="pct"/>
            <w:vAlign w:val="center"/>
          </w:tcPr>
          <w:p>
            <w:pPr>
              <w:spacing w:line="240" w:lineRule="auto"/>
              <w:ind w:firstLine="0" w:firstLineChars="0"/>
              <w:jc w:val="center"/>
              <w:rPr>
                <w:rFonts w:cs="Times New Roman"/>
                <w:sz w:val="21"/>
                <w:szCs w:val="21"/>
              </w:rPr>
            </w:pPr>
            <w:r>
              <w:rPr>
                <w:rFonts w:cs="Times New Roman"/>
                <w:sz w:val="21"/>
                <w:szCs w:val="21"/>
              </w:rPr>
              <w:t>片区各镇及各村（社区）</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2035年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w:t>
            </w:r>
            <w:r>
              <w:rPr>
                <w:rFonts w:hint="eastAsia" w:cs="Times New Roman"/>
                <w:sz w:val="21"/>
                <w:szCs w:val="21"/>
              </w:rPr>
              <w:t>管理</w:t>
            </w:r>
            <w:r>
              <w:rPr>
                <w:rFonts w:cs="Times New Roman"/>
                <w:sz w:val="21"/>
                <w:szCs w:val="21"/>
              </w:rPr>
              <w:t>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281"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6</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应急管理共建共治共享格局</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防灾减灾科普示范学校建设</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开展防震减灾科普示范学校建设工作，积极开展防震减灾科普宣传工作。各级各类学校主动、慎重、科学、有效地开展防震减灾科普宣传教育活动，全面提升师生防震减灾意识和防震避震能力，进而在全社会营造防震减灾良好宣传氛围，带动民众提升防震意识。</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片区各学校</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2035年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w:t>
            </w:r>
            <w:r>
              <w:rPr>
                <w:rFonts w:hint="eastAsia" w:cs="Times New Roman"/>
                <w:sz w:val="21"/>
                <w:szCs w:val="21"/>
              </w:rPr>
              <w:t>管理</w:t>
            </w:r>
            <w:r>
              <w:rPr>
                <w:rFonts w:cs="Times New Roman"/>
                <w:sz w:val="21"/>
                <w:szCs w:val="21"/>
              </w:rPr>
              <w:t>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100</w:t>
            </w:r>
          </w:p>
        </w:tc>
      </w:tr>
    </w:tbl>
    <w:p>
      <w:pPr>
        <w:pStyle w:val="10"/>
        <w:rPr>
          <w:color w:val="FF0000"/>
        </w:rPr>
        <w:sectPr>
          <w:pgSz w:w="16838" w:h="11906" w:orient="landscape"/>
          <w:pgMar w:top="1800" w:right="1440" w:bottom="1800" w:left="1440" w:header="851" w:footer="992" w:gutter="0"/>
          <w:cols w:space="425" w:num="1"/>
          <w:docGrid w:type="lines" w:linePitch="435" w:charSpace="0"/>
        </w:sectPr>
      </w:pPr>
    </w:p>
    <w:p>
      <w:pPr>
        <w:spacing w:line="600" w:lineRule="exact"/>
        <w:ind w:firstLine="0" w:firstLineChars="0"/>
        <w:jc w:val="left"/>
        <w:outlineLvl w:val="0"/>
        <w:rPr>
          <w:rFonts w:eastAsia="黑体" w:cs="Times New Roman"/>
          <w:szCs w:val="32"/>
        </w:rPr>
      </w:pPr>
      <w:bookmarkStart w:id="79" w:name="_Toc29985"/>
      <w:r>
        <w:rPr>
          <w:rFonts w:eastAsia="黑体" w:cs="Times New Roman"/>
          <w:szCs w:val="32"/>
        </w:rPr>
        <w:t>附图</w:t>
      </w:r>
      <w:bookmarkEnd w:id="79"/>
    </w:p>
    <w:p>
      <w:pPr>
        <w:pStyle w:val="16"/>
        <w:tabs>
          <w:tab w:val="right" w:leader="dot" w:pos="8306"/>
        </w:tabs>
        <w:ind w:firstLine="640" w:firstLineChars="200"/>
        <w:rPr>
          <w:rFonts w:eastAsia="仿宋" w:cs="Times New Roman"/>
          <w:color w:val="000000" w:themeColor="text1"/>
          <w:szCs w:val="32"/>
          <w14:textFill>
            <w14:solidFill>
              <w14:schemeClr w14:val="tx1"/>
            </w14:solidFill>
          </w14:textFill>
        </w:rPr>
      </w:pPr>
      <w:r>
        <w:fldChar w:fldCharType="begin"/>
      </w:r>
      <w:r>
        <w:instrText xml:space="preserve"> HYPERLINK \l "_Toc19569" </w:instrText>
      </w:r>
      <w:r>
        <w:fldChar w:fldCharType="separate"/>
      </w:r>
      <w:r>
        <w:rPr>
          <w:rFonts w:eastAsia="仿宋" w:cs="Times New Roman"/>
          <w:color w:val="000000" w:themeColor="text1"/>
          <w:szCs w:val="32"/>
          <w14:textFill>
            <w14:solidFill>
              <w14:schemeClr w14:val="tx1"/>
            </w14:solidFill>
          </w14:textFill>
        </w:rPr>
        <w:t>1.片区镇村体系及村级片区划分规划图</w:t>
      </w:r>
      <w:r>
        <w:rPr>
          <w:rFonts w:eastAsia="仿宋" w:cs="Times New Roman"/>
          <w:color w:val="000000" w:themeColor="text1"/>
          <w:szCs w:val="32"/>
          <w14:textFill>
            <w14:solidFill>
              <w14:schemeClr w14:val="tx1"/>
            </w14:solidFill>
          </w14:textFill>
        </w:rPr>
        <w:tab/>
      </w:r>
      <w:r>
        <w:rPr>
          <w:rFonts w:eastAsia="仿宋" w:cs="Times New Roman"/>
          <w:color w:val="000000" w:themeColor="text1"/>
          <w:szCs w:val="32"/>
          <w14:textFill>
            <w14:solidFill>
              <w14:schemeClr w14:val="tx1"/>
            </w14:solidFill>
          </w14:textFill>
        </w:rPr>
        <w:t xml:space="preserve">59            </w:t>
      </w:r>
      <w:r>
        <w:rPr>
          <w:rFonts w:eastAsia="仿宋" w:cs="Times New Roman"/>
          <w:color w:val="000000" w:themeColor="text1"/>
          <w:szCs w:val="32"/>
          <w14:textFill>
            <w14:solidFill>
              <w14:schemeClr w14:val="tx1"/>
            </w14:solidFill>
          </w14:textFill>
        </w:rPr>
        <w:fldChar w:fldCharType="end"/>
      </w:r>
    </w:p>
    <w:p>
      <w:pPr>
        <w:pStyle w:val="16"/>
        <w:tabs>
          <w:tab w:val="right" w:leader="dot" w:pos="8306"/>
        </w:tabs>
        <w:ind w:firstLine="640" w:firstLineChars="200"/>
        <w:rPr>
          <w:rFonts w:eastAsia="仿宋" w:cs="Times New Roman"/>
          <w:color w:val="000000" w:themeColor="text1"/>
          <w14:textFill>
            <w14:solidFill>
              <w14:schemeClr w14:val="tx1"/>
            </w14:solidFill>
          </w14:textFill>
        </w:rPr>
      </w:pPr>
      <w:r>
        <w:fldChar w:fldCharType="begin"/>
      </w:r>
      <w:r>
        <w:instrText xml:space="preserve"> HYPERLINK \l "_Toc19569" </w:instrText>
      </w:r>
      <w:r>
        <w:fldChar w:fldCharType="separate"/>
      </w:r>
      <w:r>
        <w:rPr>
          <w:rFonts w:eastAsia="仿宋" w:cs="Times New Roman"/>
          <w:color w:val="000000" w:themeColor="text1"/>
          <w:szCs w:val="32"/>
          <w14:textFill>
            <w14:solidFill>
              <w14:schemeClr w14:val="tx1"/>
            </w14:solidFill>
          </w14:textFill>
        </w:rPr>
        <w:t>2.片区安全生产风险分布图</w:t>
      </w:r>
      <w:bookmarkStart w:id="80" w:name="_Hlk107178391"/>
      <w:r>
        <w:rPr>
          <w:rFonts w:eastAsia="仿宋" w:cs="Times New Roman"/>
          <w:color w:val="000000" w:themeColor="text1"/>
          <w14:textFill>
            <w14:solidFill>
              <w14:schemeClr w14:val="tx1"/>
            </w14:solidFill>
          </w14:textFill>
        </w:rPr>
        <w:tab/>
      </w:r>
      <w:bookmarkEnd w:id="80"/>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60</w:t>
      </w:r>
    </w:p>
    <w:p>
      <w:pPr>
        <w:pStyle w:val="18"/>
        <w:tabs>
          <w:tab w:val="right" w:leader="dot" w:pos="8306"/>
        </w:tabs>
        <w:ind w:firstLine="640"/>
        <w:rPr>
          <w:rFonts w:eastAsia="仿宋" w:cs="Times New Roman"/>
          <w:color w:val="000000" w:themeColor="text1"/>
          <w14:textFill>
            <w14:solidFill>
              <w14:schemeClr w14:val="tx1"/>
            </w14:solidFill>
          </w14:textFill>
        </w:rPr>
      </w:pPr>
      <w:bookmarkStart w:id="81" w:name="_Hlk107268206"/>
      <w:r>
        <w:rPr>
          <w:rFonts w:cs="Times New Roman"/>
        </w:rPr>
        <w:fldChar w:fldCharType="begin"/>
      </w:r>
      <w:r>
        <w:rPr>
          <w:rFonts w:cs="Times New Roman"/>
        </w:rPr>
        <w:instrText xml:space="preserve">HYPERLINK \l "_Toc7989"</w:instrText>
      </w:r>
      <w:r>
        <w:rPr>
          <w:rFonts w:cs="Times New Roman"/>
        </w:rPr>
        <w:fldChar w:fldCharType="separate"/>
      </w:r>
      <w:r>
        <w:rPr>
          <w:rFonts w:eastAsia="仿宋" w:cs="Times New Roman"/>
          <w:color w:val="000000" w:themeColor="text1"/>
          <w:szCs w:val="32"/>
          <w14:textFill>
            <w14:solidFill>
              <w14:schemeClr w14:val="tx1"/>
            </w14:solidFill>
          </w14:textFill>
        </w:rPr>
        <w:t>3.片区自然灾害风险分布图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bookmarkEnd w:id="81"/>
      <w:r>
        <w:rPr>
          <w:rFonts w:eastAsia="仿宋" w:cs="Times New Roman"/>
          <w:color w:val="000000" w:themeColor="text1"/>
          <w14:textFill>
            <w14:solidFill>
              <w14:schemeClr w14:val="tx1"/>
            </w14:solidFill>
          </w14:textFill>
        </w:rPr>
        <w:t>61</w:t>
      </w:r>
    </w:p>
    <w:p>
      <w:pPr>
        <w:pStyle w:val="18"/>
        <w:tabs>
          <w:tab w:val="right" w:leader="dot" w:pos="8306"/>
        </w:tabs>
        <w:ind w:firstLine="640"/>
        <w:rPr>
          <w:rFonts w:eastAsia="仿宋" w:cs="Times New Roman"/>
          <w:bCs/>
          <w:color w:val="000000" w:themeColor="text1"/>
          <w14:textFill>
            <w14:solidFill>
              <w14:schemeClr w14:val="tx1"/>
            </w14:solidFill>
          </w14:textFill>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4.片区</w:t>
      </w:r>
      <w:r>
        <w:rPr>
          <w:rFonts w:hint="eastAsia" w:eastAsia="仿宋" w:cs="Times New Roman"/>
          <w:color w:val="000000" w:themeColor="text1"/>
          <w:szCs w:val="32"/>
          <w14:textFill>
            <w14:solidFill>
              <w14:schemeClr w14:val="tx1"/>
            </w14:solidFill>
          </w14:textFill>
        </w:rPr>
        <w:t>应急广播</w:t>
      </w:r>
      <w:r>
        <w:rPr>
          <w:rFonts w:eastAsia="仿宋" w:cs="Times New Roman"/>
          <w:color w:val="000000" w:themeColor="text1"/>
          <w:szCs w:val="32"/>
          <w14:textFill>
            <w14:solidFill>
              <w14:schemeClr w14:val="tx1"/>
            </w14:solidFill>
          </w14:textFill>
        </w:rPr>
        <w:t>现状分布图</w:t>
      </w:r>
      <w:r>
        <w:rPr>
          <w:rFonts w:eastAsia="仿宋" w:cs="Times New Roman"/>
          <w:color w:val="000000" w:themeColor="text1"/>
          <w:szCs w:val="32"/>
          <w14:textFill>
            <w14:solidFill>
              <w14:schemeClr w14:val="tx1"/>
            </w14:solidFill>
          </w14:textFill>
        </w:rPr>
        <w:fldChar w:fldCharType="end"/>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t>62</w:t>
      </w:r>
    </w:p>
    <w:p>
      <w:pPr>
        <w:pStyle w:val="18"/>
        <w:tabs>
          <w:tab w:val="right" w:leader="dot" w:pos="8306"/>
        </w:tabs>
        <w:ind w:firstLine="640"/>
        <w:rPr>
          <w:rFonts w:eastAsia="仿宋" w:cs="Times New Roman"/>
          <w:bCs/>
          <w:color w:val="000000" w:themeColor="text1"/>
          <w14:textFill>
            <w14:solidFill>
              <w14:schemeClr w14:val="tx1"/>
            </w14:solidFill>
          </w14:textFill>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5.片区防灾减灾能力现状分布图</w:t>
      </w:r>
      <w:r>
        <w:rPr>
          <w:rFonts w:eastAsia="仿宋" w:cs="Times New Roman"/>
          <w:color w:val="000000" w:themeColor="text1"/>
          <w:szCs w:val="32"/>
          <w14:textFill>
            <w14:solidFill>
              <w14:schemeClr w14:val="tx1"/>
            </w14:solidFill>
          </w14:textFill>
        </w:rPr>
        <w:fldChar w:fldCharType="end"/>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t>63</w:t>
      </w:r>
    </w:p>
    <w:p>
      <w:pPr>
        <w:pStyle w:val="18"/>
        <w:tabs>
          <w:tab w:val="right" w:leader="dot" w:pos="8306"/>
        </w:tabs>
        <w:ind w:firstLine="640"/>
        <w:rPr>
          <w:rFonts w:eastAsia="仿宋" w:cs="Times New Roman"/>
          <w:color w:val="000000" w:themeColor="text1"/>
          <w14:textFill>
            <w14:solidFill>
              <w14:schemeClr w14:val="tx1"/>
            </w14:solidFill>
          </w14:textFill>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6.片区地质灾害综合防治规划图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64</w:t>
      </w:r>
    </w:p>
    <w:p>
      <w:pPr>
        <w:pStyle w:val="18"/>
        <w:tabs>
          <w:tab w:val="right" w:leader="dot" w:pos="8306"/>
        </w:tabs>
        <w:ind w:firstLine="640"/>
        <w:rPr>
          <w:rFonts w:eastAsia="仿宋" w:cs="Times New Roman"/>
          <w:color w:val="000000" w:themeColor="text1"/>
          <w14:textFill>
            <w14:solidFill>
              <w14:schemeClr w14:val="tx1"/>
            </w14:solidFill>
          </w14:textFill>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7.片区应急队伍建设规划图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65</w:t>
      </w:r>
    </w:p>
    <w:p>
      <w:pPr>
        <w:pStyle w:val="18"/>
        <w:tabs>
          <w:tab w:val="right" w:leader="dot" w:pos="8306"/>
        </w:tabs>
        <w:ind w:firstLine="640"/>
        <w:rPr>
          <w:rFonts w:cs="Times New Roman"/>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8.片区应急救援保障工程建设规划图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66</w:t>
      </w:r>
    </w:p>
    <w:p>
      <w:pPr>
        <w:pStyle w:val="18"/>
        <w:tabs>
          <w:tab w:val="right" w:leader="dot" w:pos="8306"/>
        </w:tabs>
        <w:ind w:firstLine="640"/>
        <w:rPr>
          <w:rFonts w:cs="Times New Roman"/>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9.片区应急避难场所规划图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67</w:t>
      </w:r>
    </w:p>
    <w:p>
      <w:pPr>
        <w:ind w:firstLine="640"/>
        <w:rPr>
          <w:rFonts w:cs="Times New Roman"/>
        </w:rPr>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sectPr>
          <w:pgSz w:w="11906" w:h="16838"/>
          <w:pgMar w:top="2098" w:right="1474" w:bottom="1984" w:left="1587" w:header="851" w:footer="1134" w:gutter="0"/>
          <w:cols w:space="0" w:num="1"/>
          <w:docGrid w:type="lines" w:linePitch="435" w:charSpace="0"/>
        </w:sectPr>
      </w:pPr>
    </w:p>
    <w:p>
      <w:pPr>
        <w:pStyle w:val="2"/>
        <w:ind w:firstLine="420"/>
      </w:pPr>
    </w:p>
    <w:p>
      <w:pPr>
        <w:pStyle w:val="2"/>
        <w:ind w:firstLine="420"/>
        <w:rPr>
          <w:rFonts w:hint="eastAsia"/>
        </w:rPr>
        <w:sectPr>
          <w:pgSz w:w="11906" w:h="16838"/>
          <w:pgMar w:top="2098" w:right="1474" w:bottom="1984" w:left="1587" w:header="851" w:footer="1134" w:gutter="0"/>
          <w:cols w:space="0" w:num="1"/>
          <w:docGrid w:type="lines" w:linePitch="435" w:charSpace="0"/>
        </w:sectPr>
      </w:pPr>
      <w: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5616575" cy="6687185"/>
            <wp:effectExtent l="0" t="0" r="317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616575" cy="6687185"/>
                    </a:xfrm>
                    <a:prstGeom prst="rect">
                      <a:avLst/>
                    </a:prstGeom>
                    <a:noFill/>
                    <a:ln>
                      <a:noFill/>
                    </a:ln>
                  </pic:spPr>
                </pic:pic>
              </a:graphicData>
            </a:graphic>
          </wp:anchor>
        </w:drawing>
      </w:r>
    </w:p>
    <w:p>
      <w:pPr>
        <w:pStyle w:val="2"/>
        <w:spacing w:line="240" w:lineRule="auto"/>
        <w:ind w:firstLine="0" w:firstLineChars="0"/>
        <w:jc w:val="center"/>
        <w:rPr>
          <w:rFonts w:ascii="Times New Roman" w:hAnsi="Times New Roman" w:cs="Times New Roman"/>
        </w:rPr>
        <w:sectPr>
          <w:footerReference r:id="rId14" w:type="default"/>
          <w:pgSz w:w="11906" w:h="16838"/>
          <w:pgMar w:top="1440" w:right="1800" w:bottom="1440" w:left="1800" w:header="851" w:footer="992" w:gutter="0"/>
          <w:cols w:space="425" w:num="1"/>
          <w:docGrid w:type="lines" w:linePitch="435" w:charSpace="0"/>
        </w:sectPr>
      </w:pPr>
      <w:r>
        <w:drawing>
          <wp:inline distT="0" distB="0" distL="0" distR="0">
            <wp:extent cx="5274310" cy="627951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6279515"/>
                    </a:xfrm>
                    <a:prstGeom prst="rect">
                      <a:avLst/>
                    </a:prstGeom>
                    <a:noFill/>
                    <a:ln>
                      <a:noFill/>
                    </a:ln>
                  </pic:spPr>
                </pic:pic>
              </a:graphicData>
            </a:graphic>
          </wp:inline>
        </w:drawing>
      </w:r>
    </w:p>
    <w:p>
      <w:pPr>
        <w:pStyle w:val="2"/>
        <w:spacing w:line="240" w:lineRule="auto"/>
        <w:ind w:firstLine="0" w:firstLineChars="0"/>
        <w:jc w:val="center"/>
        <w:rPr>
          <w:rFonts w:ascii="Times New Roman" w:hAnsi="Times New Roman" w:cs="Times New Roman"/>
        </w:rPr>
        <w:sectPr>
          <w:pgSz w:w="11906" w:h="16838"/>
          <w:pgMar w:top="1440" w:right="1800" w:bottom="1440" w:left="1800" w:header="851" w:footer="992" w:gutter="0"/>
          <w:cols w:space="425" w:num="1"/>
          <w:docGrid w:type="lines" w:linePitch="435" w:charSpace="0"/>
        </w:sectPr>
      </w:pPr>
      <w:r>
        <w:drawing>
          <wp:inline distT="0" distB="0" distL="0" distR="0">
            <wp:extent cx="5274310" cy="627951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6279515"/>
                    </a:xfrm>
                    <a:prstGeom prst="rect">
                      <a:avLst/>
                    </a:prstGeom>
                    <a:noFill/>
                    <a:ln>
                      <a:noFill/>
                    </a:ln>
                  </pic:spPr>
                </pic:pic>
              </a:graphicData>
            </a:graphic>
          </wp:inline>
        </w:drawing>
      </w:r>
    </w:p>
    <w:p>
      <w:pPr>
        <w:pStyle w:val="2"/>
        <w:spacing w:line="240" w:lineRule="auto"/>
        <w:ind w:firstLine="0" w:firstLineChars="0"/>
        <w:jc w:val="center"/>
        <w:rPr>
          <w:rFonts w:ascii="Times New Roman" w:hAnsi="Times New Roman" w:cs="Times New Roman"/>
        </w:rPr>
        <w:sectPr>
          <w:pgSz w:w="11906" w:h="16838"/>
          <w:pgMar w:top="1440" w:right="1800" w:bottom="1440" w:left="1800" w:header="851" w:footer="992" w:gutter="0"/>
          <w:cols w:space="425" w:num="1"/>
          <w:docGrid w:type="lines" w:linePitch="435" w:charSpace="0"/>
        </w:sectPr>
      </w:pPr>
      <w:r>
        <w:drawing>
          <wp:inline distT="0" distB="0" distL="0" distR="0">
            <wp:extent cx="5274310" cy="627951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6279515"/>
                    </a:xfrm>
                    <a:prstGeom prst="rect">
                      <a:avLst/>
                    </a:prstGeom>
                    <a:noFill/>
                    <a:ln>
                      <a:noFill/>
                    </a:ln>
                  </pic:spPr>
                </pic:pic>
              </a:graphicData>
            </a:graphic>
          </wp:inline>
        </w:drawing>
      </w:r>
    </w:p>
    <w:p>
      <w:pPr>
        <w:pStyle w:val="2"/>
        <w:spacing w:line="240" w:lineRule="auto"/>
        <w:ind w:firstLine="0" w:firstLineChars="0"/>
        <w:jc w:val="center"/>
        <w:rPr>
          <w:rFonts w:ascii="Times New Roman" w:hAnsi="Times New Roman" w:cs="Times New Roman"/>
        </w:rPr>
        <w:sectPr>
          <w:pgSz w:w="11906" w:h="16838"/>
          <w:pgMar w:top="1440" w:right="1800" w:bottom="1440" w:left="1800" w:header="851" w:footer="992" w:gutter="0"/>
          <w:cols w:space="425" w:num="1"/>
          <w:docGrid w:type="lines" w:linePitch="435" w:charSpace="0"/>
        </w:sectPr>
      </w:pPr>
      <w:r>
        <w:drawing>
          <wp:inline distT="0" distB="0" distL="0" distR="0">
            <wp:extent cx="5274310" cy="6279515"/>
            <wp:effectExtent l="0" t="0" r="254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6279515"/>
                    </a:xfrm>
                    <a:prstGeom prst="rect">
                      <a:avLst/>
                    </a:prstGeom>
                    <a:noFill/>
                    <a:ln>
                      <a:noFill/>
                    </a:ln>
                  </pic:spPr>
                </pic:pic>
              </a:graphicData>
            </a:graphic>
          </wp:inline>
        </w:drawing>
      </w:r>
    </w:p>
    <w:p>
      <w:pPr>
        <w:pStyle w:val="2"/>
        <w:spacing w:line="240" w:lineRule="auto"/>
        <w:ind w:firstLine="0" w:firstLineChars="0"/>
        <w:jc w:val="center"/>
        <w:rPr>
          <w:rFonts w:ascii="Times New Roman" w:hAnsi="Times New Roman" w:cs="Times New Roman"/>
        </w:rPr>
        <w:sectPr>
          <w:pgSz w:w="11906" w:h="16838"/>
          <w:pgMar w:top="1440" w:right="1800" w:bottom="1440" w:left="1800" w:header="851" w:footer="992" w:gutter="0"/>
          <w:cols w:space="425" w:num="1"/>
          <w:docGrid w:type="lines" w:linePitch="435" w:charSpace="0"/>
        </w:sectPr>
      </w:pPr>
      <w:r>
        <w:drawing>
          <wp:inline distT="0" distB="0" distL="0" distR="0">
            <wp:extent cx="5274310" cy="6279515"/>
            <wp:effectExtent l="0" t="0" r="254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6279515"/>
                    </a:xfrm>
                    <a:prstGeom prst="rect">
                      <a:avLst/>
                    </a:prstGeom>
                    <a:noFill/>
                    <a:ln>
                      <a:noFill/>
                    </a:ln>
                  </pic:spPr>
                </pic:pic>
              </a:graphicData>
            </a:graphic>
          </wp:inline>
        </w:drawing>
      </w:r>
    </w:p>
    <w:p>
      <w:pPr>
        <w:pStyle w:val="2"/>
        <w:spacing w:line="240" w:lineRule="auto"/>
        <w:ind w:firstLine="0" w:firstLineChars="0"/>
        <w:jc w:val="center"/>
        <w:rPr>
          <w:rFonts w:ascii="Times New Roman" w:hAnsi="Times New Roman" w:cs="Times New Roman"/>
        </w:rPr>
        <w:sectPr>
          <w:pgSz w:w="11906" w:h="16838"/>
          <w:pgMar w:top="1440" w:right="1800" w:bottom="1440" w:left="1800" w:header="851" w:footer="992" w:gutter="0"/>
          <w:cols w:space="425" w:num="1"/>
          <w:docGrid w:type="lines" w:linePitch="435" w:charSpace="0"/>
        </w:sectPr>
      </w:pPr>
      <w:r>
        <w:drawing>
          <wp:inline distT="0" distB="0" distL="0" distR="0">
            <wp:extent cx="5274310" cy="627951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6279515"/>
                    </a:xfrm>
                    <a:prstGeom prst="rect">
                      <a:avLst/>
                    </a:prstGeom>
                    <a:noFill/>
                    <a:ln>
                      <a:noFill/>
                    </a:ln>
                  </pic:spPr>
                </pic:pic>
              </a:graphicData>
            </a:graphic>
          </wp:inline>
        </w:drawing>
      </w:r>
    </w:p>
    <w:p>
      <w:pPr>
        <w:pStyle w:val="2"/>
        <w:spacing w:line="240" w:lineRule="auto"/>
        <w:ind w:firstLine="0" w:firstLineChars="0"/>
        <w:jc w:val="center"/>
        <w:rPr>
          <w:rFonts w:ascii="Times New Roman" w:hAnsi="Times New Roman" w:cs="Times New Roman"/>
        </w:rPr>
        <w:sectPr>
          <w:pgSz w:w="11906" w:h="16838"/>
          <w:pgMar w:top="1440" w:right="1800" w:bottom="1440" w:left="1800" w:header="851" w:footer="992" w:gutter="0"/>
          <w:cols w:space="425" w:num="1"/>
          <w:docGrid w:type="lines" w:linePitch="435" w:charSpace="0"/>
        </w:sectPr>
      </w:pPr>
      <w:r>
        <w:drawing>
          <wp:inline distT="0" distB="0" distL="0" distR="0">
            <wp:extent cx="5274310" cy="627951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6279515"/>
                    </a:xfrm>
                    <a:prstGeom prst="rect">
                      <a:avLst/>
                    </a:prstGeom>
                    <a:noFill/>
                    <a:ln>
                      <a:noFill/>
                    </a:ln>
                  </pic:spPr>
                </pic:pic>
              </a:graphicData>
            </a:graphic>
          </wp:inline>
        </w:drawing>
      </w:r>
    </w:p>
    <w:p>
      <w:pPr>
        <w:pStyle w:val="2"/>
        <w:spacing w:line="240" w:lineRule="auto"/>
        <w:ind w:firstLine="0" w:firstLineChars="0"/>
        <w:jc w:val="center"/>
        <w:rPr>
          <w:rFonts w:ascii="Times New Roman" w:hAnsi="Times New Roman" w:cs="Times New Roman"/>
        </w:rPr>
      </w:pPr>
      <w:r>
        <w:drawing>
          <wp:inline distT="0" distB="0" distL="0" distR="0">
            <wp:extent cx="5274310" cy="627951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6279515"/>
                    </a:xfrm>
                    <a:prstGeom prst="rect">
                      <a:avLst/>
                    </a:prstGeom>
                    <a:noFill/>
                    <a:ln>
                      <a:noFill/>
                    </a:ln>
                  </pic:spPr>
                </pic:pic>
              </a:graphicData>
            </a:graphic>
          </wp:inline>
        </w:drawing>
      </w:r>
    </w:p>
    <w:p>
      <w:pPr>
        <w:pStyle w:val="2"/>
        <w:spacing w:line="240" w:lineRule="auto"/>
        <w:ind w:firstLine="0" w:firstLineChars="0"/>
        <w:jc w:val="center"/>
        <w:rPr>
          <w:rFonts w:ascii="Times New Roman" w:hAnsi="Times New Roman" w:cs="Times New Roman"/>
        </w:rPr>
      </w:pPr>
    </w:p>
    <w:p>
      <w:pPr>
        <w:pStyle w:val="2"/>
        <w:spacing w:line="240" w:lineRule="auto"/>
        <w:ind w:firstLine="0" w:firstLineChars="0"/>
        <w:jc w:val="center"/>
        <w:rPr>
          <w:rFonts w:ascii="Times New Roman" w:hAnsi="Times New Roman" w:cs="Times New Roman"/>
        </w:rPr>
      </w:pPr>
    </w:p>
    <w:p>
      <w:pPr>
        <w:pStyle w:val="2"/>
        <w:spacing w:line="240" w:lineRule="auto"/>
        <w:ind w:firstLine="0" w:firstLineChars="0"/>
        <w:jc w:val="center"/>
        <w:rPr>
          <w:rFonts w:ascii="Times New Roman" w:hAnsi="Times New Roman" w:cs="Times New Roman"/>
        </w:rPr>
      </w:pPr>
    </w:p>
    <w:p>
      <w:pPr>
        <w:pStyle w:val="2"/>
        <w:spacing w:line="240" w:lineRule="auto"/>
        <w:ind w:firstLine="0" w:firstLineChars="0"/>
        <w:jc w:val="center"/>
        <w:rPr>
          <w:rFonts w:ascii="Times New Roman" w:hAnsi="Times New Roman" w:cs="Times New Roman"/>
        </w:rPr>
      </w:pPr>
    </w:p>
    <w:p>
      <w:pPr>
        <w:pStyle w:val="2"/>
        <w:spacing w:line="240" w:lineRule="auto"/>
        <w:ind w:firstLine="0" w:firstLineChars="0"/>
        <w:jc w:val="center"/>
        <w:rPr>
          <w:rFonts w:ascii="Times New Roman" w:hAnsi="Times New Roman" w:cs="Times New Roman"/>
        </w:rPr>
      </w:pPr>
    </w:p>
    <w:p>
      <w:pPr>
        <w:pStyle w:val="2"/>
        <w:spacing w:line="240" w:lineRule="auto"/>
        <w:ind w:firstLine="0" w:firstLineChars="0"/>
        <w:jc w:val="center"/>
        <w:rPr>
          <w:rFonts w:ascii="Times New Roman" w:hAnsi="Times New Roman" w:cs="Times New Roman"/>
        </w:rPr>
      </w:pPr>
    </w:p>
    <w:p>
      <w:pPr>
        <w:pStyle w:val="2"/>
        <w:spacing w:line="240" w:lineRule="auto"/>
        <w:ind w:firstLine="0" w:firstLineChars="0"/>
        <w:jc w:val="center"/>
        <w:rPr>
          <w:rFonts w:ascii="Times New Roman" w:hAnsi="Times New Roman" w:cs="Times New Roman"/>
        </w:rPr>
      </w:pPr>
    </w:p>
    <w:p>
      <w:pPr>
        <w:pStyle w:val="2"/>
        <w:spacing w:line="240" w:lineRule="auto"/>
        <w:ind w:firstLine="0" w:firstLineChars="0"/>
        <w:jc w:val="center"/>
        <w:rPr>
          <w:rFonts w:ascii="Times New Roman" w:hAnsi="Times New Roman" w:cs="Times New Roman"/>
        </w:rPr>
        <w:sectPr>
          <w:pgSz w:w="11906" w:h="16838"/>
          <w:pgMar w:top="1440" w:right="1800" w:bottom="1440" w:left="1800" w:header="851" w:footer="992" w:gutter="0"/>
          <w:cols w:space="425" w:num="1"/>
          <w:docGrid w:type="lines" w:linePitch="435" w:charSpace="0"/>
        </w:sectPr>
      </w:pPr>
    </w:p>
    <w:p>
      <w:pPr>
        <w:ind w:firstLine="0" w:firstLineChars="0"/>
        <w:rPr>
          <w:rFonts w:eastAsia="黑体" w:cs="Times New Roman"/>
        </w:rPr>
      </w:pPr>
      <w:r>
        <w:rPr>
          <w:rFonts w:eastAsia="黑体" w:cs="Times New Roman"/>
        </w:rPr>
        <w:t>征求公众意见情况：</w:t>
      </w:r>
    </w:p>
    <w:p>
      <w:pPr>
        <w:pStyle w:val="7"/>
        <w:spacing w:line="240" w:lineRule="auto"/>
        <w:ind w:left="0" w:leftChars="0" w:firstLine="0" w:firstLineChars="0"/>
        <w:rPr>
          <w:rFonts w:ascii="Times New Roman" w:hAnsi="Times New Roman" w:eastAsia="仿宋" w:cs="Times New Roman"/>
        </w:rPr>
      </w:pPr>
    </w:p>
    <w:p>
      <w:pPr>
        <w:pStyle w:val="7"/>
        <w:spacing w:line="240" w:lineRule="auto"/>
        <w:ind w:left="0" w:leftChars="0" w:firstLine="0" w:firstLineChars="0"/>
        <w:jc w:val="left"/>
        <w:rPr>
          <w:rFonts w:ascii="Times New Roman" w:hAnsi="Times New Roman" w:cs="Times New Roman"/>
        </w:rPr>
      </w:pPr>
    </w:p>
    <w:p>
      <w:pPr>
        <w:pStyle w:val="7"/>
        <w:spacing w:line="240" w:lineRule="auto"/>
        <w:ind w:left="0" w:leftChars="0" w:firstLine="0" w:firstLineChars="0"/>
        <w:rPr>
          <w:rFonts w:ascii="Times New Roman" w:hAnsi="Times New Roman" w:cs="Times New Roman"/>
        </w:rPr>
      </w:pPr>
    </w:p>
    <w:p>
      <w:pPr>
        <w:pStyle w:val="7"/>
        <w:ind w:left="640" w:leftChars="0" w:firstLine="640"/>
        <w:rPr>
          <w:rFonts w:ascii="Times New Roman" w:hAnsi="Times New Roman" w:cs="Times New Roman"/>
        </w:rPr>
      </w:pPr>
      <w:r>
        <w:rPr>
          <w:rFonts w:ascii="Times New Roman" w:hAnsi="Times New Roman" w:cs="Times New Roman"/>
        </w:rPr>
        <w:br w:type="page"/>
      </w:r>
    </w:p>
    <w:sectPr>
      <w:pgSz w:w="11906" w:h="16838"/>
      <w:pgMar w:top="1440" w:right="1800" w:bottom="1440" w:left="1800" w:header="851"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C2F45C5-873F-4D73-961A-82F805175C5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847A1C06-DAA0-466D-B829-713C8DF4E4C6}"/>
  </w:font>
  <w:font w:name="楷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方正仿宋简体">
    <w:panose1 w:val="02010601030101010101"/>
    <w:charset w:val="86"/>
    <w:family w:val="auto"/>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0" w:csb1="00000000"/>
    <w:embedRegular r:id="rId3" w:fontKey="{6300DEA7-5ABE-41E9-A74F-AB513050D31F}"/>
  </w:font>
  <w:font w:name="方正小标宋简体">
    <w:panose1 w:val="03000509000000000000"/>
    <w:charset w:val="86"/>
    <w:family w:val="auto"/>
    <w:pitch w:val="default"/>
    <w:sig w:usb0="00000001" w:usb1="080E0000" w:usb2="00000000" w:usb3="00000000" w:csb0="00040000" w:csb1="00000000"/>
    <w:embedRegular r:id="rId4" w:fontKey="{7B7F66A8-37F5-4789-B43F-241AA5CB7B8D}"/>
  </w:font>
  <w:font w:name="华光小标宋_CNKI">
    <w:panose1 w:val="02000500000000000000"/>
    <w:charset w:val="86"/>
    <w:family w:val="auto"/>
    <w:pitch w:val="default"/>
    <w:sig w:usb0="A00002BF" w:usb1="38CF7CFA" w:usb2="00000016" w:usb3="00000000" w:csb0="0004000F" w:csb1="00000000"/>
    <w:embedRegular r:id="rId5" w:fontKey="{ACAD13D4-C21D-468F-8A04-5DBF861A7B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60"/>
                          </w:pPr>
                          <w:r>
                            <w:t xml:space="preserve">— </w:t>
                          </w:r>
                          <w:r>
                            <w:fldChar w:fldCharType="begin"/>
                          </w:r>
                          <w:r>
                            <w:instrText xml:space="preserve"> PAGE  \* MERGEFORMAT </w:instrText>
                          </w:r>
                          <w:r>
                            <w:fldChar w:fldCharType="separate"/>
                          </w:r>
                          <w:r>
                            <w:t>27</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RK1MsAgAAVQ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peR3la62eIerCIC91b06FphnOPw8i6q5yKX/Ah8EPc40Vc0QXC46XpZDrN4eLwDRvgZ4/X&#10;rfPhnTCKRKOgDtVLorLDxoc+dAiJ2bRZN1KmCkpN2oJeX73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j1ErUywCAABVBAAADgAAAAAAAAABACAAAAAfAQAAZHJzL2Uyb0RvYy54bWxQSwUGAAAAAAYA&#10;BgBZAQAAvQUAAAAA&#10;">
              <v:fill on="f" focussize="0,0"/>
              <v:stroke on="f" weight="0.5pt"/>
              <v:imagedata o:title=""/>
              <o:lock v:ext="edit" aspectratio="f"/>
              <v:textbox inset="0mm,0mm,0mm,0mm" style="mso-fit-shape-to-text:t;">
                <w:txbxContent>
                  <w:p>
                    <w:pPr>
                      <w:pStyle w:val="14"/>
                      <w:ind w:firstLine="360"/>
                    </w:pPr>
                    <w:r>
                      <w:t xml:space="preserve">— </w:t>
                    </w:r>
                    <w:r>
                      <w:fldChar w:fldCharType="begin"/>
                    </w:r>
                    <w:r>
                      <w:instrText xml:space="preserve"> PAGE  \* MERGEFORMAT </w:instrText>
                    </w:r>
                    <w:r>
                      <w:fldChar w:fldCharType="separate"/>
                    </w:r>
                    <w:r>
                      <w:t>27</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60"/>
                          </w:pPr>
                          <w:r>
                            <w:t>—</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a6mK4BoCAABUBAAADgAA&#10;AAAAAAABACAAAAAfAQAAZHJzL2Uyb0RvYy54bWxQSwUGAAAAAAYABgBZAQAAqwUAAAAA&#10;">
              <v:fill on="f" focussize="0,0"/>
              <v:stroke on="f" weight="0.5pt"/>
              <v:imagedata o:title=""/>
              <o:lock v:ext="edit" aspectratio="f"/>
              <v:textbox inset="0mm,0mm,0mm,0mm" style="mso-fit-shape-to-text:t;">
                <w:txbxContent>
                  <w:p>
                    <w:pPr>
                      <w:pStyle w:val="14"/>
                      <w:ind w:firstLine="360"/>
                    </w:pPr>
                    <w:r>
                      <w:t>—</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60"/>
                          </w:pPr>
                          <w:r>
                            <w:t xml:space="preserve">— </w:t>
                          </w:r>
                          <w:r>
                            <w:fldChar w:fldCharType="begin"/>
                          </w:r>
                          <w:r>
                            <w:instrText xml:space="preserve"> PAGE  \* MERGEFORMAT </w:instrText>
                          </w:r>
                          <w:r>
                            <w:fldChar w:fldCharType="separate"/>
                          </w:r>
                          <w:r>
                            <w:t>49</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4"/>
                      <w:ind w:firstLine="360"/>
                    </w:pPr>
                    <w:r>
                      <w:t xml:space="preserve">— </w:t>
                    </w:r>
                    <w:r>
                      <w:fldChar w:fldCharType="begin"/>
                    </w:r>
                    <w:r>
                      <w:instrText xml:space="preserve"> PAGE  \* MERGEFORMAT </w:instrText>
                    </w:r>
                    <w:r>
                      <w:fldChar w:fldCharType="separate"/>
                    </w:r>
                    <w:r>
                      <w:t>49</w:t>
                    </w:r>
                    <w:r>
                      <w:fldChar w:fldCharType="end"/>
                    </w:r>
                    <w:r>
                      <w:t xml:space="preserve"> —</w:t>
                    </w:r>
                  </w:p>
                </w:txbxContent>
              </v:textbox>
            </v:shape>
          </w:pict>
        </mc:Fallback>
      </mc:AlternateContent>
    </w:r>
  </w:p>
  <w:p>
    <w:pPr>
      <w:pStyle w:val="14"/>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60"/>
                          </w:pPr>
                          <w:r>
                            <w:t xml:space="preserve">— </w:t>
                          </w:r>
                          <w:r>
                            <w:fldChar w:fldCharType="begin"/>
                          </w:r>
                          <w:r>
                            <w:instrText xml:space="preserve"> PAGE  \* MERGEFORMAT </w:instrText>
                          </w:r>
                          <w:r>
                            <w:fldChar w:fldCharType="separate"/>
                          </w:r>
                          <w:r>
                            <w:t>49</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4"/>
                      <w:ind w:firstLine="360"/>
                    </w:pPr>
                    <w:r>
                      <w:t xml:space="preserve">— </w:t>
                    </w:r>
                    <w:r>
                      <w:fldChar w:fldCharType="begin"/>
                    </w:r>
                    <w:r>
                      <w:instrText xml:space="preserve"> PAGE  \* MERGEFORMAT </w:instrText>
                    </w:r>
                    <w:r>
                      <w:fldChar w:fldCharType="separate"/>
                    </w:r>
                    <w:r>
                      <w:t>49</w:t>
                    </w:r>
                    <w:r>
                      <w:fldChar w:fldCharType="end"/>
                    </w:r>
                    <w:r>
                      <w:t xml:space="preserve"> —</w:t>
                    </w:r>
                  </w:p>
                </w:txbxContent>
              </v:textbox>
            </v:shape>
          </w:pict>
        </mc:Fallback>
      </mc:AlternateContent>
    </w:r>
  </w:p>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F86156"/>
    <w:multiLevelType w:val="multilevel"/>
    <w:tmpl w:val="0FF8615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D927A95"/>
    <w:multiLevelType w:val="multilevel"/>
    <w:tmpl w:val="5D927A9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67696817"/>
    <w:multiLevelType w:val="multilevel"/>
    <w:tmpl w:val="6769681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60"/>
  <w:drawingGridVerticalSpacing w:val="435"/>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2ZGZiNzZiNDVlOGViOWVmM2JhOTY0NGJkNjUyYzgifQ=="/>
  </w:docVars>
  <w:rsids>
    <w:rsidRoot w:val="00222530"/>
    <w:rsid w:val="00000364"/>
    <w:rsid w:val="00001354"/>
    <w:rsid w:val="00003215"/>
    <w:rsid w:val="00003A9C"/>
    <w:rsid w:val="000042A1"/>
    <w:rsid w:val="00004486"/>
    <w:rsid w:val="000061E1"/>
    <w:rsid w:val="00006950"/>
    <w:rsid w:val="00007338"/>
    <w:rsid w:val="000077ED"/>
    <w:rsid w:val="0000783E"/>
    <w:rsid w:val="00012BC4"/>
    <w:rsid w:val="000130C1"/>
    <w:rsid w:val="00013EFF"/>
    <w:rsid w:val="00014198"/>
    <w:rsid w:val="0001517B"/>
    <w:rsid w:val="00015379"/>
    <w:rsid w:val="00017C95"/>
    <w:rsid w:val="0002095E"/>
    <w:rsid w:val="00020C22"/>
    <w:rsid w:val="0002263F"/>
    <w:rsid w:val="000229D0"/>
    <w:rsid w:val="0002342D"/>
    <w:rsid w:val="0002489A"/>
    <w:rsid w:val="00024A40"/>
    <w:rsid w:val="00024B99"/>
    <w:rsid w:val="000253FB"/>
    <w:rsid w:val="000255B6"/>
    <w:rsid w:val="00025AB5"/>
    <w:rsid w:val="000274DF"/>
    <w:rsid w:val="00027B54"/>
    <w:rsid w:val="00032B97"/>
    <w:rsid w:val="000330DB"/>
    <w:rsid w:val="00033F47"/>
    <w:rsid w:val="00035C22"/>
    <w:rsid w:val="00035D68"/>
    <w:rsid w:val="00040C79"/>
    <w:rsid w:val="000412D6"/>
    <w:rsid w:val="000414B0"/>
    <w:rsid w:val="0004281C"/>
    <w:rsid w:val="00042907"/>
    <w:rsid w:val="00042FCA"/>
    <w:rsid w:val="0004341A"/>
    <w:rsid w:val="000437B2"/>
    <w:rsid w:val="000439D4"/>
    <w:rsid w:val="000451AB"/>
    <w:rsid w:val="000469E4"/>
    <w:rsid w:val="000475FA"/>
    <w:rsid w:val="0005016F"/>
    <w:rsid w:val="00051CEE"/>
    <w:rsid w:val="00052BBD"/>
    <w:rsid w:val="00053069"/>
    <w:rsid w:val="000537BF"/>
    <w:rsid w:val="000542E5"/>
    <w:rsid w:val="00054C4C"/>
    <w:rsid w:val="0005531E"/>
    <w:rsid w:val="00055B62"/>
    <w:rsid w:val="00055E1A"/>
    <w:rsid w:val="00055EAF"/>
    <w:rsid w:val="00055F98"/>
    <w:rsid w:val="00057503"/>
    <w:rsid w:val="0006031B"/>
    <w:rsid w:val="0006201D"/>
    <w:rsid w:val="00062B5D"/>
    <w:rsid w:val="000637AB"/>
    <w:rsid w:val="00063A7F"/>
    <w:rsid w:val="00063FB8"/>
    <w:rsid w:val="0006467D"/>
    <w:rsid w:val="00064C45"/>
    <w:rsid w:val="00065E42"/>
    <w:rsid w:val="0006685D"/>
    <w:rsid w:val="000669C5"/>
    <w:rsid w:val="00066B1A"/>
    <w:rsid w:val="00067991"/>
    <w:rsid w:val="00067A6A"/>
    <w:rsid w:val="00067D84"/>
    <w:rsid w:val="00070604"/>
    <w:rsid w:val="000708A3"/>
    <w:rsid w:val="0007126F"/>
    <w:rsid w:val="000715BD"/>
    <w:rsid w:val="000739C0"/>
    <w:rsid w:val="00074512"/>
    <w:rsid w:val="00074EAE"/>
    <w:rsid w:val="00076C04"/>
    <w:rsid w:val="00077546"/>
    <w:rsid w:val="000804BF"/>
    <w:rsid w:val="00080595"/>
    <w:rsid w:val="00081607"/>
    <w:rsid w:val="000822B9"/>
    <w:rsid w:val="000829FA"/>
    <w:rsid w:val="0008343E"/>
    <w:rsid w:val="0008445B"/>
    <w:rsid w:val="00086193"/>
    <w:rsid w:val="0008635F"/>
    <w:rsid w:val="00086838"/>
    <w:rsid w:val="000868AB"/>
    <w:rsid w:val="0008695E"/>
    <w:rsid w:val="00086BD0"/>
    <w:rsid w:val="00087691"/>
    <w:rsid w:val="0009100D"/>
    <w:rsid w:val="000919CA"/>
    <w:rsid w:val="00091AF0"/>
    <w:rsid w:val="0009330F"/>
    <w:rsid w:val="00093A95"/>
    <w:rsid w:val="00094640"/>
    <w:rsid w:val="000953D1"/>
    <w:rsid w:val="000960BB"/>
    <w:rsid w:val="00096401"/>
    <w:rsid w:val="00096CAF"/>
    <w:rsid w:val="00097743"/>
    <w:rsid w:val="000A1FF0"/>
    <w:rsid w:val="000A2064"/>
    <w:rsid w:val="000A34B8"/>
    <w:rsid w:val="000A4951"/>
    <w:rsid w:val="000A5D71"/>
    <w:rsid w:val="000A72C5"/>
    <w:rsid w:val="000A7AE0"/>
    <w:rsid w:val="000B0D4E"/>
    <w:rsid w:val="000B1393"/>
    <w:rsid w:val="000B1C3B"/>
    <w:rsid w:val="000B2A0D"/>
    <w:rsid w:val="000B2BAA"/>
    <w:rsid w:val="000B415C"/>
    <w:rsid w:val="000B4565"/>
    <w:rsid w:val="000B47F8"/>
    <w:rsid w:val="000B5885"/>
    <w:rsid w:val="000B58EF"/>
    <w:rsid w:val="000B7245"/>
    <w:rsid w:val="000C0223"/>
    <w:rsid w:val="000C052F"/>
    <w:rsid w:val="000C0F16"/>
    <w:rsid w:val="000C13F4"/>
    <w:rsid w:val="000C1911"/>
    <w:rsid w:val="000C220C"/>
    <w:rsid w:val="000C2646"/>
    <w:rsid w:val="000C29C5"/>
    <w:rsid w:val="000C3606"/>
    <w:rsid w:val="000C44C7"/>
    <w:rsid w:val="000C4D55"/>
    <w:rsid w:val="000C4D9C"/>
    <w:rsid w:val="000C524C"/>
    <w:rsid w:val="000C5BA6"/>
    <w:rsid w:val="000C6897"/>
    <w:rsid w:val="000C6FA9"/>
    <w:rsid w:val="000C7AF8"/>
    <w:rsid w:val="000C7DDF"/>
    <w:rsid w:val="000D1FC1"/>
    <w:rsid w:val="000D303E"/>
    <w:rsid w:val="000D385A"/>
    <w:rsid w:val="000D3C05"/>
    <w:rsid w:val="000D41BB"/>
    <w:rsid w:val="000D4C55"/>
    <w:rsid w:val="000D5716"/>
    <w:rsid w:val="000D6FC0"/>
    <w:rsid w:val="000E116A"/>
    <w:rsid w:val="000E174C"/>
    <w:rsid w:val="000E1F3F"/>
    <w:rsid w:val="000E2133"/>
    <w:rsid w:val="000E3057"/>
    <w:rsid w:val="000E3A32"/>
    <w:rsid w:val="000E3C0F"/>
    <w:rsid w:val="000E4200"/>
    <w:rsid w:val="000E4522"/>
    <w:rsid w:val="000E4628"/>
    <w:rsid w:val="000E480E"/>
    <w:rsid w:val="000E509F"/>
    <w:rsid w:val="000E5615"/>
    <w:rsid w:val="000E597B"/>
    <w:rsid w:val="000E77C5"/>
    <w:rsid w:val="000E7A38"/>
    <w:rsid w:val="000F0011"/>
    <w:rsid w:val="000F1C6C"/>
    <w:rsid w:val="000F20AF"/>
    <w:rsid w:val="000F2325"/>
    <w:rsid w:val="000F34F2"/>
    <w:rsid w:val="000F37CB"/>
    <w:rsid w:val="000F54DD"/>
    <w:rsid w:val="001001C6"/>
    <w:rsid w:val="00100776"/>
    <w:rsid w:val="0010084A"/>
    <w:rsid w:val="0010133E"/>
    <w:rsid w:val="00102947"/>
    <w:rsid w:val="00102B57"/>
    <w:rsid w:val="00102C2B"/>
    <w:rsid w:val="0010391A"/>
    <w:rsid w:val="00104F30"/>
    <w:rsid w:val="00107E24"/>
    <w:rsid w:val="00111C3E"/>
    <w:rsid w:val="00112CA1"/>
    <w:rsid w:val="00113669"/>
    <w:rsid w:val="00113EE2"/>
    <w:rsid w:val="0011590A"/>
    <w:rsid w:val="001164D0"/>
    <w:rsid w:val="0011681F"/>
    <w:rsid w:val="00116FA5"/>
    <w:rsid w:val="00117BEB"/>
    <w:rsid w:val="001200AF"/>
    <w:rsid w:val="0012025D"/>
    <w:rsid w:val="001208DE"/>
    <w:rsid w:val="00120CC9"/>
    <w:rsid w:val="001214B3"/>
    <w:rsid w:val="00121AAF"/>
    <w:rsid w:val="00121B2D"/>
    <w:rsid w:val="0012242C"/>
    <w:rsid w:val="001229ED"/>
    <w:rsid w:val="00123543"/>
    <w:rsid w:val="0012441F"/>
    <w:rsid w:val="001246A3"/>
    <w:rsid w:val="001250A6"/>
    <w:rsid w:val="0012518B"/>
    <w:rsid w:val="00125F18"/>
    <w:rsid w:val="00126AC1"/>
    <w:rsid w:val="0012774E"/>
    <w:rsid w:val="0013038B"/>
    <w:rsid w:val="0013096A"/>
    <w:rsid w:val="00131EA9"/>
    <w:rsid w:val="00133642"/>
    <w:rsid w:val="00134126"/>
    <w:rsid w:val="00134536"/>
    <w:rsid w:val="00134857"/>
    <w:rsid w:val="00134947"/>
    <w:rsid w:val="00134B04"/>
    <w:rsid w:val="00135649"/>
    <w:rsid w:val="001371E0"/>
    <w:rsid w:val="001372BF"/>
    <w:rsid w:val="0013799F"/>
    <w:rsid w:val="001409DC"/>
    <w:rsid w:val="001414D6"/>
    <w:rsid w:val="00141DC2"/>
    <w:rsid w:val="0014380A"/>
    <w:rsid w:val="001440A5"/>
    <w:rsid w:val="00147955"/>
    <w:rsid w:val="0015001B"/>
    <w:rsid w:val="00154E90"/>
    <w:rsid w:val="001553B5"/>
    <w:rsid w:val="00155652"/>
    <w:rsid w:val="001564BE"/>
    <w:rsid w:val="00156CCB"/>
    <w:rsid w:val="00156DFA"/>
    <w:rsid w:val="0015739D"/>
    <w:rsid w:val="001573ED"/>
    <w:rsid w:val="00157EEA"/>
    <w:rsid w:val="001608A9"/>
    <w:rsid w:val="001611E6"/>
    <w:rsid w:val="00161ED6"/>
    <w:rsid w:val="001624F4"/>
    <w:rsid w:val="00162725"/>
    <w:rsid w:val="00162DBD"/>
    <w:rsid w:val="00163227"/>
    <w:rsid w:val="00164B56"/>
    <w:rsid w:val="00164DD1"/>
    <w:rsid w:val="00165621"/>
    <w:rsid w:val="0016569F"/>
    <w:rsid w:val="00165941"/>
    <w:rsid w:val="00165CED"/>
    <w:rsid w:val="00165EB2"/>
    <w:rsid w:val="00166419"/>
    <w:rsid w:val="001667D7"/>
    <w:rsid w:val="00166E93"/>
    <w:rsid w:val="001676CB"/>
    <w:rsid w:val="001679DC"/>
    <w:rsid w:val="001705AE"/>
    <w:rsid w:val="001712CD"/>
    <w:rsid w:val="0017173D"/>
    <w:rsid w:val="00171ED7"/>
    <w:rsid w:val="00172400"/>
    <w:rsid w:val="00172CC9"/>
    <w:rsid w:val="001732A8"/>
    <w:rsid w:val="00173835"/>
    <w:rsid w:val="00176804"/>
    <w:rsid w:val="0017757A"/>
    <w:rsid w:val="0018075C"/>
    <w:rsid w:val="00181EEF"/>
    <w:rsid w:val="00182356"/>
    <w:rsid w:val="0018241F"/>
    <w:rsid w:val="00182DAD"/>
    <w:rsid w:val="001842D8"/>
    <w:rsid w:val="0018625C"/>
    <w:rsid w:val="00186D57"/>
    <w:rsid w:val="00187985"/>
    <w:rsid w:val="00187A1F"/>
    <w:rsid w:val="00191B76"/>
    <w:rsid w:val="00191EDB"/>
    <w:rsid w:val="00192414"/>
    <w:rsid w:val="0019326B"/>
    <w:rsid w:val="00193BEB"/>
    <w:rsid w:val="00193C93"/>
    <w:rsid w:val="0019488E"/>
    <w:rsid w:val="00194A0E"/>
    <w:rsid w:val="00194D6D"/>
    <w:rsid w:val="00195470"/>
    <w:rsid w:val="0019571D"/>
    <w:rsid w:val="001960F0"/>
    <w:rsid w:val="0019693F"/>
    <w:rsid w:val="001A1A00"/>
    <w:rsid w:val="001A27B1"/>
    <w:rsid w:val="001A2DBC"/>
    <w:rsid w:val="001A421C"/>
    <w:rsid w:val="001A43F1"/>
    <w:rsid w:val="001A5FC2"/>
    <w:rsid w:val="001A6665"/>
    <w:rsid w:val="001A6ECC"/>
    <w:rsid w:val="001A7CAC"/>
    <w:rsid w:val="001A7D60"/>
    <w:rsid w:val="001A7FDE"/>
    <w:rsid w:val="001B02EA"/>
    <w:rsid w:val="001B0D8B"/>
    <w:rsid w:val="001B17EF"/>
    <w:rsid w:val="001B1922"/>
    <w:rsid w:val="001B1A79"/>
    <w:rsid w:val="001B2867"/>
    <w:rsid w:val="001B3821"/>
    <w:rsid w:val="001B4A62"/>
    <w:rsid w:val="001B5F63"/>
    <w:rsid w:val="001B7188"/>
    <w:rsid w:val="001B7A93"/>
    <w:rsid w:val="001B7C21"/>
    <w:rsid w:val="001C026B"/>
    <w:rsid w:val="001C05DA"/>
    <w:rsid w:val="001C1AAB"/>
    <w:rsid w:val="001C2343"/>
    <w:rsid w:val="001C3A9C"/>
    <w:rsid w:val="001C5F1B"/>
    <w:rsid w:val="001C6889"/>
    <w:rsid w:val="001C6F9A"/>
    <w:rsid w:val="001C7CA8"/>
    <w:rsid w:val="001D0356"/>
    <w:rsid w:val="001D0AFE"/>
    <w:rsid w:val="001D0BC6"/>
    <w:rsid w:val="001D1645"/>
    <w:rsid w:val="001D20B8"/>
    <w:rsid w:val="001D2673"/>
    <w:rsid w:val="001D3320"/>
    <w:rsid w:val="001D364B"/>
    <w:rsid w:val="001D45AE"/>
    <w:rsid w:val="001D4F63"/>
    <w:rsid w:val="001D6670"/>
    <w:rsid w:val="001D6860"/>
    <w:rsid w:val="001D724B"/>
    <w:rsid w:val="001D7647"/>
    <w:rsid w:val="001E1024"/>
    <w:rsid w:val="001E402F"/>
    <w:rsid w:val="001E4CDF"/>
    <w:rsid w:val="001E5357"/>
    <w:rsid w:val="001E5709"/>
    <w:rsid w:val="001E60E5"/>
    <w:rsid w:val="001E635B"/>
    <w:rsid w:val="001E6E69"/>
    <w:rsid w:val="001E72C7"/>
    <w:rsid w:val="001F128F"/>
    <w:rsid w:val="001F130F"/>
    <w:rsid w:val="001F1719"/>
    <w:rsid w:val="001F1E40"/>
    <w:rsid w:val="001F1F34"/>
    <w:rsid w:val="001F2A4D"/>
    <w:rsid w:val="001F3138"/>
    <w:rsid w:val="001F3469"/>
    <w:rsid w:val="001F3CB0"/>
    <w:rsid w:val="001F4F58"/>
    <w:rsid w:val="001F5672"/>
    <w:rsid w:val="001F590E"/>
    <w:rsid w:val="001F5D61"/>
    <w:rsid w:val="001F7B4E"/>
    <w:rsid w:val="002003E4"/>
    <w:rsid w:val="00201CAD"/>
    <w:rsid w:val="00201CDC"/>
    <w:rsid w:val="00201FEE"/>
    <w:rsid w:val="00202CE7"/>
    <w:rsid w:val="002038EE"/>
    <w:rsid w:val="00204068"/>
    <w:rsid w:val="0020529C"/>
    <w:rsid w:val="002053DF"/>
    <w:rsid w:val="00205542"/>
    <w:rsid w:val="002055ED"/>
    <w:rsid w:val="002057E8"/>
    <w:rsid w:val="0020588C"/>
    <w:rsid w:val="00205CA4"/>
    <w:rsid w:val="00207184"/>
    <w:rsid w:val="00207652"/>
    <w:rsid w:val="002104D7"/>
    <w:rsid w:val="0021088B"/>
    <w:rsid w:val="002108BF"/>
    <w:rsid w:val="002109FA"/>
    <w:rsid w:val="0021102B"/>
    <w:rsid w:val="00211654"/>
    <w:rsid w:val="002118BB"/>
    <w:rsid w:val="002119D2"/>
    <w:rsid w:val="00212FB6"/>
    <w:rsid w:val="002135AD"/>
    <w:rsid w:val="00213AA9"/>
    <w:rsid w:val="00214C35"/>
    <w:rsid w:val="0021614A"/>
    <w:rsid w:val="00216708"/>
    <w:rsid w:val="00216CA0"/>
    <w:rsid w:val="00216CFD"/>
    <w:rsid w:val="002178CE"/>
    <w:rsid w:val="00217A91"/>
    <w:rsid w:val="0022096A"/>
    <w:rsid w:val="0022104D"/>
    <w:rsid w:val="00221E2F"/>
    <w:rsid w:val="00222322"/>
    <w:rsid w:val="00222458"/>
    <w:rsid w:val="00222530"/>
    <w:rsid w:val="002229D1"/>
    <w:rsid w:val="00222F43"/>
    <w:rsid w:val="00222F93"/>
    <w:rsid w:val="002233C4"/>
    <w:rsid w:val="00223E1D"/>
    <w:rsid w:val="00224A29"/>
    <w:rsid w:val="00224A5A"/>
    <w:rsid w:val="0022535D"/>
    <w:rsid w:val="00225E30"/>
    <w:rsid w:val="0022645C"/>
    <w:rsid w:val="00227CBA"/>
    <w:rsid w:val="00230206"/>
    <w:rsid w:val="00230A98"/>
    <w:rsid w:val="00231858"/>
    <w:rsid w:val="0023197B"/>
    <w:rsid w:val="00232D86"/>
    <w:rsid w:val="00234099"/>
    <w:rsid w:val="00234642"/>
    <w:rsid w:val="002356EE"/>
    <w:rsid w:val="00235DDE"/>
    <w:rsid w:val="00235FC2"/>
    <w:rsid w:val="00236422"/>
    <w:rsid w:val="00236C49"/>
    <w:rsid w:val="00237DCE"/>
    <w:rsid w:val="00237FBF"/>
    <w:rsid w:val="00240418"/>
    <w:rsid w:val="00240C58"/>
    <w:rsid w:val="00241D8E"/>
    <w:rsid w:val="0024222E"/>
    <w:rsid w:val="00242907"/>
    <w:rsid w:val="002436DC"/>
    <w:rsid w:val="00243A8A"/>
    <w:rsid w:val="002445D2"/>
    <w:rsid w:val="00244639"/>
    <w:rsid w:val="0024483C"/>
    <w:rsid w:val="0024489A"/>
    <w:rsid w:val="00245A46"/>
    <w:rsid w:val="00245EBC"/>
    <w:rsid w:val="00247EEF"/>
    <w:rsid w:val="00247F9F"/>
    <w:rsid w:val="00250F62"/>
    <w:rsid w:val="0025161B"/>
    <w:rsid w:val="00251C6C"/>
    <w:rsid w:val="00251FA7"/>
    <w:rsid w:val="002525D8"/>
    <w:rsid w:val="002526C2"/>
    <w:rsid w:val="00252CB1"/>
    <w:rsid w:val="00252D60"/>
    <w:rsid w:val="00254052"/>
    <w:rsid w:val="002549E2"/>
    <w:rsid w:val="00254E9F"/>
    <w:rsid w:val="00256839"/>
    <w:rsid w:val="00256D19"/>
    <w:rsid w:val="00260016"/>
    <w:rsid w:val="00260366"/>
    <w:rsid w:val="00260AE2"/>
    <w:rsid w:val="00262011"/>
    <w:rsid w:val="00262056"/>
    <w:rsid w:val="00262226"/>
    <w:rsid w:val="0026281A"/>
    <w:rsid w:val="00263F51"/>
    <w:rsid w:val="002650B5"/>
    <w:rsid w:val="00265ED2"/>
    <w:rsid w:val="00266087"/>
    <w:rsid w:val="00266452"/>
    <w:rsid w:val="00266505"/>
    <w:rsid w:val="00271057"/>
    <w:rsid w:val="00272167"/>
    <w:rsid w:val="002726DB"/>
    <w:rsid w:val="00272D61"/>
    <w:rsid w:val="00274380"/>
    <w:rsid w:val="00275840"/>
    <w:rsid w:val="00275B31"/>
    <w:rsid w:val="00276A6D"/>
    <w:rsid w:val="00277678"/>
    <w:rsid w:val="00277DB8"/>
    <w:rsid w:val="00280EFC"/>
    <w:rsid w:val="0028179E"/>
    <w:rsid w:val="00281985"/>
    <w:rsid w:val="00281ED2"/>
    <w:rsid w:val="00281FFD"/>
    <w:rsid w:val="00282E7D"/>
    <w:rsid w:val="0028319D"/>
    <w:rsid w:val="0028352E"/>
    <w:rsid w:val="00285032"/>
    <w:rsid w:val="00285373"/>
    <w:rsid w:val="002856B0"/>
    <w:rsid w:val="002858CD"/>
    <w:rsid w:val="00285A85"/>
    <w:rsid w:val="00286215"/>
    <w:rsid w:val="002868DE"/>
    <w:rsid w:val="00286C8C"/>
    <w:rsid w:val="0028797B"/>
    <w:rsid w:val="00290655"/>
    <w:rsid w:val="002911CC"/>
    <w:rsid w:val="002918A0"/>
    <w:rsid w:val="0029238C"/>
    <w:rsid w:val="0029243C"/>
    <w:rsid w:val="00294C8C"/>
    <w:rsid w:val="00297AE8"/>
    <w:rsid w:val="00297DBC"/>
    <w:rsid w:val="00297F4F"/>
    <w:rsid w:val="002A0012"/>
    <w:rsid w:val="002A086F"/>
    <w:rsid w:val="002A1640"/>
    <w:rsid w:val="002A1B03"/>
    <w:rsid w:val="002A1B77"/>
    <w:rsid w:val="002A2540"/>
    <w:rsid w:val="002A3E2D"/>
    <w:rsid w:val="002A40BB"/>
    <w:rsid w:val="002A4752"/>
    <w:rsid w:val="002A4782"/>
    <w:rsid w:val="002A7FF7"/>
    <w:rsid w:val="002B0187"/>
    <w:rsid w:val="002B0F5C"/>
    <w:rsid w:val="002B133C"/>
    <w:rsid w:val="002B15FD"/>
    <w:rsid w:val="002B196B"/>
    <w:rsid w:val="002B1D7C"/>
    <w:rsid w:val="002B1F1C"/>
    <w:rsid w:val="002B2939"/>
    <w:rsid w:val="002B3C68"/>
    <w:rsid w:val="002B49D4"/>
    <w:rsid w:val="002B5581"/>
    <w:rsid w:val="002B55F0"/>
    <w:rsid w:val="002B67D7"/>
    <w:rsid w:val="002B713F"/>
    <w:rsid w:val="002C0728"/>
    <w:rsid w:val="002C1377"/>
    <w:rsid w:val="002C2770"/>
    <w:rsid w:val="002C28E7"/>
    <w:rsid w:val="002C2D0A"/>
    <w:rsid w:val="002C2E28"/>
    <w:rsid w:val="002C399D"/>
    <w:rsid w:val="002C3C29"/>
    <w:rsid w:val="002C4720"/>
    <w:rsid w:val="002C5ED9"/>
    <w:rsid w:val="002C6A73"/>
    <w:rsid w:val="002C79E9"/>
    <w:rsid w:val="002C7CB0"/>
    <w:rsid w:val="002D0296"/>
    <w:rsid w:val="002D1E61"/>
    <w:rsid w:val="002D27C1"/>
    <w:rsid w:val="002D293A"/>
    <w:rsid w:val="002D3E8C"/>
    <w:rsid w:val="002D4261"/>
    <w:rsid w:val="002D43D0"/>
    <w:rsid w:val="002D4F1D"/>
    <w:rsid w:val="002D5189"/>
    <w:rsid w:val="002D5609"/>
    <w:rsid w:val="002D5BE3"/>
    <w:rsid w:val="002D6505"/>
    <w:rsid w:val="002E0316"/>
    <w:rsid w:val="002E05A9"/>
    <w:rsid w:val="002E0763"/>
    <w:rsid w:val="002E0825"/>
    <w:rsid w:val="002E08CD"/>
    <w:rsid w:val="002E0C53"/>
    <w:rsid w:val="002E13F5"/>
    <w:rsid w:val="002E17F6"/>
    <w:rsid w:val="002E1A47"/>
    <w:rsid w:val="002E256E"/>
    <w:rsid w:val="002E4381"/>
    <w:rsid w:val="002E4F9D"/>
    <w:rsid w:val="002E5565"/>
    <w:rsid w:val="002E7B08"/>
    <w:rsid w:val="002F05C8"/>
    <w:rsid w:val="002F05DD"/>
    <w:rsid w:val="002F1E3D"/>
    <w:rsid w:val="002F3A3A"/>
    <w:rsid w:val="002F3CE7"/>
    <w:rsid w:val="002F496A"/>
    <w:rsid w:val="002F4B12"/>
    <w:rsid w:val="002F7223"/>
    <w:rsid w:val="002F7516"/>
    <w:rsid w:val="002F7783"/>
    <w:rsid w:val="002F7F81"/>
    <w:rsid w:val="00300209"/>
    <w:rsid w:val="0030205C"/>
    <w:rsid w:val="00302F19"/>
    <w:rsid w:val="0030366F"/>
    <w:rsid w:val="00303834"/>
    <w:rsid w:val="00303A47"/>
    <w:rsid w:val="00304327"/>
    <w:rsid w:val="003043CB"/>
    <w:rsid w:val="00304554"/>
    <w:rsid w:val="0030492B"/>
    <w:rsid w:val="0030600F"/>
    <w:rsid w:val="0030620A"/>
    <w:rsid w:val="003068AD"/>
    <w:rsid w:val="00306DBD"/>
    <w:rsid w:val="003070A9"/>
    <w:rsid w:val="003070C2"/>
    <w:rsid w:val="00310801"/>
    <w:rsid w:val="003124E8"/>
    <w:rsid w:val="0031404F"/>
    <w:rsid w:val="00314449"/>
    <w:rsid w:val="0031444C"/>
    <w:rsid w:val="0031484F"/>
    <w:rsid w:val="00314929"/>
    <w:rsid w:val="003153D3"/>
    <w:rsid w:val="00315582"/>
    <w:rsid w:val="00316B30"/>
    <w:rsid w:val="00317279"/>
    <w:rsid w:val="003177A4"/>
    <w:rsid w:val="00317D67"/>
    <w:rsid w:val="00317FE7"/>
    <w:rsid w:val="00320A32"/>
    <w:rsid w:val="00320CB1"/>
    <w:rsid w:val="00320CC4"/>
    <w:rsid w:val="003237C6"/>
    <w:rsid w:val="00323A23"/>
    <w:rsid w:val="003251F6"/>
    <w:rsid w:val="00325F4F"/>
    <w:rsid w:val="0032662B"/>
    <w:rsid w:val="00326F3C"/>
    <w:rsid w:val="00327914"/>
    <w:rsid w:val="00327D42"/>
    <w:rsid w:val="0033048D"/>
    <w:rsid w:val="003304DD"/>
    <w:rsid w:val="00330696"/>
    <w:rsid w:val="00331486"/>
    <w:rsid w:val="00331671"/>
    <w:rsid w:val="003319E1"/>
    <w:rsid w:val="00332A6F"/>
    <w:rsid w:val="00333972"/>
    <w:rsid w:val="0033427F"/>
    <w:rsid w:val="00335422"/>
    <w:rsid w:val="0033644C"/>
    <w:rsid w:val="00337DBB"/>
    <w:rsid w:val="00340396"/>
    <w:rsid w:val="00341616"/>
    <w:rsid w:val="003442F4"/>
    <w:rsid w:val="003462AD"/>
    <w:rsid w:val="00350047"/>
    <w:rsid w:val="0035067D"/>
    <w:rsid w:val="00350C9F"/>
    <w:rsid w:val="00352839"/>
    <w:rsid w:val="003537FD"/>
    <w:rsid w:val="00354D95"/>
    <w:rsid w:val="00355CCE"/>
    <w:rsid w:val="0035609F"/>
    <w:rsid w:val="00356DBB"/>
    <w:rsid w:val="0035733C"/>
    <w:rsid w:val="00357AAE"/>
    <w:rsid w:val="003602F1"/>
    <w:rsid w:val="003604E7"/>
    <w:rsid w:val="00361804"/>
    <w:rsid w:val="0036215B"/>
    <w:rsid w:val="003625B2"/>
    <w:rsid w:val="00362D40"/>
    <w:rsid w:val="00362E4D"/>
    <w:rsid w:val="00362F78"/>
    <w:rsid w:val="003642FA"/>
    <w:rsid w:val="00365273"/>
    <w:rsid w:val="00365306"/>
    <w:rsid w:val="0036572E"/>
    <w:rsid w:val="00365D50"/>
    <w:rsid w:val="00365D69"/>
    <w:rsid w:val="00365E3B"/>
    <w:rsid w:val="00365EE7"/>
    <w:rsid w:val="00365FEE"/>
    <w:rsid w:val="003660F0"/>
    <w:rsid w:val="003661CD"/>
    <w:rsid w:val="00366EC9"/>
    <w:rsid w:val="003671ED"/>
    <w:rsid w:val="003727FD"/>
    <w:rsid w:val="00372D83"/>
    <w:rsid w:val="00373584"/>
    <w:rsid w:val="00373EEC"/>
    <w:rsid w:val="00373F06"/>
    <w:rsid w:val="0037463D"/>
    <w:rsid w:val="00375038"/>
    <w:rsid w:val="00375637"/>
    <w:rsid w:val="00375A27"/>
    <w:rsid w:val="00376399"/>
    <w:rsid w:val="00376921"/>
    <w:rsid w:val="003778D2"/>
    <w:rsid w:val="0038129A"/>
    <w:rsid w:val="003814CD"/>
    <w:rsid w:val="00381602"/>
    <w:rsid w:val="003821BD"/>
    <w:rsid w:val="00382674"/>
    <w:rsid w:val="0038377D"/>
    <w:rsid w:val="0038426F"/>
    <w:rsid w:val="00384446"/>
    <w:rsid w:val="00385158"/>
    <w:rsid w:val="00386560"/>
    <w:rsid w:val="003901B5"/>
    <w:rsid w:val="003908A1"/>
    <w:rsid w:val="00390EDC"/>
    <w:rsid w:val="00390FEE"/>
    <w:rsid w:val="00391509"/>
    <w:rsid w:val="003915BB"/>
    <w:rsid w:val="00392583"/>
    <w:rsid w:val="003929B1"/>
    <w:rsid w:val="00392D8D"/>
    <w:rsid w:val="00393246"/>
    <w:rsid w:val="00393CC6"/>
    <w:rsid w:val="00393FAE"/>
    <w:rsid w:val="003952B5"/>
    <w:rsid w:val="0039567A"/>
    <w:rsid w:val="00397DA6"/>
    <w:rsid w:val="003A1041"/>
    <w:rsid w:val="003A19DF"/>
    <w:rsid w:val="003A36F4"/>
    <w:rsid w:val="003A3BD0"/>
    <w:rsid w:val="003A4E29"/>
    <w:rsid w:val="003A61C8"/>
    <w:rsid w:val="003A62CA"/>
    <w:rsid w:val="003A62E3"/>
    <w:rsid w:val="003A6CC7"/>
    <w:rsid w:val="003A6F8A"/>
    <w:rsid w:val="003A7155"/>
    <w:rsid w:val="003A74E5"/>
    <w:rsid w:val="003A7AE7"/>
    <w:rsid w:val="003B12AA"/>
    <w:rsid w:val="003B23C2"/>
    <w:rsid w:val="003B3909"/>
    <w:rsid w:val="003B3F24"/>
    <w:rsid w:val="003B4168"/>
    <w:rsid w:val="003B4A22"/>
    <w:rsid w:val="003B4CC3"/>
    <w:rsid w:val="003B4F16"/>
    <w:rsid w:val="003B5749"/>
    <w:rsid w:val="003B7310"/>
    <w:rsid w:val="003C00D2"/>
    <w:rsid w:val="003C0360"/>
    <w:rsid w:val="003C2A90"/>
    <w:rsid w:val="003C30AC"/>
    <w:rsid w:val="003C35E6"/>
    <w:rsid w:val="003C3C2F"/>
    <w:rsid w:val="003C434E"/>
    <w:rsid w:val="003C4613"/>
    <w:rsid w:val="003C4638"/>
    <w:rsid w:val="003C5CA3"/>
    <w:rsid w:val="003C5FBD"/>
    <w:rsid w:val="003C6ACE"/>
    <w:rsid w:val="003C739A"/>
    <w:rsid w:val="003C77CA"/>
    <w:rsid w:val="003C7E0E"/>
    <w:rsid w:val="003D009D"/>
    <w:rsid w:val="003D04E4"/>
    <w:rsid w:val="003D0830"/>
    <w:rsid w:val="003D0EDE"/>
    <w:rsid w:val="003D2B48"/>
    <w:rsid w:val="003D33A6"/>
    <w:rsid w:val="003D576B"/>
    <w:rsid w:val="003D59B5"/>
    <w:rsid w:val="003D793C"/>
    <w:rsid w:val="003D7E8F"/>
    <w:rsid w:val="003E0A78"/>
    <w:rsid w:val="003E0C13"/>
    <w:rsid w:val="003E361A"/>
    <w:rsid w:val="003E594B"/>
    <w:rsid w:val="003E5D6F"/>
    <w:rsid w:val="003E64F1"/>
    <w:rsid w:val="003E7A6B"/>
    <w:rsid w:val="003F03F2"/>
    <w:rsid w:val="003F06C1"/>
    <w:rsid w:val="003F087F"/>
    <w:rsid w:val="003F091B"/>
    <w:rsid w:val="003F0962"/>
    <w:rsid w:val="003F1AC7"/>
    <w:rsid w:val="003F1F70"/>
    <w:rsid w:val="003F225B"/>
    <w:rsid w:val="003F2949"/>
    <w:rsid w:val="003F56FA"/>
    <w:rsid w:val="003F5849"/>
    <w:rsid w:val="003F7C03"/>
    <w:rsid w:val="00400988"/>
    <w:rsid w:val="004011EE"/>
    <w:rsid w:val="0040128C"/>
    <w:rsid w:val="004015AD"/>
    <w:rsid w:val="00401C21"/>
    <w:rsid w:val="00402DA7"/>
    <w:rsid w:val="0040327D"/>
    <w:rsid w:val="00403C9E"/>
    <w:rsid w:val="004045E7"/>
    <w:rsid w:val="0040551A"/>
    <w:rsid w:val="004062A4"/>
    <w:rsid w:val="00406368"/>
    <w:rsid w:val="00406774"/>
    <w:rsid w:val="00407381"/>
    <w:rsid w:val="0040757A"/>
    <w:rsid w:val="00410AF6"/>
    <w:rsid w:val="0041176B"/>
    <w:rsid w:val="00411E13"/>
    <w:rsid w:val="00412117"/>
    <w:rsid w:val="00412ACE"/>
    <w:rsid w:val="00413A4D"/>
    <w:rsid w:val="00413AF9"/>
    <w:rsid w:val="004150DA"/>
    <w:rsid w:val="0041554F"/>
    <w:rsid w:val="00415756"/>
    <w:rsid w:val="00416461"/>
    <w:rsid w:val="004167D7"/>
    <w:rsid w:val="00416980"/>
    <w:rsid w:val="00416F6D"/>
    <w:rsid w:val="0041773C"/>
    <w:rsid w:val="004178B4"/>
    <w:rsid w:val="00420C26"/>
    <w:rsid w:val="00420EF4"/>
    <w:rsid w:val="004216F2"/>
    <w:rsid w:val="00423ED3"/>
    <w:rsid w:val="00423EFD"/>
    <w:rsid w:val="0042515A"/>
    <w:rsid w:val="004255BC"/>
    <w:rsid w:val="00426A46"/>
    <w:rsid w:val="00427181"/>
    <w:rsid w:val="004276F0"/>
    <w:rsid w:val="00427996"/>
    <w:rsid w:val="00427EAB"/>
    <w:rsid w:val="004309D2"/>
    <w:rsid w:val="004311E2"/>
    <w:rsid w:val="00431D88"/>
    <w:rsid w:val="004321AA"/>
    <w:rsid w:val="00432732"/>
    <w:rsid w:val="00434185"/>
    <w:rsid w:val="0043456C"/>
    <w:rsid w:val="00435968"/>
    <w:rsid w:val="00437EA1"/>
    <w:rsid w:val="00440796"/>
    <w:rsid w:val="00440B69"/>
    <w:rsid w:val="00444DEE"/>
    <w:rsid w:val="00445A87"/>
    <w:rsid w:val="004465DB"/>
    <w:rsid w:val="00447074"/>
    <w:rsid w:val="00451992"/>
    <w:rsid w:val="0045220C"/>
    <w:rsid w:val="004535E5"/>
    <w:rsid w:val="00454805"/>
    <w:rsid w:val="0045527C"/>
    <w:rsid w:val="00455365"/>
    <w:rsid w:val="00455532"/>
    <w:rsid w:val="004556D1"/>
    <w:rsid w:val="00456338"/>
    <w:rsid w:val="00456468"/>
    <w:rsid w:val="0045709C"/>
    <w:rsid w:val="00457CE5"/>
    <w:rsid w:val="00460736"/>
    <w:rsid w:val="004609B1"/>
    <w:rsid w:val="004611DE"/>
    <w:rsid w:val="004642B0"/>
    <w:rsid w:val="00466537"/>
    <w:rsid w:val="00466EC2"/>
    <w:rsid w:val="00467291"/>
    <w:rsid w:val="00467642"/>
    <w:rsid w:val="00467DC1"/>
    <w:rsid w:val="00467FDF"/>
    <w:rsid w:val="004702F8"/>
    <w:rsid w:val="00471088"/>
    <w:rsid w:val="00471A27"/>
    <w:rsid w:val="00473661"/>
    <w:rsid w:val="00473B22"/>
    <w:rsid w:val="00473D00"/>
    <w:rsid w:val="00474315"/>
    <w:rsid w:val="00476141"/>
    <w:rsid w:val="0047650E"/>
    <w:rsid w:val="00477B6C"/>
    <w:rsid w:val="0048007A"/>
    <w:rsid w:val="0048170C"/>
    <w:rsid w:val="00481A49"/>
    <w:rsid w:val="004848DB"/>
    <w:rsid w:val="00486615"/>
    <w:rsid w:val="004910CF"/>
    <w:rsid w:val="004911E9"/>
    <w:rsid w:val="00491A3B"/>
    <w:rsid w:val="0049218C"/>
    <w:rsid w:val="0049226B"/>
    <w:rsid w:val="00494719"/>
    <w:rsid w:val="00494D2B"/>
    <w:rsid w:val="00495063"/>
    <w:rsid w:val="00495071"/>
    <w:rsid w:val="00495084"/>
    <w:rsid w:val="00495B71"/>
    <w:rsid w:val="00496389"/>
    <w:rsid w:val="0049707F"/>
    <w:rsid w:val="004973D7"/>
    <w:rsid w:val="0049753E"/>
    <w:rsid w:val="00497757"/>
    <w:rsid w:val="004A0598"/>
    <w:rsid w:val="004A0C27"/>
    <w:rsid w:val="004A106A"/>
    <w:rsid w:val="004A14F0"/>
    <w:rsid w:val="004A3B80"/>
    <w:rsid w:val="004A3B9E"/>
    <w:rsid w:val="004A3F79"/>
    <w:rsid w:val="004A53A5"/>
    <w:rsid w:val="004A5507"/>
    <w:rsid w:val="004A59FC"/>
    <w:rsid w:val="004A5FF8"/>
    <w:rsid w:val="004A6694"/>
    <w:rsid w:val="004A6B95"/>
    <w:rsid w:val="004B00D0"/>
    <w:rsid w:val="004B34E9"/>
    <w:rsid w:val="004B3772"/>
    <w:rsid w:val="004B5765"/>
    <w:rsid w:val="004B5B47"/>
    <w:rsid w:val="004B61AF"/>
    <w:rsid w:val="004C0021"/>
    <w:rsid w:val="004C09F0"/>
    <w:rsid w:val="004C0AC5"/>
    <w:rsid w:val="004C0E78"/>
    <w:rsid w:val="004C2489"/>
    <w:rsid w:val="004C24D6"/>
    <w:rsid w:val="004C2A4E"/>
    <w:rsid w:val="004C2CEA"/>
    <w:rsid w:val="004C2EBE"/>
    <w:rsid w:val="004C3669"/>
    <w:rsid w:val="004C36A7"/>
    <w:rsid w:val="004C3CC3"/>
    <w:rsid w:val="004C4F92"/>
    <w:rsid w:val="004C6BBA"/>
    <w:rsid w:val="004C74FC"/>
    <w:rsid w:val="004C79FA"/>
    <w:rsid w:val="004D0295"/>
    <w:rsid w:val="004D0603"/>
    <w:rsid w:val="004D1032"/>
    <w:rsid w:val="004D157A"/>
    <w:rsid w:val="004D2213"/>
    <w:rsid w:val="004D332F"/>
    <w:rsid w:val="004D33DE"/>
    <w:rsid w:val="004D3EA2"/>
    <w:rsid w:val="004D4875"/>
    <w:rsid w:val="004D5183"/>
    <w:rsid w:val="004D6E75"/>
    <w:rsid w:val="004D769E"/>
    <w:rsid w:val="004D7D05"/>
    <w:rsid w:val="004D7F09"/>
    <w:rsid w:val="004E03AB"/>
    <w:rsid w:val="004E190A"/>
    <w:rsid w:val="004E3C32"/>
    <w:rsid w:val="004E3E01"/>
    <w:rsid w:val="004E4434"/>
    <w:rsid w:val="004E4A9D"/>
    <w:rsid w:val="004E6077"/>
    <w:rsid w:val="004E7DAD"/>
    <w:rsid w:val="004F0158"/>
    <w:rsid w:val="004F034C"/>
    <w:rsid w:val="004F2F7E"/>
    <w:rsid w:val="004F5205"/>
    <w:rsid w:val="004F78BF"/>
    <w:rsid w:val="004F7F9B"/>
    <w:rsid w:val="00500314"/>
    <w:rsid w:val="0050129C"/>
    <w:rsid w:val="00501450"/>
    <w:rsid w:val="005020C1"/>
    <w:rsid w:val="00503232"/>
    <w:rsid w:val="00503DE6"/>
    <w:rsid w:val="00503F7F"/>
    <w:rsid w:val="00504BED"/>
    <w:rsid w:val="00504F88"/>
    <w:rsid w:val="00505ED2"/>
    <w:rsid w:val="0050641A"/>
    <w:rsid w:val="00506619"/>
    <w:rsid w:val="005068CB"/>
    <w:rsid w:val="00506A8F"/>
    <w:rsid w:val="0050744A"/>
    <w:rsid w:val="00507D93"/>
    <w:rsid w:val="00510165"/>
    <w:rsid w:val="0051197A"/>
    <w:rsid w:val="00511C14"/>
    <w:rsid w:val="005123FF"/>
    <w:rsid w:val="005125C9"/>
    <w:rsid w:val="00512E15"/>
    <w:rsid w:val="0051494C"/>
    <w:rsid w:val="00515302"/>
    <w:rsid w:val="005158AE"/>
    <w:rsid w:val="005167E1"/>
    <w:rsid w:val="005172A4"/>
    <w:rsid w:val="00517835"/>
    <w:rsid w:val="005179D9"/>
    <w:rsid w:val="00517D55"/>
    <w:rsid w:val="005203EC"/>
    <w:rsid w:val="005204DD"/>
    <w:rsid w:val="00520997"/>
    <w:rsid w:val="00520F7B"/>
    <w:rsid w:val="0052265D"/>
    <w:rsid w:val="00522EAC"/>
    <w:rsid w:val="005230B2"/>
    <w:rsid w:val="00523281"/>
    <w:rsid w:val="00523525"/>
    <w:rsid w:val="005246E5"/>
    <w:rsid w:val="00524FFC"/>
    <w:rsid w:val="005253D1"/>
    <w:rsid w:val="00525665"/>
    <w:rsid w:val="005259CA"/>
    <w:rsid w:val="00525B8E"/>
    <w:rsid w:val="005267FE"/>
    <w:rsid w:val="00526E43"/>
    <w:rsid w:val="00530503"/>
    <w:rsid w:val="00531BA8"/>
    <w:rsid w:val="005324E3"/>
    <w:rsid w:val="00532834"/>
    <w:rsid w:val="00533991"/>
    <w:rsid w:val="00533F24"/>
    <w:rsid w:val="00533F9D"/>
    <w:rsid w:val="00534DDA"/>
    <w:rsid w:val="00536084"/>
    <w:rsid w:val="00536381"/>
    <w:rsid w:val="00536F34"/>
    <w:rsid w:val="00537E95"/>
    <w:rsid w:val="005404E2"/>
    <w:rsid w:val="00540A1F"/>
    <w:rsid w:val="00541A3C"/>
    <w:rsid w:val="00542E80"/>
    <w:rsid w:val="0054426A"/>
    <w:rsid w:val="00544B39"/>
    <w:rsid w:val="00546080"/>
    <w:rsid w:val="00546198"/>
    <w:rsid w:val="00547A4F"/>
    <w:rsid w:val="005501C6"/>
    <w:rsid w:val="005502C6"/>
    <w:rsid w:val="00551459"/>
    <w:rsid w:val="005517DC"/>
    <w:rsid w:val="00551F8D"/>
    <w:rsid w:val="00552F5E"/>
    <w:rsid w:val="00553ECE"/>
    <w:rsid w:val="00554300"/>
    <w:rsid w:val="00554AA2"/>
    <w:rsid w:val="00560C00"/>
    <w:rsid w:val="00564080"/>
    <w:rsid w:val="0056409B"/>
    <w:rsid w:val="005654BB"/>
    <w:rsid w:val="0056579F"/>
    <w:rsid w:val="00565A98"/>
    <w:rsid w:val="00566539"/>
    <w:rsid w:val="00566824"/>
    <w:rsid w:val="00567002"/>
    <w:rsid w:val="005672D4"/>
    <w:rsid w:val="005676F3"/>
    <w:rsid w:val="00567D7D"/>
    <w:rsid w:val="0057015C"/>
    <w:rsid w:val="00570E5A"/>
    <w:rsid w:val="00573098"/>
    <w:rsid w:val="0057462A"/>
    <w:rsid w:val="005747DB"/>
    <w:rsid w:val="00574D99"/>
    <w:rsid w:val="005752E4"/>
    <w:rsid w:val="005753FB"/>
    <w:rsid w:val="00575BD7"/>
    <w:rsid w:val="00575C5D"/>
    <w:rsid w:val="00575EB3"/>
    <w:rsid w:val="005770F4"/>
    <w:rsid w:val="00577419"/>
    <w:rsid w:val="00580311"/>
    <w:rsid w:val="00581507"/>
    <w:rsid w:val="00582054"/>
    <w:rsid w:val="005828B8"/>
    <w:rsid w:val="00582CBF"/>
    <w:rsid w:val="005839DD"/>
    <w:rsid w:val="00584391"/>
    <w:rsid w:val="0058504B"/>
    <w:rsid w:val="0058561C"/>
    <w:rsid w:val="00585FA7"/>
    <w:rsid w:val="00586F52"/>
    <w:rsid w:val="00590755"/>
    <w:rsid w:val="00590BDE"/>
    <w:rsid w:val="00590CE8"/>
    <w:rsid w:val="00591ABE"/>
    <w:rsid w:val="005928F1"/>
    <w:rsid w:val="00592F1D"/>
    <w:rsid w:val="00593B04"/>
    <w:rsid w:val="005943BA"/>
    <w:rsid w:val="00594BFD"/>
    <w:rsid w:val="00595750"/>
    <w:rsid w:val="00595986"/>
    <w:rsid w:val="00595F04"/>
    <w:rsid w:val="00597152"/>
    <w:rsid w:val="005975B9"/>
    <w:rsid w:val="00597630"/>
    <w:rsid w:val="00597795"/>
    <w:rsid w:val="005A0B62"/>
    <w:rsid w:val="005A10B3"/>
    <w:rsid w:val="005A1190"/>
    <w:rsid w:val="005A2B40"/>
    <w:rsid w:val="005A2F7B"/>
    <w:rsid w:val="005A3284"/>
    <w:rsid w:val="005A32D6"/>
    <w:rsid w:val="005A4329"/>
    <w:rsid w:val="005A4D37"/>
    <w:rsid w:val="005A4FA4"/>
    <w:rsid w:val="005A5D50"/>
    <w:rsid w:val="005B05DC"/>
    <w:rsid w:val="005B0968"/>
    <w:rsid w:val="005B1AC5"/>
    <w:rsid w:val="005B2B27"/>
    <w:rsid w:val="005B40A0"/>
    <w:rsid w:val="005B6528"/>
    <w:rsid w:val="005B7112"/>
    <w:rsid w:val="005B719E"/>
    <w:rsid w:val="005B7F45"/>
    <w:rsid w:val="005C01B2"/>
    <w:rsid w:val="005C1500"/>
    <w:rsid w:val="005C1A00"/>
    <w:rsid w:val="005C1AFC"/>
    <w:rsid w:val="005C2029"/>
    <w:rsid w:val="005C223E"/>
    <w:rsid w:val="005C2554"/>
    <w:rsid w:val="005C2621"/>
    <w:rsid w:val="005C2940"/>
    <w:rsid w:val="005C35CA"/>
    <w:rsid w:val="005C4224"/>
    <w:rsid w:val="005C5D3B"/>
    <w:rsid w:val="005C68AB"/>
    <w:rsid w:val="005C6C33"/>
    <w:rsid w:val="005C7D80"/>
    <w:rsid w:val="005D1E95"/>
    <w:rsid w:val="005D37AF"/>
    <w:rsid w:val="005D4F88"/>
    <w:rsid w:val="005D5E8B"/>
    <w:rsid w:val="005D5F5C"/>
    <w:rsid w:val="005D60B3"/>
    <w:rsid w:val="005D652B"/>
    <w:rsid w:val="005D66B8"/>
    <w:rsid w:val="005D69BB"/>
    <w:rsid w:val="005D7A36"/>
    <w:rsid w:val="005E2903"/>
    <w:rsid w:val="005E30D5"/>
    <w:rsid w:val="005E3224"/>
    <w:rsid w:val="005E37EE"/>
    <w:rsid w:val="005E429C"/>
    <w:rsid w:val="005E42C0"/>
    <w:rsid w:val="005E446C"/>
    <w:rsid w:val="005E4DFE"/>
    <w:rsid w:val="005E685A"/>
    <w:rsid w:val="005E7EC7"/>
    <w:rsid w:val="005F00E0"/>
    <w:rsid w:val="005F0B59"/>
    <w:rsid w:val="005F1902"/>
    <w:rsid w:val="005F2482"/>
    <w:rsid w:val="005F2F88"/>
    <w:rsid w:val="005F5988"/>
    <w:rsid w:val="005F62AD"/>
    <w:rsid w:val="005F6946"/>
    <w:rsid w:val="005F6BF4"/>
    <w:rsid w:val="006008DB"/>
    <w:rsid w:val="00601A33"/>
    <w:rsid w:val="0060271D"/>
    <w:rsid w:val="0060314D"/>
    <w:rsid w:val="00604FB7"/>
    <w:rsid w:val="0060539A"/>
    <w:rsid w:val="00605D5E"/>
    <w:rsid w:val="00606125"/>
    <w:rsid w:val="006074EB"/>
    <w:rsid w:val="00607679"/>
    <w:rsid w:val="0060780D"/>
    <w:rsid w:val="006106F6"/>
    <w:rsid w:val="00610BC1"/>
    <w:rsid w:val="00610C35"/>
    <w:rsid w:val="00610EEA"/>
    <w:rsid w:val="00611686"/>
    <w:rsid w:val="006127B7"/>
    <w:rsid w:val="00613E50"/>
    <w:rsid w:val="006144FB"/>
    <w:rsid w:val="0061451B"/>
    <w:rsid w:val="006148C7"/>
    <w:rsid w:val="00615476"/>
    <w:rsid w:val="006155ED"/>
    <w:rsid w:val="006173F0"/>
    <w:rsid w:val="00620B05"/>
    <w:rsid w:val="00622AB8"/>
    <w:rsid w:val="00623FC3"/>
    <w:rsid w:val="0062480C"/>
    <w:rsid w:val="006253AB"/>
    <w:rsid w:val="006262F6"/>
    <w:rsid w:val="006267FC"/>
    <w:rsid w:val="00626A39"/>
    <w:rsid w:val="006303A6"/>
    <w:rsid w:val="006310B1"/>
    <w:rsid w:val="00632539"/>
    <w:rsid w:val="006325B6"/>
    <w:rsid w:val="00632B18"/>
    <w:rsid w:val="00632ED7"/>
    <w:rsid w:val="00633BB6"/>
    <w:rsid w:val="00634056"/>
    <w:rsid w:val="00635D6B"/>
    <w:rsid w:val="00637E63"/>
    <w:rsid w:val="00640D32"/>
    <w:rsid w:val="00643017"/>
    <w:rsid w:val="00643789"/>
    <w:rsid w:val="00644872"/>
    <w:rsid w:val="00644BF8"/>
    <w:rsid w:val="00644DD8"/>
    <w:rsid w:val="00645993"/>
    <w:rsid w:val="00645BDF"/>
    <w:rsid w:val="00646389"/>
    <w:rsid w:val="006464B6"/>
    <w:rsid w:val="00646911"/>
    <w:rsid w:val="006478AF"/>
    <w:rsid w:val="00647DDA"/>
    <w:rsid w:val="006507A7"/>
    <w:rsid w:val="0065135C"/>
    <w:rsid w:val="00654FC1"/>
    <w:rsid w:val="0065593C"/>
    <w:rsid w:val="00655D94"/>
    <w:rsid w:val="00656455"/>
    <w:rsid w:val="006565BD"/>
    <w:rsid w:val="006567C6"/>
    <w:rsid w:val="00657662"/>
    <w:rsid w:val="00657E40"/>
    <w:rsid w:val="0066099B"/>
    <w:rsid w:val="0066238F"/>
    <w:rsid w:val="00663242"/>
    <w:rsid w:val="0066378F"/>
    <w:rsid w:val="00663C93"/>
    <w:rsid w:val="00663D4F"/>
    <w:rsid w:val="00664802"/>
    <w:rsid w:val="006651C6"/>
    <w:rsid w:val="00666AFB"/>
    <w:rsid w:val="00666E86"/>
    <w:rsid w:val="00667411"/>
    <w:rsid w:val="0067083A"/>
    <w:rsid w:val="00671071"/>
    <w:rsid w:val="006720C6"/>
    <w:rsid w:val="00672392"/>
    <w:rsid w:val="00672393"/>
    <w:rsid w:val="00672993"/>
    <w:rsid w:val="00672B87"/>
    <w:rsid w:val="00672DAF"/>
    <w:rsid w:val="0067314C"/>
    <w:rsid w:val="00673B3E"/>
    <w:rsid w:val="00674137"/>
    <w:rsid w:val="00674540"/>
    <w:rsid w:val="0067457E"/>
    <w:rsid w:val="006748F8"/>
    <w:rsid w:val="006753CD"/>
    <w:rsid w:val="00675EAB"/>
    <w:rsid w:val="0067695C"/>
    <w:rsid w:val="0067766C"/>
    <w:rsid w:val="00677B17"/>
    <w:rsid w:val="0068097C"/>
    <w:rsid w:val="00681015"/>
    <w:rsid w:val="0068228C"/>
    <w:rsid w:val="00683253"/>
    <w:rsid w:val="00683809"/>
    <w:rsid w:val="00683E44"/>
    <w:rsid w:val="0068474C"/>
    <w:rsid w:val="00685AFF"/>
    <w:rsid w:val="00687AB7"/>
    <w:rsid w:val="00687BEE"/>
    <w:rsid w:val="00687F57"/>
    <w:rsid w:val="00690430"/>
    <w:rsid w:val="00690565"/>
    <w:rsid w:val="006909DA"/>
    <w:rsid w:val="00691E70"/>
    <w:rsid w:val="006921B3"/>
    <w:rsid w:val="0069336D"/>
    <w:rsid w:val="0069408D"/>
    <w:rsid w:val="0069421C"/>
    <w:rsid w:val="006942A2"/>
    <w:rsid w:val="00694545"/>
    <w:rsid w:val="00694DFC"/>
    <w:rsid w:val="006963BD"/>
    <w:rsid w:val="0069756E"/>
    <w:rsid w:val="006977B1"/>
    <w:rsid w:val="006A0268"/>
    <w:rsid w:val="006A0AB2"/>
    <w:rsid w:val="006A0CD3"/>
    <w:rsid w:val="006A0E45"/>
    <w:rsid w:val="006A13BB"/>
    <w:rsid w:val="006A40CD"/>
    <w:rsid w:val="006A4822"/>
    <w:rsid w:val="006A53A7"/>
    <w:rsid w:val="006A59CF"/>
    <w:rsid w:val="006A64A8"/>
    <w:rsid w:val="006A64B9"/>
    <w:rsid w:val="006A6A6B"/>
    <w:rsid w:val="006B0598"/>
    <w:rsid w:val="006B0602"/>
    <w:rsid w:val="006B0633"/>
    <w:rsid w:val="006B0FB8"/>
    <w:rsid w:val="006B15BC"/>
    <w:rsid w:val="006B162E"/>
    <w:rsid w:val="006B1B35"/>
    <w:rsid w:val="006B1E42"/>
    <w:rsid w:val="006B1E8A"/>
    <w:rsid w:val="006B32A3"/>
    <w:rsid w:val="006B3904"/>
    <w:rsid w:val="006B434B"/>
    <w:rsid w:val="006B47C2"/>
    <w:rsid w:val="006B4C89"/>
    <w:rsid w:val="006B61CF"/>
    <w:rsid w:val="006B65B2"/>
    <w:rsid w:val="006B7052"/>
    <w:rsid w:val="006B715B"/>
    <w:rsid w:val="006B7DDD"/>
    <w:rsid w:val="006C08BE"/>
    <w:rsid w:val="006C16E5"/>
    <w:rsid w:val="006C1ADE"/>
    <w:rsid w:val="006C1F82"/>
    <w:rsid w:val="006C3BC1"/>
    <w:rsid w:val="006C442B"/>
    <w:rsid w:val="006C4436"/>
    <w:rsid w:val="006C500C"/>
    <w:rsid w:val="006C5C4E"/>
    <w:rsid w:val="006C6B58"/>
    <w:rsid w:val="006C76CB"/>
    <w:rsid w:val="006C7C09"/>
    <w:rsid w:val="006D0054"/>
    <w:rsid w:val="006D3529"/>
    <w:rsid w:val="006D357C"/>
    <w:rsid w:val="006D3BC2"/>
    <w:rsid w:val="006D521C"/>
    <w:rsid w:val="006D5750"/>
    <w:rsid w:val="006D61F5"/>
    <w:rsid w:val="006D65D2"/>
    <w:rsid w:val="006D6A98"/>
    <w:rsid w:val="006D7D92"/>
    <w:rsid w:val="006E0BD9"/>
    <w:rsid w:val="006E0DEA"/>
    <w:rsid w:val="006E0E38"/>
    <w:rsid w:val="006E0F46"/>
    <w:rsid w:val="006E3445"/>
    <w:rsid w:val="006E3CE8"/>
    <w:rsid w:val="006E42FF"/>
    <w:rsid w:val="006E4659"/>
    <w:rsid w:val="006E4AB9"/>
    <w:rsid w:val="006E4B18"/>
    <w:rsid w:val="006E6590"/>
    <w:rsid w:val="006E702B"/>
    <w:rsid w:val="006E728F"/>
    <w:rsid w:val="006E7E6D"/>
    <w:rsid w:val="006F0156"/>
    <w:rsid w:val="006F06B3"/>
    <w:rsid w:val="006F085C"/>
    <w:rsid w:val="006F15CD"/>
    <w:rsid w:val="006F278F"/>
    <w:rsid w:val="006F2D58"/>
    <w:rsid w:val="006F4165"/>
    <w:rsid w:val="006F41BD"/>
    <w:rsid w:val="006F4CBB"/>
    <w:rsid w:val="006F5374"/>
    <w:rsid w:val="006F54B8"/>
    <w:rsid w:val="006F59F5"/>
    <w:rsid w:val="006F651F"/>
    <w:rsid w:val="006F6A03"/>
    <w:rsid w:val="006F71D6"/>
    <w:rsid w:val="006F754A"/>
    <w:rsid w:val="006F7E34"/>
    <w:rsid w:val="00700772"/>
    <w:rsid w:val="00700B27"/>
    <w:rsid w:val="00700EF2"/>
    <w:rsid w:val="0070224A"/>
    <w:rsid w:val="00702443"/>
    <w:rsid w:val="007034F0"/>
    <w:rsid w:val="00703658"/>
    <w:rsid w:val="00703A83"/>
    <w:rsid w:val="00707673"/>
    <w:rsid w:val="00707781"/>
    <w:rsid w:val="007101B8"/>
    <w:rsid w:val="00711089"/>
    <w:rsid w:val="00713A4D"/>
    <w:rsid w:val="00714499"/>
    <w:rsid w:val="00715B33"/>
    <w:rsid w:val="00720188"/>
    <w:rsid w:val="00720887"/>
    <w:rsid w:val="007208DB"/>
    <w:rsid w:val="00720F12"/>
    <w:rsid w:val="00721AEF"/>
    <w:rsid w:val="00721D3C"/>
    <w:rsid w:val="00722D8D"/>
    <w:rsid w:val="00723914"/>
    <w:rsid w:val="00723E55"/>
    <w:rsid w:val="00724C28"/>
    <w:rsid w:val="00724DEC"/>
    <w:rsid w:val="00727009"/>
    <w:rsid w:val="00727BC3"/>
    <w:rsid w:val="00731C98"/>
    <w:rsid w:val="00732895"/>
    <w:rsid w:val="00732CE8"/>
    <w:rsid w:val="007333FB"/>
    <w:rsid w:val="00734B98"/>
    <w:rsid w:val="007350E1"/>
    <w:rsid w:val="007368B9"/>
    <w:rsid w:val="00736AAF"/>
    <w:rsid w:val="00736D3C"/>
    <w:rsid w:val="00741C89"/>
    <w:rsid w:val="00741CCC"/>
    <w:rsid w:val="00743511"/>
    <w:rsid w:val="00743808"/>
    <w:rsid w:val="007450E0"/>
    <w:rsid w:val="007462CD"/>
    <w:rsid w:val="00747BE5"/>
    <w:rsid w:val="00751951"/>
    <w:rsid w:val="007519CB"/>
    <w:rsid w:val="00751EA6"/>
    <w:rsid w:val="00752F9F"/>
    <w:rsid w:val="007533F4"/>
    <w:rsid w:val="0075570D"/>
    <w:rsid w:val="0076095C"/>
    <w:rsid w:val="00760A72"/>
    <w:rsid w:val="00763022"/>
    <w:rsid w:val="00764205"/>
    <w:rsid w:val="00765DB8"/>
    <w:rsid w:val="00765E76"/>
    <w:rsid w:val="00766741"/>
    <w:rsid w:val="00766C3A"/>
    <w:rsid w:val="00767CE1"/>
    <w:rsid w:val="00767F0C"/>
    <w:rsid w:val="00770E91"/>
    <w:rsid w:val="00771A65"/>
    <w:rsid w:val="00773249"/>
    <w:rsid w:val="007754E9"/>
    <w:rsid w:val="007755FA"/>
    <w:rsid w:val="00776AE9"/>
    <w:rsid w:val="00776B5D"/>
    <w:rsid w:val="007771A1"/>
    <w:rsid w:val="0077739A"/>
    <w:rsid w:val="00780379"/>
    <w:rsid w:val="00782DBE"/>
    <w:rsid w:val="0078496E"/>
    <w:rsid w:val="00786711"/>
    <w:rsid w:val="0078781D"/>
    <w:rsid w:val="00787825"/>
    <w:rsid w:val="007879B5"/>
    <w:rsid w:val="00787B27"/>
    <w:rsid w:val="00787DFD"/>
    <w:rsid w:val="007924D6"/>
    <w:rsid w:val="0079343C"/>
    <w:rsid w:val="00793A23"/>
    <w:rsid w:val="007956CD"/>
    <w:rsid w:val="007966ED"/>
    <w:rsid w:val="00796F5B"/>
    <w:rsid w:val="00797352"/>
    <w:rsid w:val="007A0E41"/>
    <w:rsid w:val="007A0E61"/>
    <w:rsid w:val="007A1546"/>
    <w:rsid w:val="007A1902"/>
    <w:rsid w:val="007A2F07"/>
    <w:rsid w:val="007A3A9B"/>
    <w:rsid w:val="007A3F67"/>
    <w:rsid w:val="007A4820"/>
    <w:rsid w:val="007A4894"/>
    <w:rsid w:val="007A6928"/>
    <w:rsid w:val="007A79B5"/>
    <w:rsid w:val="007B05CE"/>
    <w:rsid w:val="007B1718"/>
    <w:rsid w:val="007B1F36"/>
    <w:rsid w:val="007B274E"/>
    <w:rsid w:val="007B3933"/>
    <w:rsid w:val="007B3C20"/>
    <w:rsid w:val="007B5FEC"/>
    <w:rsid w:val="007B6A3A"/>
    <w:rsid w:val="007B6A9D"/>
    <w:rsid w:val="007B77E4"/>
    <w:rsid w:val="007B7E06"/>
    <w:rsid w:val="007B7E69"/>
    <w:rsid w:val="007C1917"/>
    <w:rsid w:val="007C2FBE"/>
    <w:rsid w:val="007C2FFB"/>
    <w:rsid w:val="007C35EE"/>
    <w:rsid w:val="007C39C9"/>
    <w:rsid w:val="007C40FB"/>
    <w:rsid w:val="007C410E"/>
    <w:rsid w:val="007C662C"/>
    <w:rsid w:val="007C6C9E"/>
    <w:rsid w:val="007C6CD8"/>
    <w:rsid w:val="007C70A6"/>
    <w:rsid w:val="007C7568"/>
    <w:rsid w:val="007D0803"/>
    <w:rsid w:val="007D0D07"/>
    <w:rsid w:val="007D0E5C"/>
    <w:rsid w:val="007D265F"/>
    <w:rsid w:val="007D52B9"/>
    <w:rsid w:val="007D5AD3"/>
    <w:rsid w:val="007D665D"/>
    <w:rsid w:val="007D697F"/>
    <w:rsid w:val="007D6A0F"/>
    <w:rsid w:val="007D7BC7"/>
    <w:rsid w:val="007E017B"/>
    <w:rsid w:val="007E01C4"/>
    <w:rsid w:val="007E0C56"/>
    <w:rsid w:val="007E0E0C"/>
    <w:rsid w:val="007E101E"/>
    <w:rsid w:val="007E215E"/>
    <w:rsid w:val="007E2164"/>
    <w:rsid w:val="007E2375"/>
    <w:rsid w:val="007E26D5"/>
    <w:rsid w:val="007E293F"/>
    <w:rsid w:val="007E2D5D"/>
    <w:rsid w:val="007E2EC5"/>
    <w:rsid w:val="007E397B"/>
    <w:rsid w:val="007E4650"/>
    <w:rsid w:val="007E51C0"/>
    <w:rsid w:val="007E5A7A"/>
    <w:rsid w:val="007E5AD5"/>
    <w:rsid w:val="007E6047"/>
    <w:rsid w:val="007E6F82"/>
    <w:rsid w:val="007E7C9E"/>
    <w:rsid w:val="007E7D4A"/>
    <w:rsid w:val="007F05A4"/>
    <w:rsid w:val="007F1E40"/>
    <w:rsid w:val="007F26D5"/>
    <w:rsid w:val="007F33F9"/>
    <w:rsid w:val="007F55EA"/>
    <w:rsid w:val="007F57A3"/>
    <w:rsid w:val="007F5F61"/>
    <w:rsid w:val="007F606E"/>
    <w:rsid w:val="007F6CEE"/>
    <w:rsid w:val="007F76C1"/>
    <w:rsid w:val="00800B19"/>
    <w:rsid w:val="00801D42"/>
    <w:rsid w:val="00801FC9"/>
    <w:rsid w:val="00802FAF"/>
    <w:rsid w:val="0080300D"/>
    <w:rsid w:val="008035D4"/>
    <w:rsid w:val="00803863"/>
    <w:rsid w:val="00803C94"/>
    <w:rsid w:val="00804220"/>
    <w:rsid w:val="008044F0"/>
    <w:rsid w:val="00805963"/>
    <w:rsid w:val="00805DA5"/>
    <w:rsid w:val="00805DC4"/>
    <w:rsid w:val="00805E5A"/>
    <w:rsid w:val="00806CCA"/>
    <w:rsid w:val="008073E5"/>
    <w:rsid w:val="00810099"/>
    <w:rsid w:val="00810532"/>
    <w:rsid w:val="00810DCA"/>
    <w:rsid w:val="00810F4F"/>
    <w:rsid w:val="00812D0F"/>
    <w:rsid w:val="00813D18"/>
    <w:rsid w:val="0081454D"/>
    <w:rsid w:val="00815A57"/>
    <w:rsid w:val="00815DA3"/>
    <w:rsid w:val="00815DC3"/>
    <w:rsid w:val="00816534"/>
    <w:rsid w:val="0081665A"/>
    <w:rsid w:val="008169D3"/>
    <w:rsid w:val="00817EE7"/>
    <w:rsid w:val="008210CC"/>
    <w:rsid w:val="00822213"/>
    <w:rsid w:val="008235E1"/>
    <w:rsid w:val="00823975"/>
    <w:rsid w:val="00824323"/>
    <w:rsid w:val="00825264"/>
    <w:rsid w:val="00825908"/>
    <w:rsid w:val="00826512"/>
    <w:rsid w:val="008278BB"/>
    <w:rsid w:val="008301FB"/>
    <w:rsid w:val="00830417"/>
    <w:rsid w:val="00831328"/>
    <w:rsid w:val="00831713"/>
    <w:rsid w:val="008327AB"/>
    <w:rsid w:val="00832974"/>
    <w:rsid w:val="00832C56"/>
    <w:rsid w:val="00832EB7"/>
    <w:rsid w:val="00836C2F"/>
    <w:rsid w:val="00837583"/>
    <w:rsid w:val="008402F6"/>
    <w:rsid w:val="0084171D"/>
    <w:rsid w:val="008418FC"/>
    <w:rsid w:val="00841B4C"/>
    <w:rsid w:val="00841D90"/>
    <w:rsid w:val="008437E6"/>
    <w:rsid w:val="008438E4"/>
    <w:rsid w:val="0084390D"/>
    <w:rsid w:val="00844285"/>
    <w:rsid w:val="00845303"/>
    <w:rsid w:val="00845722"/>
    <w:rsid w:val="00845871"/>
    <w:rsid w:val="00847A3A"/>
    <w:rsid w:val="00850F3A"/>
    <w:rsid w:val="00851195"/>
    <w:rsid w:val="00851513"/>
    <w:rsid w:val="0085237D"/>
    <w:rsid w:val="00852BC8"/>
    <w:rsid w:val="008531DA"/>
    <w:rsid w:val="00853663"/>
    <w:rsid w:val="008554A3"/>
    <w:rsid w:val="008555D4"/>
    <w:rsid w:val="0085576B"/>
    <w:rsid w:val="00855DFA"/>
    <w:rsid w:val="00856439"/>
    <w:rsid w:val="008565D4"/>
    <w:rsid w:val="0085662D"/>
    <w:rsid w:val="00856B3D"/>
    <w:rsid w:val="0085772B"/>
    <w:rsid w:val="00857775"/>
    <w:rsid w:val="00861DC7"/>
    <w:rsid w:val="008646B3"/>
    <w:rsid w:val="00865889"/>
    <w:rsid w:val="008666EB"/>
    <w:rsid w:val="00870C87"/>
    <w:rsid w:val="00871987"/>
    <w:rsid w:val="00871FE6"/>
    <w:rsid w:val="00872CFA"/>
    <w:rsid w:val="00872D94"/>
    <w:rsid w:val="00873199"/>
    <w:rsid w:val="008733EA"/>
    <w:rsid w:val="008737C7"/>
    <w:rsid w:val="00874606"/>
    <w:rsid w:val="00874D6F"/>
    <w:rsid w:val="00875719"/>
    <w:rsid w:val="008762B4"/>
    <w:rsid w:val="00876473"/>
    <w:rsid w:val="00880005"/>
    <w:rsid w:val="0088030D"/>
    <w:rsid w:val="008810BB"/>
    <w:rsid w:val="008810BF"/>
    <w:rsid w:val="00882B04"/>
    <w:rsid w:val="00883499"/>
    <w:rsid w:val="008842D8"/>
    <w:rsid w:val="00884CB1"/>
    <w:rsid w:val="00885156"/>
    <w:rsid w:val="00885689"/>
    <w:rsid w:val="00885BD7"/>
    <w:rsid w:val="00886A5B"/>
    <w:rsid w:val="00886B0A"/>
    <w:rsid w:val="008875A6"/>
    <w:rsid w:val="0089048A"/>
    <w:rsid w:val="008917C0"/>
    <w:rsid w:val="00891C73"/>
    <w:rsid w:val="00892652"/>
    <w:rsid w:val="008926D2"/>
    <w:rsid w:val="00892901"/>
    <w:rsid w:val="00893A95"/>
    <w:rsid w:val="008947D8"/>
    <w:rsid w:val="0089635D"/>
    <w:rsid w:val="00896CDB"/>
    <w:rsid w:val="008976E8"/>
    <w:rsid w:val="00897C9A"/>
    <w:rsid w:val="00897E3A"/>
    <w:rsid w:val="008A0715"/>
    <w:rsid w:val="008A07D3"/>
    <w:rsid w:val="008A181E"/>
    <w:rsid w:val="008A185B"/>
    <w:rsid w:val="008A2C50"/>
    <w:rsid w:val="008A5201"/>
    <w:rsid w:val="008A724D"/>
    <w:rsid w:val="008B0DE9"/>
    <w:rsid w:val="008B3FAD"/>
    <w:rsid w:val="008B417D"/>
    <w:rsid w:val="008B41AE"/>
    <w:rsid w:val="008B4726"/>
    <w:rsid w:val="008B5C19"/>
    <w:rsid w:val="008B5DF6"/>
    <w:rsid w:val="008B70B1"/>
    <w:rsid w:val="008B73E6"/>
    <w:rsid w:val="008C02C8"/>
    <w:rsid w:val="008C0DDA"/>
    <w:rsid w:val="008C1223"/>
    <w:rsid w:val="008C1F7B"/>
    <w:rsid w:val="008C2695"/>
    <w:rsid w:val="008C3C2D"/>
    <w:rsid w:val="008C4638"/>
    <w:rsid w:val="008C4961"/>
    <w:rsid w:val="008C53E9"/>
    <w:rsid w:val="008C5477"/>
    <w:rsid w:val="008C56D0"/>
    <w:rsid w:val="008C6101"/>
    <w:rsid w:val="008C62BB"/>
    <w:rsid w:val="008C7499"/>
    <w:rsid w:val="008D1799"/>
    <w:rsid w:val="008D2393"/>
    <w:rsid w:val="008D26F2"/>
    <w:rsid w:val="008D6C3A"/>
    <w:rsid w:val="008D6CE1"/>
    <w:rsid w:val="008E0BBD"/>
    <w:rsid w:val="008E2987"/>
    <w:rsid w:val="008E35A9"/>
    <w:rsid w:val="008E37F0"/>
    <w:rsid w:val="008E4153"/>
    <w:rsid w:val="008E441D"/>
    <w:rsid w:val="008E4B12"/>
    <w:rsid w:val="008E516D"/>
    <w:rsid w:val="008E6ABE"/>
    <w:rsid w:val="008E7204"/>
    <w:rsid w:val="008F1279"/>
    <w:rsid w:val="008F1835"/>
    <w:rsid w:val="008F2399"/>
    <w:rsid w:val="008F3A61"/>
    <w:rsid w:val="008F3ABD"/>
    <w:rsid w:val="008F3D3F"/>
    <w:rsid w:val="008F4240"/>
    <w:rsid w:val="008F4E78"/>
    <w:rsid w:val="008F5E20"/>
    <w:rsid w:val="008F6D63"/>
    <w:rsid w:val="008F7A1B"/>
    <w:rsid w:val="00900139"/>
    <w:rsid w:val="00900157"/>
    <w:rsid w:val="009007D5"/>
    <w:rsid w:val="009015FB"/>
    <w:rsid w:val="00902B98"/>
    <w:rsid w:val="0090322C"/>
    <w:rsid w:val="0090362F"/>
    <w:rsid w:val="00903C64"/>
    <w:rsid w:val="00903E91"/>
    <w:rsid w:val="0090426C"/>
    <w:rsid w:val="0090467B"/>
    <w:rsid w:val="009051B7"/>
    <w:rsid w:val="0090544A"/>
    <w:rsid w:val="009055F9"/>
    <w:rsid w:val="00906033"/>
    <w:rsid w:val="00906A0C"/>
    <w:rsid w:val="00907784"/>
    <w:rsid w:val="00907E75"/>
    <w:rsid w:val="00910EE6"/>
    <w:rsid w:val="00911089"/>
    <w:rsid w:val="00911697"/>
    <w:rsid w:val="00911B19"/>
    <w:rsid w:val="00911B3F"/>
    <w:rsid w:val="0091267C"/>
    <w:rsid w:val="0091274A"/>
    <w:rsid w:val="00912760"/>
    <w:rsid w:val="00912CF9"/>
    <w:rsid w:val="00912D2A"/>
    <w:rsid w:val="009137BA"/>
    <w:rsid w:val="009170E5"/>
    <w:rsid w:val="00917284"/>
    <w:rsid w:val="00921089"/>
    <w:rsid w:val="00921C16"/>
    <w:rsid w:val="00921E09"/>
    <w:rsid w:val="00922450"/>
    <w:rsid w:val="0092263B"/>
    <w:rsid w:val="009229CB"/>
    <w:rsid w:val="00923472"/>
    <w:rsid w:val="00923D28"/>
    <w:rsid w:val="009258BE"/>
    <w:rsid w:val="00925C4D"/>
    <w:rsid w:val="00925C56"/>
    <w:rsid w:val="00925E40"/>
    <w:rsid w:val="00926F58"/>
    <w:rsid w:val="009271AA"/>
    <w:rsid w:val="00927852"/>
    <w:rsid w:val="009315EF"/>
    <w:rsid w:val="00931890"/>
    <w:rsid w:val="009329A1"/>
    <w:rsid w:val="0093382C"/>
    <w:rsid w:val="00935E46"/>
    <w:rsid w:val="00936526"/>
    <w:rsid w:val="00936E04"/>
    <w:rsid w:val="009379E5"/>
    <w:rsid w:val="00940DD1"/>
    <w:rsid w:val="0094439D"/>
    <w:rsid w:val="009445A6"/>
    <w:rsid w:val="0094533A"/>
    <w:rsid w:val="0094592E"/>
    <w:rsid w:val="00945E17"/>
    <w:rsid w:val="00945FB0"/>
    <w:rsid w:val="00947AD8"/>
    <w:rsid w:val="00947C20"/>
    <w:rsid w:val="009514AD"/>
    <w:rsid w:val="00951923"/>
    <w:rsid w:val="00951E53"/>
    <w:rsid w:val="00952C92"/>
    <w:rsid w:val="00954155"/>
    <w:rsid w:val="009545FF"/>
    <w:rsid w:val="009559C9"/>
    <w:rsid w:val="0096008E"/>
    <w:rsid w:val="00960627"/>
    <w:rsid w:val="00960727"/>
    <w:rsid w:val="00960F63"/>
    <w:rsid w:val="009614AC"/>
    <w:rsid w:val="00961560"/>
    <w:rsid w:val="009619DE"/>
    <w:rsid w:val="00962493"/>
    <w:rsid w:val="00962C4D"/>
    <w:rsid w:val="00962D0E"/>
    <w:rsid w:val="00963368"/>
    <w:rsid w:val="00963484"/>
    <w:rsid w:val="00963B23"/>
    <w:rsid w:val="00963DF1"/>
    <w:rsid w:val="009647B5"/>
    <w:rsid w:val="009655F7"/>
    <w:rsid w:val="00966D50"/>
    <w:rsid w:val="00966DC9"/>
    <w:rsid w:val="00967BA5"/>
    <w:rsid w:val="0097044A"/>
    <w:rsid w:val="00971051"/>
    <w:rsid w:val="009747D9"/>
    <w:rsid w:val="0097610E"/>
    <w:rsid w:val="00976557"/>
    <w:rsid w:val="00976BA7"/>
    <w:rsid w:val="00976D16"/>
    <w:rsid w:val="009773E2"/>
    <w:rsid w:val="00981569"/>
    <w:rsid w:val="009815CB"/>
    <w:rsid w:val="009819CB"/>
    <w:rsid w:val="00981B55"/>
    <w:rsid w:val="009821C4"/>
    <w:rsid w:val="0098253B"/>
    <w:rsid w:val="00982A8C"/>
    <w:rsid w:val="00982AEE"/>
    <w:rsid w:val="0098392B"/>
    <w:rsid w:val="00984C6F"/>
    <w:rsid w:val="00985EB7"/>
    <w:rsid w:val="00986ABE"/>
    <w:rsid w:val="00987EC4"/>
    <w:rsid w:val="009902F5"/>
    <w:rsid w:val="0099144C"/>
    <w:rsid w:val="009918A7"/>
    <w:rsid w:val="009919D0"/>
    <w:rsid w:val="00992E29"/>
    <w:rsid w:val="00993097"/>
    <w:rsid w:val="00994862"/>
    <w:rsid w:val="00995735"/>
    <w:rsid w:val="009969AE"/>
    <w:rsid w:val="00996CC5"/>
    <w:rsid w:val="00996D47"/>
    <w:rsid w:val="009A09A8"/>
    <w:rsid w:val="009A0D5A"/>
    <w:rsid w:val="009A27D0"/>
    <w:rsid w:val="009A2FD8"/>
    <w:rsid w:val="009A3930"/>
    <w:rsid w:val="009A3E83"/>
    <w:rsid w:val="009A40B3"/>
    <w:rsid w:val="009A4591"/>
    <w:rsid w:val="009A45DE"/>
    <w:rsid w:val="009A508B"/>
    <w:rsid w:val="009A50F7"/>
    <w:rsid w:val="009A5980"/>
    <w:rsid w:val="009A5C9A"/>
    <w:rsid w:val="009A6182"/>
    <w:rsid w:val="009A6491"/>
    <w:rsid w:val="009A753A"/>
    <w:rsid w:val="009A77D1"/>
    <w:rsid w:val="009B2A2A"/>
    <w:rsid w:val="009B3210"/>
    <w:rsid w:val="009B4956"/>
    <w:rsid w:val="009B5FF6"/>
    <w:rsid w:val="009B6431"/>
    <w:rsid w:val="009B7FAC"/>
    <w:rsid w:val="009C0725"/>
    <w:rsid w:val="009C0B0B"/>
    <w:rsid w:val="009C1052"/>
    <w:rsid w:val="009C1A78"/>
    <w:rsid w:val="009C2CD9"/>
    <w:rsid w:val="009C3FA8"/>
    <w:rsid w:val="009C5648"/>
    <w:rsid w:val="009C5AF3"/>
    <w:rsid w:val="009C6408"/>
    <w:rsid w:val="009C6B2F"/>
    <w:rsid w:val="009D0216"/>
    <w:rsid w:val="009D0D67"/>
    <w:rsid w:val="009D305B"/>
    <w:rsid w:val="009D3666"/>
    <w:rsid w:val="009D3F31"/>
    <w:rsid w:val="009D471D"/>
    <w:rsid w:val="009D57F2"/>
    <w:rsid w:val="009D68A6"/>
    <w:rsid w:val="009D6907"/>
    <w:rsid w:val="009D697A"/>
    <w:rsid w:val="009D733D"/>
    <w:rsid w:val="009D7913"/>
    <w:rsid w:val="009D7A5C"/>
    <w:rsid w:val="009E01A1"/>
    <w:rsid w:val="009E147B"/>
    <w:rsid w:val="009E58C5"/>
    <w:rsid w:val="009E5C42"/>
    <w:rsid w:val="009E6276"/>
    <w:rsid w:val="009E6592"/>
    <w:rsid w:val="009E6B03"/>
    <w:rsid w:val="009E6BA3"/>
    <w:rsid w:val="009E7289"/>
    <w:rsid w:val="009E79A2"/>
    <w:rsid w:val="009E7E20"/>
    <w:rsid w:val="009F05E9"/>
    <w:rsid w:val="009F0A0C"/>
    <w:rsid w:val="009F263B"/>
    <w:rsid w:val="009F431B"/>
    <w:rsid w:val="009F5B24"/>
    <w:rsid w:val="00A00844"/>
    <w:rsid w:val="00A01AA1"/>
    <w:rsid w:val="00A0223A"/>
    <w:rsid w:val="00A0260A"/>
    <w:rsid w:val="00A026DD"/>
    <w:rsid w:val="00A02D07"/>
    <w:rsid w:val="00A03352"/>
    <w:rsid w:val="00A04565"/>
    <w:rsid w:val="00A04A92"/>
    <w:rsid w:val="00A04EF9"/>
    <w:rsid w:val="00A06284"/>
    <w:rsid w:val="00A10443"/>
    <w:rsid w:val="00A1088D"/>
    <w:rsid w:val="00A10A02"/>
    <w:rsid w:val="00A118FF"/>
    <w:rsid w:val="00A119BE"/>
    <w:rsid w:val="00A11F26"/>
    <w:rsid w:val="00A12630"/>
    <w:rsid w:val="00A1308B"/>
    <w:rsid w:val="00A152D0"/>
    <w:rsid w:val="00A15FF4"/>
    <w:rsid w:val="00A16DB0"/>
    <w:rsid w:val="00A17D94"/>
    <w:rsid w:val="00A200AE"/>
    <w:rsid w:val="00A20B67"/>
    <w:rsid w:val="00A224BE"/>
    <w:rsid w:val="00A23CF6"/>
    <w:rsid w:val="00A24611"/>
    <w:rsid w:val="00A25F18"/>
    <w:rsid w:val="00A26051"/>
    <w:rsid w:val="00A27058"/>
    <w:rsid w:val="00A275E8"/>
    <w:rsid w:val="00A27CB4"/>
    <w:rsid w:val="00A27E21"/>
    <w:rsid w:val="00A3005E"/>
    <w:rsid w:val="00A3097C"/>
    <w:rsid w:val="00A30DE9"/>
    <w:rsid w:val="00A321D6"/>
    <w:rsid w:val="00A3303D"/>
    <w:rsid w:val="00A33B8F"/>
    <w:rsid w:val="00A34124"/>
    <w:rsid w:val="00A34676"/>
    <w:rsid w:val="00A34776"/>
    <w:rsid w:val="00A3498C"/>
    <w:rsid w:val="00A351FB"/>
    <w:rsid w:val="00A35520"/>
    <w:rsid w:val="00A36B95"/>
    <w:rsid w:val="00A4016C"/>
    <w:rsid w:val="00A401D6"/>
    <w:rsid w:val="00A4030C"/>
    <w:rsid w:val="00A4173F"/>
    <w:rsid w:val="00A42252"/>
    <w:rsid w:val="00A423E3"/>
    <w:rsid w:val="00A43C05"/>
    <w:rsid w:val="00A447D6"/>
    <w:rsid w:val="00A4482C"/>
    <w:rsid w:val="00A448AB"/>
    <w:rsid w:val="00A44967"/>
    <w:rsid w:val="00A44B33"/>
    <w:rsid w:val="00A45659"/>
    <w:rsid w:val="00A462B2"/>
    <w:rsid w:val="00A46E62"/>
    <w:rsid w:val="00A47555"/>
    <w:rsid w:val="00A477F3"/>
    <w:rsid w:val="00A5118A"/>
    <w:rsid w:val="00A52A09"/>
    <w:rsid w:val="00A52D02"/>
    <w:rsid w:val="00A53A07"/>
    <w:rsid w:val="00A53D3E"/>
    <w:rsid w:val="00A5546E"/>
    <w:rsid w:val="00A554BD"/>
    <w:rsid w:val="00A55BC2"/>
    <w:rsid w:val="00A5643F"/>
    <w:rsid w:val="00A56F77"/>
    <w:rsid w:val="00A574D0"/>
    <w:rsid w:val="00A60CA0"/>
    <w:rsid w:val="00A60CA1"/>
    <w:rsid w:val="00A60CF2"/>
    <w:rsid w:val="00A61478"/>
    <w:rsid w:val="00A61518"/>
    <w:rsid w:val="00A61CD2"/>
    <w:rsid w:val="00A6363F"/>
    <w:rsid w:val="00A64378"/>
    <w:rsid w:val="00A64514"/>
    <w:rsid w:val="00A65AC1"/>
    <w:rsid w:val="00A65E6C"/>
    <w:rsid w:val="00A6634F"/>
    <w:rsid w:val="00A6651D"/>
    <w:rsid w:val="00A66520"/>
    <w:rsid w:val="00A66593"/>
    <w:rsid w:val="00A66878"/>
    <w:rsid w:val="00A706B7"/>
    <w:rsid w:val="00A70846"/>
    <w:rsid w:val="00A72002"/>
    <w:rsid w:val="00A7411A"/>
    <w:rsid w:val="00A74C17"/>
    <w:rsid w:val="00A8045C"/>
    <w:rsid w:val="00A81D8B"/>
    <w:rsid w:val="00A82C5A"/>
    <w:rsid w:val="00A83953"/>
    <w:rsid w:val="00A8405F"/>
    <w:rsid w:val="00A8534F"/>
    <w:rsid w:val="00A8554B"/>
    <w:rsid w:val="00A8598C"/>
    <w:rsid w:val="00A864E1"/>
    <w:rsid w:val="00A866F1"/>
    <w:rsid w:val="00A86D70"/>
    <w:rsid w:val="00A8767A"/>
    <w:rsid w:val="00A9001D"/>
    <w:rsid w:val="00A90431"/>
    <w:rsid w:val="00A9111E"/>
    <w:rsid w:val="00A919A9"/>
    <w:rsid w:val="00A92801"/>
    <w:rsid w:val="00A93828"/>
    <w:rsid w:val="00A94854"/>
    <w:rsid w:val="00A94940"/>
    <w:rsid w:val="00A95CC3"/>
    <w:rsid w:val="00A96AD5"/>
    <w:rsid w:val="00A97793"/>
    <w:rsid w:val="00AA2A51"/>
    <w:rsid w:val="00AA3B0D"/>
    <w:rsid w:val="00AA3EE2"/>
    <w:rsid w:val="00AA750C"/>
    <w:rsid w:val="00AB0D75"/>
    <w:rsid w:val="00AB1D8A"/>
    <w:rsid w:val="00AB3750"/>
    <w:rsid w:val="00AB45F6"/>
    <w:rsid w:val="00AB6061"/>
    <w:rsid w:val="00AB6924"/>
    <w:rsid w:val="00AB6A89"/>
    <w:rsid w:val="00AB7AA4"/>
    <w:rsid w:val="00AB7DF1"/>
    <w:rsid w:val="00AB7ECE"/>
    <w:rsid w:val="00AC0289"/>
    <w:rsid w:val="00AC02D4"/>
    <w:rsid w:val="00AC0C7A"/>
    <w:rsid w:val="00AC153D"/>
    <w:rsid w:val="00AC1CEE"/>
    <w:rsid w:val="00AC1DFD"/>
    <w:rsid w:val="00AC3562"/>
    <w:rsid w:val="00AC45C3"/>
    <w:rsid w:val="00AC4D5D"/>
    <w:rsid w:val="00AC5A78"/>
    <w:rsid w:val="00AC62BA"/>
    <w:rsid w:val="00AC6F2C"/>
    <w:rsid w:val="00AC71E5"/>
    <w:rsid w:val="00AD0174"/>
    <w:rsid w:val="00AD0B77"/>
    <w:rsid w:val="00AD11FA"/>
    <w:rsid w:val="00AD194E"/>
    <w:rsid w:val="00AD1B5A"/>
    <w:rsid w:val="00AD3FAA"/>
    <w:rsid w:val="00AD4336"/>
    <w:rsid w:val="00AD66BA"/>
    <w:rsid w:val="00AD6707"/>
    <w:rsid w:val="00AD7F70"/>
    <w:rsid w:val="00AE057C"/>
    <w:rsid w:val="00AE0B1E"/>
    <w:rsid w:val="00AE29E3"/>
    <w:rsid w:val="00AE2B62"/>
    <w:rsid w:val="00AE2CEA"/>
    <w:rsid w:val="00AE3D74"/>
    <w:rsid w:val="00AE421C"/>
    <w:rsid w:val="00AE4683"/>
    <w:rsid w:val="00AE521F"/>
    <w:rsid w:val="00AE6B2C"/>
    <w:rsid w:val="00AE6CA1"/>
    <w:rsid w:val="00AE791B"/>
    <w:rsid w:val="00AE7EC2"/>
    <w:rsid w:val="00AF0232"/>
    <w:rsid w:val="00AF08AD"/>
    <w:rsid w:val="00AF0F99"/>
    <w:rsid w:val="00AF11E1"/>
    <w:rsid w:val="00AF1488"/>
    <w:rsid w:val="00AF36D2"/>
    <w:rsid w:val="00AF4DA8"/>
    <w:rsid w:val="00AF5091"/>
    <w:rsid w:val="00AF516B"/>
    <w:rsid w:val="00AF5D32"/>
    <w:rsid w:val="00AF6102"/>
    <w:rsid w:val="00AF624C"/>
    <w:rsid w:val="00AF6E4B"/>
    <w:rsid w:val="00AF73BF"/>
    <w:rsid w:val="00AF7998"/>
    <w:rsid w:val="00B00A12"/>
    <w:rsid w:val="00B010D2"/>
    <w:rsid w:val="00B040D5"/>
    <w:rsid w:val="00B043B3"/>
    <w:rsid w:val="00B05558"/>
    <w:rsid w:val="00B0562D"/>
    <w:rsid w:val="00B06311"/>
    <w:rsid w:val="00B07E5C"/>
    <w:rsid w:val="00B10277"/>
    <w:rsid w:val="00B10591"/>
    <w:rsid w:val="00B108E7"/>
    <w:rsid w:val="00B10BCE"/>
    <w:rsid w:val="00B11468"/>
    <w:rsid w:val="00B12536"/>
    <w:rsid w:val="00B12C16"/>
    <w:rsid w:val="00B135B3"/>
    <w:rsid w:val="00B13798"/>
    <w:rsid w:val="00B1453C"/>
    <w:rsid w:val="00B145D9"/>
    <w:rsid w:val="00B15154"/>
    <w:rsid w:val="00B1541E"/>
    <w:rsid w:val="00B15AE9"/>
    <w:rsid w:val="00B15B6F"/>
    <w:rsid w:val="00B15D4F"/>
    <w:rsid w:val="00B165B2"/>
    <w:rsid w:val="00B175B3"/>
    <w:rsid w:val="00B1770A"/>
    <w:rsid w:val="00B20337"/>
    <w:rsid w:val="00B20D6B"/>
    <w:rsid w:val="00B2150C"/>
    <w:rsid w:val="00B233C4"/>
    <w:rsid w:val="00B23E2C"/>
    <w:rsid w:val="00B241E0"/>
    <w:rsid w:val="00B2535C"/>
    <w:rsid w:val="00B25FC3"/>
    <w:rsid w:val="00B27369"/>
    <w:rsid w:val="00B31F15"/>
    <w:rsid w:val="00B31F27"/>
    <w:rsid w:val="00B33070"/>
    <w:rsid w:val="00B343B2"/>
    <w:rsid w:val="00B34930"/>
    <w:rsid w:val="00B349A0"/>
    <w:rsid w:val="00B34EBD"/>
    <w:rsid w:val="00B352C5"/>
    <w:rsid w:val="00B3584D"/>
    <w:rsid w:val="00B36E18"/>
    <w:rsid w:val="00B4001F"/>
    <w:rsid w:val="00B4033D"/>
    <w:rsid w:val="00B41AA3"/>
    <w:rsid w:val="00B41B3F"/>
    <w:rsid w:val="00B44818"/>
    <w:rsid w:val="00B44B4D"/>
    <w:rsid w:val="00B44F80"/>
    <w:rsid w:val="00B454B0"/>
    <w:rsid w:val="00B45ECC"/>
    <w:rsid w:val="00B460D4"/>
    <w:rsid w:val="00B4714A"/>
    <w:rsid w:val="00B47219"/>
    <w:rsid w:val="00B47F71"/>
    <w:rsid w:val="00B50B22"/>
    <w:rsid w:val="00B51220"/>
    <w:rsid w:val="00B512BE"/>
    <w:rsid w:val="00B51A9B"/>
    <w:rsid w:val="00B52298"/>
    <w:rsid w:val="00B53634"/>
    <w:rsid w:val="00B53DB3"/>
    <w:rsid w:val="00B54E9F"/>
    <w:rsid w:val="00B55B39"/>
    <w:rsid w:val="00B5613C"/>
    <w:rsid w:val="00B56431"/>
    <w:rsid w:val="00B564C0"/>
    <w:rsid w:val="00B60510"/>
    <w:rsid w:val="00B6080B"/>
    <w:rsid w:val="00B60BB7"/>
    <w:rsid w:val="00B61D0A"/>
    <w:rsid w:val="00B6216A"/>
    <w:rsid w:val="00B624F7"/>
    <w:rsid w:val="00B62A40"/>
    <w:rsid w:val="00B62AF6"/>
    <w:rsid w:val="00B64A8D"/>
    <w:rsid w:val="00B6525E"/>
    <w:rsid w:val="00B655C6"/>
    <w:rsid w:val="00B659D4"/>
    <w:rsid w:val="00B65BD6"/>
    <w:rsid w:val="00B663AA"/>
    <w:rsid w:val="00B6648D"/>
    <w:rsid w:val="00B66C05"/>
    <w:rsid w:val="00B66DC9"/>
    <w:rsid w:val="00B66E76"/>
    <w:rsid w:val="00B701B7"/>
    <w:rsid w:val="00B70233"/>
    <w:rsid w:val="00B71388"/>
    <w:rsid w:val="00B72889"/>
    <w:rsid w:val="00B7291A"/>
    <w:rsid w:val="00B72944"/>
    <w:rsid w:val="00B72D22"/>
    <w:rsid w:val="00B732A2"/>
    <w:rsid w:val="00B74084"/>
    <w:rsid w:val="00B7440D"/>
    <w:rsid w:val="00B7669E"/>
    <w:rsid w:val="00B772E7"/>
    <w:rsid w:val="00B77749"/>
    <w:rsid w:val="00B77F2D"/>
    <w:rsid w:val="00B80428"/>
    <w:rsid w:val="00B8073D"/>
    <w:rsid w:val="00B80D93"/>
    <w:rsid w:val="00B841F6"/>
    <w:rsid w:val="00B84C55"/>
    <w:rsid w:val="00B8510E"/>
    <w:rsid w:val="00B86CFC"/>
    <w:rsid w:val="00B872C0"/>
    <w:rsid w:val="00B90A19"/>
    <w:rsid w:val="00B90A6F"/>
    <w:rsid w:val="00B9318B"/>
    <w:rsid w:val="00B93E37"/>
    <w:rsid w:val="00B94A8B"/>
    <w:rsid w:val="00B95436"/>
    <w:rsid w:val="00B967E0"/>
    <w:rsid w:val="00B970FD"/>
    <w:rsid w:val="00B97950"/>
    <w:rsid w:val="00B97C94"/>
    <w:rsid w:val="00BA0024"/>
    <w:rsid w:val="00BA05D1"/>
    <w:rsid w:val="00BA0C16"/>
    <w:rsid w:val="00BA1A6E"/>
    <w:rsid w:val="00BA2641"/>
    <w:rsid w:val="00BA5173"/>
    <w:rsid w:val="00BA5258"/>
    <w:rsid w:val="00BA5ED4"/>
    <w:rsid w:val="00BA6251"/>
    <w:rsid w:val="00BA6869"/>
    <w:rsid w:val="00BA6A00"/>
    <w:rsid w:val="00BA7CA9"/>
    <w:rsid w:val="00BB1131"/>
    <w:rsid w:val="00BB2A16"/>
    <w:rsid w:val="00BB4A46"/>
    <w:rsid w:val="00BB5FDB"/>
    <w:rsid w:val="00BB6E8E"/>
    <w:rsid w:val="00BB6FA1"/>
    <w:rsid w:val="00BB752F"/>
    <w:rsid w:val="00BB7FD1"/>
    <w:rsid w:val="00BC2F3F"/>
    <w:rsid w:val="00BC373E"/>
    <w:rsid w:val="00BC4A9D"/>
    <w:rsid w:val="00BC5DD7"/>
    <w:rsid w:val="00BC6FBB"/>
    <w:rsid w:val="00BC7AD1"/>
    <w:rsid w:val="00BC7E1E"/>
    <w:rsid w:val="00BD1040"/>
    <w:rsid w:val="00BD2F76"/>
    <w:rsid w:val="00BD342E"/>
    <w:rsid w:val="00BD3978"/>
    <w:rsid w:val="00BD3B2A"/>
    <w:rsid w:val="00BD3E58"/>
    <w:rsid w:val="00BD3FFF"/>
    <w:rsid w:val="00BD4450"/>
    <w:rsid w:val="00BD45D8"/>
    <w:rsid w:val="00BD481F"/>
    <w:rsid w:val="00BD4A7B"/>
    <w:rsid w:val="00BD4BFF"/>
    <w:rsid w:val="00BD6BDD"/>
    <w:rsid w:val="00BD7CAB"/>
    <w:rsid w:val="00BD7FAE"/>
    <w:rsid w:val="00BE0555"/>
    <w:rsid w:val="00BE0C13"/>
    <w:rsid w:val="00BE1CD1"/>
    <w:rsid w:val="00BE2D54"/>
    <w:rsid w:val="00BE3ED0"/>
    <w:rsid w:val="00BE42DD"/>
    <w:rsid w:val="00BE4BFB"/>
    <w:rsid w:val="00BE55FF"/>
    <w:rsid w:val="00BE6A01"/>
    <w:rsid w:val="00BE6D98"/>
    <w:rsid w:val="00BE6ECE"/>
    <w:rsid w:val="00BF0757"/>
    <w:rsid w:val="00BF1533"/>
    <w:rsid w:val="00BF15C9"/>
    <w:rsid w:val="00BF2846"/>
    <w:rsid w:val="00BF28A6"/>
    <w:rsid w:val="00BF2D52"/>
    <w:rsid w:val="00BF2E77"/>
    <w:rsid w:val="00BF3883"/>
    <w:rsid w:val="00BF682C"/>
    <w:rsid w:val="00C00616"/>
    <w:rsid w:val="00C009CE"/>
    <w:rsid w:val="00C00AA7"/>
    <w:rsid w:val="00C019B2"/>
    <w:rsid w:val="00C01ADC"/>
    <w:rsid w:val="00C02EF8"/>
    <w:rsid w:val="00C03100"/>
    <w:rsid w:val="00C03700"/>
    <w:rsid w:val="00C04685"/>
    <w:rsid w:val="00C05325"/>
    <w:rsid w:val="00C0573D"/>
    <w:rsid w:val="00C057DB"/>
    <w:rsid w:val="00C05FCC"/>
    <w:rsid w:val="00C06257"/>
    <w:rsid w:val="00C071FE"/>
    <w:rsid w:val="00C1004C"/>
    <w:rsid w:val="00C109B8"/>
    <w:rsid w:val="00C10A92"/>
    <w:rsid w:val="00C10D92"/>
    <w:rsid w:val="00C11734"/>
    <w:rsid w:val="00C1174A"/>
    <w:rsid w:val="00C12D74"/>
    <w:rsid w:val="00C138FC"/>
    <w:rsid w:val="00C13C14"/>
    <w:rsid w:val="00C14E3C"/>
    <w:rsid w:val="00C16B61"/>
    <w:rsid w:val="00C20466"/>
    <w:rsid w:val="00C205BD"/>
    <w:rsid w:val="00C2169F"/>
    <w:rsid w:val="00C21952"/>
    <w:rsid w:val="00C2232A"/>
    <w:rsid w:val="00C2287A"/>
    <w:rsid w:val="00C23466"/>
    <w:rsid w:val="00C23A0B"/>
    <w:rsid w:val="00C24292"/>
    <w:rsid w:val="00C2512A"/>
    <w:rsid w:val="00C252EC"/>
    <w:rsid w:val="00C27239"/>
    <w:rsid w:val="00C30574"/>
    <w:rsid w:val="00C3086D"/>
    <w:rsid w:val="00C30AFD"/>
    <w:rsid w:val="00C31AFD"/>
    <w:rsid w:val="00C3219E"/>
    <w:rsid w:val="00C3220F"/>
    <w:rsid w:val="00C3234D"/>
    <w:rsid w:val="00C32CAC"/>
    <w:rsid w:val="00C32E75"/>
    <w:rsid w:val="00C32F23"/>
    <w:rsid w:val="00C33D79"/>
    <w:rsid w:val="00C341DD"/>
    <w:rsid w:val="00C3453D"/>
    <w:rsid w:val="00C35BBE"/>
    <w:rsid w:val="00C3619E"/>
    <w:rsid w:val="00C364AF"/>
    <w:rsid w:val="00C371F6"/>
    <w:rsid w:val="00C37475"/>
    <w:rsid w:val="00C37B7A"/>
    <w:rsid w:val="00C40511"/>
    <w:rsid w:val="00C41468"/>
    <w:rsid w:val="00C42479"/>
    <w:rsid w:val="00C424A9"/>
    <w:rsid w:val="00C447F2"/>
    <w:rsid w:val="00C44887"/>
    <w:rsid w:val="00C44974"/>
    <w:rsid w:val="00C449BD"/>
    <w:rsid w:val="00C44E97"/>
    <w:rsid w:val="00C450DD"/>
    <w:rsid w:val="00C45B8D"/>
    <w:rsid w:val="00C46900"/>
    <w:rsid w:val="00C46979"/>
    <w:rsid w:val="00C47976"/>
    <w:rsid w:val="00C5019A"/>
    <w:rsid w:val="00C50685"/>
    <w:rsid w:val="00C50974"/>
    <w:rsid w:val="00C50CE5"/>
    <w:rsid w:val="00C52A5A"/>
    <w:rsid w:val="00C534CC"/>
    <w:rsid w:val="00C54A65"/>
    <w:rsid w:val="00C55BA4"/>
    <w:rsid w:val="00C55D04"/>
    <w:rsid w:val="00C560BF"/>
    <w:rsid w:val="00C560EA"/>
    <w:rsid w:val="00C56715"/>
    <w:rsid w:val="00C56788"/>
    <w:rsid w:val="00C569D1"/>
    <w:rsid w:val="00C56B9C"/>
    <w:rsid w:val="00C57999"/>
    <w:rsid w:val="00C6102D"/>
    <w:rsid w:val="00C610D4"/>
    <w:rsid w:val="00C6233F"/>
    <w:rsid w:val="00C6346E"/>
    <w:rsid w:val="00C63745"/>
    <w:rsid w:val="00C63DDC"/>
    <w:rsid w:val="00C647F6"/>
    <w:rsid w:val="00C651E2"/>
    <w:rsid w:val="00C65CF9"/>
    <w:rsid w:val="00C665C9"/>
    <w:rsid w:val="00C66E31"/>
    <w:rsid w:val="00C71D2F"/>
    <w:rsid w:val="00C725CA"/>
    <w:rsid w:val="00C72CB2"/>
    <w:rsid w:val="00C73604"/>
    <w:rsid w:val="00C74BC3"/>
    <w:rsid w:val="00C74FDE"/>
    <w:rsid w:val="00C7512A"/>
    <w:rsid w:val="00C7542A"/>
    <w:rsid w:val="00C75B61"/>
    <w:rsid w:val="00C75D0B"/>
    <w:rsid w:val="00C76C09"/>
    <w:rsid w:val="00C77613"/>
    <w:rsid w:val="00C80572"/>
    <w:rsid w:val="00C8111A"/>
    <w:rsid w:val="00C81175"/>
    <w:rsid w:val="00C83200"/>
    <w:rsid w:val="00C839DE"/>
    <w:rsid w:val="00C83BB3"/>
    <w:rsid w:val="00C852FE"/>
    <w:rsid w:val="00C85601"/>
    <w:rsid w:val="00C8594A"/>
    <w:rsid w:val="00C8681C"/>
    <w:rsid w:val="00C87942"/>
    <w:rsid w:val="00C87B2D"/>
    <w:rsid w:val="00C90216"/>
    <w:rsid w:val="00C90373"/>
    <w:rsid w:val="00C908A8"/>
    <w:rsid w:val="00C91365"/>
    <w:rsid w:val="00C917D4"/>
    <w:rsid w:val="00C9364E"/>
    <w:rsid w:val="00C93ACC"/>
    <w:rsid w:val="00C957B7"/>
    <w:rsid w:val="00C957EE"/>
    <w:rsid w:val="00C964F9"/>
    <w:rsid w:val="00C96658"/>
    <w:rsid w:val="00C969EE"/>
    <w:rsid w:val="00C97350"/>
    <w:rsid w:val="00C97944"/>
    <w:rsid w:val="00CA047D"/>
    <w:rsid w:val="00CA0A10"/>
    <w:rsid w:val="00CA0A87"/>
    <w:rsid w:val="00CA0B88"/>
    <w:rsid w:val="00CA0D3E"/>
    <w:rsid w:val="00CA15DF"/>
    <w:rsid w:val="00CA2071"/>
    <w:rsid w:val="00CA24E2"/>
    <w:rsid w:val="00CA2C41"/>
    <w:rsid w:val="00CA2C42"/>
    <w:rsid w:val="00CA2DC1"/>
    <w:rsid w:val="00CA329E"/>
    <w:rsid w:val="00CA4177"/>
    <w:rsid w:val="00CA4F69"/>
    <w:rsid w:val="00CA5A53"/>
    <w:rsid w:val="00CA5B5F"/>
    <w:rsid w:val="00CA6F15"/>
    <w:rsid w:val="00CA6F2C"/>
    <w:rsid w:val="00CA738D"/>
    <w:rsid w:val="00CA7B9E"/>
    <w:rsid w:val="00CB0604"/>
    <w:rsid w:val="00CB0B66"/>
    <w:rsid w:val="00CB2725"/>
    <w:rsid w:val="00CB291A"/>
    <w:rsid w:val="00CB4002"/>
    <w:rsid w:val="00CB43EC"/>
    <w:rsid w:val="00CB4CF2"/>
    <w:rsid w:val="00CB6056"/>
    <w:rsid w:val="00CB62F9"/>
    <w:rsid w:val="00CB64C2"/>
    <w:rsid w:val="00CB744F"/>
    <w:rsid w:val="00CB777E"/>
    <w:rsid w:val="00CB79B5"/>
    <w:rsid w:val="00CC1401"/>
    <w:rsid w:val="00CC1B1B"/>
    <w:rsid w:val="00CC1D69"/>
    <w:rsid w:val="00CC3769"/>
    <w:rsid w:val="00CC41DB"/>
    <w:rsid w:val="00CC4255"/>
    <w:rsid w:val="00CC4825"/>
    <w:rsid w:val="00CC507F"/>
    <w:rsid w:val="00CC5D60"/>
    <w:rsid w:val="00CC5E41"/>
    <w:rsid w:val="00CC6D1F"/>
    <w:rsid w:val="00CD00B0"/>
    <w:rsid w:val="00CD02D8"/>
    <w:rsid w:val="00CD16FF"/>
    <w:rsid w:val="00CD1F78"/>
    <w:rsid w:val="00CD23A8"/>
    <w:rsid w:val="00CD2A39"/>
    <w:rsid w:val="00CD30B4"/>
    <w:rsid w:val="00CD3232"/>
    <w:rsid w:val="00CD476D"/>
    <w:rsid w:val="00CD4807"/>
    <w:rsid w:val="00CD5BAD"/>
    <w:rsid w:val="00CD6B8A"/>
    <w:rsid w:val="00CD7B1A"/>
    <w:rsid w:val="00CE0469"/>
    <w:rsid w:val="00CE079A"/>
    <w:rsid w:val="00CE1A54"/>
    <w:rsid w:val="00CE1A8F"/>
    <w:rsid w:val="00CE2B04"/>
    <w:rsid w:val="00CE355A"/>
    <w:rsid w:val="00CE5072"/>
    <w:rsid w:val="00CE611B"/>
    <w:rsid w:val="00CE6A92"/>
    <w:rsid w:val="00CE6DDF"/>
    <w:rsid w:val="00CE6E60"/>
    <w:rsid w:val="00CE7366"/>
    <w:rsid w:val="00CF0005"/>
    <w:rsid w:val="00CF0AFD"/>
    <w:rsid w:val="00CF0EE3"/>
    <w:rsid w:val="00CF1279"/>
    <w:rsid w:val="00CF2E17"/>
    <w:rsid w:val="00CF302F"/>
    <w:rsid w:val="00CF31F0"/>
    <w:rsid w:val="00CF42B3"/>
    <w:rsid w:val="00CF49A0"/>
    <w:rsid w:val="00CF5BAC"/>
    <w:rsid w:val="00CF79F5"/>
    <w:rsid w:val="00CF7FED"/>
    <w:rsid w:val="00D0059E"/>
    <w:rsid w:val="00D01B1A"/>
    <w:rsid w:val="00D01DD2"/>
    <w:rsid w:val="00D026C3"/>
    <w:rsid w:val="00D029B6"/>
    <w:rsid w:val="00D02C90"/>
    <w:rsid w:val="00D0340D"/>
    <w:rsid w:val="00D05011"/>
    <w:rsid w:val="00D05325"/>
    <w:rsid w:val="00D05EF3"/>
    <w:rsid w:val="00D065A0"/>
    <w:rsid w:val="00D0686F"/>
    <w:rsid w:val="00D06BE7"/>
    <w:rsid w:val="00D06F5E"/>
    <w:rsid w:val="00D073DB"/>
    <w:rsid w:val="00D074F4"/>
    <w:rsid w:val="00D100BA"/>
    <w:rsid w:val="00D10255"/>
    <w:rsid w:val="00D109AA"/>
    <w:rsid w:val="00D10FDE"/>
    <w:rsid w:val="00D11ABB"/>
    <w:rsid w:val="00D11E0E"/>
    <w:rsid w:val="00D13227"/>
    <w:rsid w:val="00D1428C"/>
    <w:rsid w:val="00D15931"/>
    <w:rsid w:val="00D172D5"/>
    <w:rsid w:val="00D20646"/>
    <w:rsid w:val="00D20823"/>
    <w:rsid w:val="00D20B4D"/>
    <w:rsid w:val="00D213A2"/>
    <w:rsid w:val="00D21AF7"/>
    <w:rsid w:val="00D21B43"/>
    <w:rsid w:val="00D21B55"/>
    <w:rsid w:val="00D223D1"/>
    <w:rsid w:val="00D2262E"/>
    <w:rsid w:val="00D22680"/>
    <w:rsid w:val="00D22733"/>
    <w:rsid w:val="00D241B3"/>
    <w:rsid w:val="00D26EDC"/>
    <w:rsid w:val="00D271C0"/>
    <w:rsid w:val="00D2741D"/>
    <w:rsid w:val="00D27702"/>
    <w:rsid w:val="00D32929"/>
    <w:rsid w:val="00D32981"/>
    <w:rsid w:val="00D32C5F"/>
    <w:rsid w:val="00D34475"/>
    <w:rsid w:val="00D349AD"/>
    <w:rsid w:val="00D36086"/>
    <w:rsid w:val="00D368E9"/>
    <w:rsid w:val="00D370E6"/>
    <w:rsid w:val="00D37947"/>
    <w:rsid w:val="00D4054A"/>
    <w:rsid w:val="00D40627"/>
    <w:rsid w:val="00D40A12"/>
    <w:rsid w:val="00D40C0C"/>
    <w:rsid w:val="00D40D69"/>
    <w:rsid w:val="00D40EB1"/>
    <w:rsid w:val="00D416A2"/>
    <w:rsid w:val="00D423AE"/>
    <w:rsid w:val="00D4300D"/>
    <w:rsid w:val="00D4304B"/>
    <w:rsid w:val="00D43BAA"/>
    <w:rsid w:val="00D43EA4"/>
    <w:rsid w:val="00D44D8C"/>
    <w:rsid w:val="00D45DF0"/>
    <w:rsid w:val="00D465C4"/>
    <w:rsid w:val="00D46C16"/>
    <w:rsid w:val="00D46C7A"/>
    <w:rsid w:val="00D46DE4"/>
    <w:rsid w:val="00D50B17"/>
    <w:rsid w:val="00D522C3"/>
    <w:rsid w:val="00D52EAE"/>
    <w:rsid w:val="00D5494F"/>
    <w:rsid w:val="00D54D68"/>
    <w:rsid w:val="00D554B1"/>
    <w:rsid w:val="00D55931"/>
    <w:rsid w:val="00D56292"/>
    <w:rsid w:val="00D564B2"/>
    <w:rsid w:val="00D56671"/>
    <w:rsid w:val="00D568BA"/>
    <w:rsid w:val="00D56EB6"/>
    <w:rsid w:val="00D571BF"/>
    <w:rsid w:val="00D57632"/>
    <w:rsid w:val="00D60EA6"/>
    <w:rsid w:val="00D615E7"/>
    <w:rsid w:val="00D6176A"/>
    <w:rsid w:val="00D62AC6"/>
    <w:rsid w:val="00D62CA9"/>
    <w:rsid w:val="00D64D3D"/>
    <w:rsid w:val="00D64E22"/>
    <w:rsid w:val="00D65C36"/>
    <w:rsid w:val="00D669CF"/>
    <w:rsid w:val="00D675DC"/>
    <w:rsid w:val="00D67D1C"/>
    <w:rsid w:val="00D70764"/>
    <w:rsid w:val="00D712D6"/>
    <w:rsid w:val="00D727BC"/>
    <w:rsid w:val="00D72C7D"/>
    <w:rsid w:val="00D72DC9"/>
    <w:rsid w:val="00D7330B"/>
    <w:rsid w:val="00D73845"/>
    <w:rsid w:val="00D74E66"/>
    <w:rsid w:val="00D7559E"/>
    <w:rsid w:val="00D75A15"/>
    <w:rsid w:val="00D811F7"/>
    <w:rsid w:val="00D828F1"/>
    <w:rsid w:val="00D83869"/>
    <w:rsid w:val="00D83F9A"/>
    <w:rsid w:val="00D84342"/>
    <w:rsid w:val="00D845CD"/>
    <w:rsid w:val="00D848AE"/>
    <w:rsid w:val="00D85070"/>
    <w:rsid w:val="00D8517F"/>
    <w:rsid w:val="00D8521F"/>
    <w:rsid w:val="00D903DC"/>
    <w:rsid w:val="00D90E66"/>
    <w:rsid w:val="00D913AA"/>
    <w:rsid w:val="00D91991"/>
    <w:rsid w:val="00D92A39"/>
    <w:rsid w:val="00D935FE"/>
    <w:rsid w:val="00D94201"/>
    <w:rsid w:val="00D94BB2"/>
    <w:rsid w:val="00D95703"/>
    <w:rsid w:val="00D9775B"/>
    <w:rsid w:val="00DA0522"/>
    <w:rsid w:val="00DA1057"/>
    <w:rsid w:val="00DA1518"/>
    <w:rsid w:val="00DA26C6"/>
    <w:rsid w:val="00DA4A64"/>
    <w:rsid w:val="00DA4E43"/>
    <w:rsid w:val="00DA6251"/>
    <w:rsid w:val="00DA631F"/>
    <w:rsid w:val="00DA6512"/>
    <w:rsid w:val="00DB077B"/>
    <w:rsid w:val="00DB0829"/>
    <w:rsid w:val="00DB09A7"/>
    <w:rsid w:val="00DB24AB"/>
    <w:rsid w:val="00DB2963"/>
    <w:rsid w:val="00DB2E2E"/>
    <w:rsid w:val="00DB37D5"/>
    <w:rsid w:val="00DB408E"/>
    <w:rsid w:val="00DB47DD"/>
    <w:rsid w:val="00DB59E5"/>
    <w:rsid w:val="00DB5F06"/>
    <w:rsid w:val="00DB75EB"/>
    <w:rsid w:val="00DB7875"/>
    <w:rsid w:val="00DB7AF6"/>
    <w:rsid w:val="00DB7B87"/>
    <w:rsid w:val="00DB7D24"/>
    <w:rsid w:val="00DC0149"/>
    <w:rsid w:val="00DC0716"/>
    <w:rsid w:val="00DC0783"/>
    <w:rsid w:val="00DC0832"/>
    <w:rsid w:val="00DC4609"/>
    <w:rsid w:val="00DC4CB4"/>
    <w:rsid w:val="00DC50DE"/>
    <w:rsid w:val="00DC5C6E"/>
    <w:rsid w:val="00DD091B"/>
    <w:rsid w:val="00DD0A44"/>
    <w:rsid w:val="00DD24C8"/>
    <w:rsid w:val="00DD256F"/>
    <w:rsid w:val="00DD2C9D"/>
    <w:rsid w:val="00DD33C0"/>
    <w:rsid w:val="00DD37B2"/>
    <w:rsid w:val="00DD37E8"/>
    <w:rsid w:val="00DD4829"/>
    <w:rsid w:val="00DD5894"/>
    <w:rsid w:val="00DD5A48"/>
    <w:rsid w:val="00DD6945"/>
    <w:rsid w:val="00DD74DB"/>
    <w:rsid w:val="00DD7FCB"/>
    <w:rsid w:val="00DE01C9"/>
    <w:rsid w:val="00DE1DCF"/>
    <w:rsid w:val="00DE247A"/>
    <w:rsid w:val="00DE3586"/>
    <w:rsid w:val="00DE3855"/>
    <w:rsid w:val="00DE40E9"/>
    <w:rsid w:val="00DE4D23"/>
    <w:rsid w:val="00DE624A"/>
    <w:rsid w:val="00DF17E1"/>
    <w:rsid w:val="00DF2073"/>
    <w:rsid w:val="00DF37AC"/>
    <w:rsid w:val="00DF3E6C"/>
    <w:rsid w:val="00DF3EC4"/>
    <w:rsid w:val="00DF4BA1"/>
    <w:rsid w:val="00DF4D71"/>
    <w:rsid w:val="00DF519E"/>
    <w:rsid w:val="00DF53CE"/>
    <w:rsid w:val="00DF563C"/>
    <w:rsid w:val="00DF7409"/>
    <w:rsid w:val="00DF766C"/>
    <w:rsid w:val="00E00BB7"/>
    <w:rsid w:val="00E00D63"/>
    <w:rsid w:val="00E01001"/>
    <w:rsid w:val="00E01516"/>
    <w:rsid w:val="00E02BBA"/>
    <w:rsid w:val="00E045D0"/>
    <w:rsid w:val="00E05755"/>
    <w:rsid w:val="00E057CE"/>
    <w:rsid w:val="00E06313"/>
    <w:rsid w:val="00E07444"/>
    <w:rsid w:val="00E12377"/>
    <w:rsid w:val="00E13C25"/>
    <w:rsid w:val="00E14272"/>
    <w:rsid w:val="00E1568A"/>
    <w:rsid w:val="00E175E4"/>
    <w:rsid w:val="00E208D8"/>
    <w:rsid w:val="00E21A49"/>
    <w:rsid w:val="00E23017"/>
    <w:rsid w:val="00E23095"/>
    <w:rsid w:val="00E23B08"/>
    <w:rsid w:val="00E24B15"/>
    <w:rsid w:val="00E24E3E"/>
    <w:rsid w:val="00E24FCD"/>
    <w:rsid w:val="00E2591E"/>
    <w:rsid w:val="00E25B75"/>
    <w:rsid w:val="00E26194"/>
    <w:rsid w:val="00E262E8"/>
    <w:rsid w:val="00E26553"/>
    <w:rsid w:val="00E27A5A"/>
    <w:rsid w:val="00E30D35"/>
    <w:rsid w:val="00E31558"/>
    <w:rsid w:val="00E33AA3"/>
    <w:rsid w:val="00E34039"/>
    <w:rsid w:val="00E350AA"/>
    <w:rsid w:val="00E3535C"/>
    <w:rsid w:val="00E3770E"/>
    <w:rsid w:val="00E40668"/>
    <w:rsid w:val="00E4147C"/>
    <w:rsid w:val="00E41DB9"/>
    <w:rsid w:val="00E42410"/>
    <w:rsid w:val="00E429F0"/>
    <w:rsid w:val="00E45637"/>
    <w:rsid w:val="00E45BC3"/>
    <w:rsid w:val="00E46426"/>
    <w:rsid w:val="00E46C6E"/>
    <w:rsid w:val="00E46F86"/>
    <w:rsid w:val="00E47297"/>
    <w:rsid w:val="00E53AC2"/>
    <w:rsid w:val="00E53B7A"/>
    <w:rsid w:val="00E53D41"/>
    <w:rsid w:val="00E55BC6"/>
    <w:rsid w:val="00E55F4D"/>
    <w:rsid w:val="00E562E0"/>
    <w:rsid w:val="00E562E6"/>
    <w:rsid w:val="00E56BED"/>
    <w:rsid w:val="00E57A4F"/>
    <w:rsid w:val="00E57DC4"/>
    <w:rsid w:val="00E57DCC"/>
    <w:rsid w:val="00E60043"/>
    <w:rsid w:val="00E60CD5"/>
    <w:rsid w:val="00E6207F"/>
    <w:rsid w:val="00E664BE"/>
    <w:rsid w:val="00E670C7"/>
    <w:rsid w:val="00E67330"/>
    <w:rsid w:val="00E6791F"/>
    <w:rsid w:val="00E70D6B"/>
    <w:rsid w:val="00E70E16"/>
    <w:rsid w:val="00E71082"/>
    <w:rsid w:val="00E72356"/>
    <w:rsid w:val="00E72FB3"/>
    <w:rsid w:val="00E73940"/>
    <w:rsid w:val="00E741B4"/>
    <w:rsid w:val="00E75584"/>
    <w:rsid w:val="00E764D5"/>
    <w:rsid w:val="00E77906"/>
    <w:rsid w:val="00E77EB4"/>
    <w:rsid w:val="00E81F26"/>
    <w:rsid w:val="00E824FD"/>
    <w:rsid w:val="00E829B0"/>
    <w:rsid w:val="00E84E7D"/>
    <w:rsid w:val="00E850EA"/>
    <w:rsid w:val="00E85297"/>
    <w:rsid w:val="00E8530B"/>
    <w:rsid w:val="00E86A21"/>
    <w:rsid w:val="00E90004"/>
    <w:rsid w:val="00E919EF"/>
    <w:rsid w:val="00E92168"/>
    <w:rsid w:val="00E9297C"/>
    <w:rsid w:val="00E92B34"/>
    <w:rsid w:val="00E92C89"/>
    <w:rsid w:val="00E92D52"/>
    <w:rsid w:val="00E93296"/>
    <w:rsid w:val="00E93C86"/>
    <w:rsid w:val="00E940F0"/>
    <w:rsid w:val="00E95102"/>
    <w:rsid w:val="00E952C2"/>
    <w:rsid w:val="00E95DD9"/>
    <w:rsid w:val="00E965C9"/>
    <w:rsid w:val="00E96657"/>
    <w:rsid w:val="00E977AD"/>
    <w:rsid w:val="00EA1878"/>
    <w:rsid w:val="00EA24B1"/>
    <w:rsid w:val="00EA32A9"/>
    <w:rsid w:val="00EA3FB4"/>
    <w:rsid w:val="00EA41C5"/>
    <w:rsid w:val="00EA5481"/>
    <w:rsid w:val="00EA5E14"/>
    <w:rsid w:val="00EA6D03"/>
    <w:rsid w:val="00EA75B5"/>
    <w:rsid w:val="00EA787D"/>
    <w:rsid w:val="00EA788E"/>
    <w:rsid w:val="00EA7C89"/>
    <w:rsid w:val="00EB0B2D"/>
    <w:rsid w:val="00EB0E1C"/>
    <w:rsid w:val="00EB1F52"/>
    <w:rsid w:val="00EB48FE"/>
    <w:rsid w:val="00EB55CF"/>
    <w:rsid w:val="00EB58FE"/>
    <w:rsid w:val="00EB5AA8"/>
    <w:rsid w:val="00EB65CE"/>
    <w:rsid w:val="00EB6773"/>
    <w:rsid w:val="00EB6CF5"/>
    <w:rsid w:val="00EC2008"/>
    <w:rsid w:val="00EC26D7"/>
    <w:rsid w:val="00EC2737"/>
    <w:rsid w:val="00EC3661"/>
    <w:rsid w:val="00EC4031"/>
    <w:rsid w:val="00EC48FD"/>
    <w:rsid w:val="00EC4B86"/>
    <w:rsid w:val="00EC682D"/>
    <w:rsid w:val="00EC6EDD"/>
    <w:rsid w:val="00EC733A"/>
    <w:rsid w:val="00EC75AF"/>
    <w:rsid w:val="00EC78FD"/>
    <w:rsid w:val="00ED0B08"/>
    <w:rsid w:val="00ED11C6"/>
    <w:rsid w:val="00ED1922"/>
    <w:rsid w:val="00ED261F"/>
    <w:rsid w:val="00ED2EAC"/>
    <w:rsid w:val="00ED2F2C"/>
    <w:rsid w:val="00ED3738"/>
    <w:rsid w:val="00ED3B6D"/>
    <w:rsid w:val="00ED3FD7"/>
    <w:rsid w:val="00ED47C4"/>
    <w:rsid w:val="00ED6166"/>
    <w:rsid w:val="00ED6636"/>
    <w:rsid w:val="00ED6A4F"/>
    <w:rsid w:val="00ED76E9"/>
    <w:rsid w:val="00EE1044"/>
    <w:rsid w:val="00EE1EAE"/>
    <w:rsid w:val="00EE2602"/>
    <w:rsid w:val="00EE2A1C"/>
    <w:rsid w:val="00EE2F7A"/>
    <w:rsid w:val="00EE3055"/>
    <w:rsid w:val="00EE3B9A"/>
    <w:rsid w:val="00EE422E"/>
    <w:rsid w:val="00EE59EA"/>
    <w:rsid w:val="00EE69B6"/>
    <w:rsid w:val="00EE6F83"/>
    <w:rsid w:val="00EE7479"/>
    <w:rsid w:val="00EE7886"/>
    <w:rsid w:val="00EE7FE7"/>
    <w:rsid w:val="00EF0A18"/>
    <w:rsid w:val="00EF23E8"/>
    <w:rsid w:val="00EF3A6E"/>
    <w:rsid w:val="00EF5AF3"/>
    <w:rsid w:val="00EF5C21"/>
    <w:rsid w:val="00F00D88"/>
    <w:rsid w:val="00F01701"/>
    <w:rsid w:val="00F0282D"/>
    <w:rsid w:val="00F029C8"/>
    <w:rsid w:val="00F0375F"/>
    <w:rsid w:val="00F04AAF"/>
    <w:rsid w:val="00F05623"/>
    <w:rsid w:val="00F06662"/>
    <w:rsid w:val="00F07DB9"/>
    <w:rsid w:val="00F1014F"/>
    <w:rsid w:val="00F10306"/>
    <w:rsid w:val="00F105FB"/>
    <w:rsid w:val="00F10B59"/>
    <w:rsid w:val="00F10C55"/>
    <w:rsid w:val="00F10D84"/>
    <w:rsid w:val="00F11699"/>
    <w:rsid w:val="00F11997"/>
    <w:rsid w:val="00F1269A"/>
    <w:rsid w:val="00F12DF5"/>
    <w:rsid w:val="00F13719"/>
    <w:rsid w:val="00F14AB2"/>
    <w:rsid w:val="00F17C71"/>
    <w:rsid w:val="00F21640"/>
    <w:rsid w:val="00F22E5B"/>
    <w:rsid w:val="00F23269"/>
    <w:rsid w:val="00F24B06"/>
    <w:rsid w:val="00F24C9D"/>
    <w:rsid w:val="00F26259"/>
    <w:rsid w:val="00F26AE8"/>
    <w:rsid w:val="00F307F6"/>
    <w:rsid w:val="00F30AF2"/>
    <w:rsid w:val="00F3180E"/>
    <w:rsid w:val="00F32829"/>
    <w:rsid w:val="00F339A8"/>
    <w:rsid w:val="00F33C47"/>
    <w:rsid w:val="00F33D20"/>
    <w:rsid w:val="00F3412A"/>
    <w:rsid w:val="00F341E9"/>
    <w:rsid w:val="00F351B2"/>
    <w:rsid w:val="00F376FA"/>
    <w:rsid w:val="00F37C84"/>
    <w:rsid w:val="00F37E30"/>
    <w:rsid w:val="00F41022"/>
    <w:rsid w:val="00F41C4A"/>
    <w:rsid w:val="00F41CD2"/>
    <w:rsid w:val="00F4210A"/>
    <w:rsid w:val="00F42684"/>
    <w:rsid w:val="00F43625"/>
    <w:rsid w:val="00F44950"/>
    <w:rsid w:val="00F459C3"/>
    <w:rsid w:val="00F46005"/>
    <w:rsid w:val="00F46C80"/>
    <w:rsid w:val="00F46EEA"/>
    <w:rsid w:val="00F47331"/>
    <w:rsid w:val="00F474B9"/>
    <w:rsid w:val="00F502D2"/>
    <w:rsid w:val="00F50C12"/>
    <w:rsid w:val="00F53091"/>
    <w:rsid w:val="00F531CA"/>
    <w:rsid w:val="00F53610"/>
    <w:rsid w:val="00F53C85"/>
    <w:rsid w:val="00F5478F"/>
    <w:rsid w:val="00F54AA4"/>
    <w:rsid w:val="00F54CE6"/>
    <w:rsid w:val="00F552BA"/>
    <w:rsid w:val="00F570C7"/>
    <w:rsid w:val="00F57C85"/>
    <w:rsid w:val="00F608DE"/>
    <w:rsid w:val="00F621B0"/>
    <w:rsid w:val="00F62913"/>
    <w:rsid w:val="00F62AC1"/>
    <w:rsid w:val="00F63154"/>
    <w:rsid w:val="00F63460"/>
    <w:rsid w:val="00F63802"/>
    <w:rsid w:val="00F63EF2"/>
    <w:rsid w:val="00F644BD"/>
    <w:rsid w:val="00F6482A"/>
    <w:rsid w:val="00F651CE"/>
    <w:rsid w:val="00F66A37"/>
    <w:rsid w:val="00F67112"/>
    <w:rsid w:val="00F672BF"/>
    <w:rsid w:val="00F67D9A"/>
    <w:rsid w:val="00F72DBE"/>
    <w:rsid w:val="00F74047"/>
    <w:rsid w:val="00F7472F"/>
    <w:rsid w:val="00F74AD4"/>
    <w:rsid w:val="00F76DF2"/>
    <w:rsid w:val="00F76F9C"/>
    <w:rsid w:val="00F805FD"/>
    <w:rsid w:val="00F807EB"/>
    <w:rsid w:val="00F82708"/>
    <w:rsid w:val="00F82A3B"/>
    <w:rsid w:val="00F8309B"/>
    <w:rsid w:val="00F83562"/>
    <w:rsid w:val="00F84F5A"/>
    <w:rsid w:val="00F8594C"/>
    <w:rsid w:val="00F85B6B"/>
    <w:rsid w:val="00F85F3D"/>
    <w:rsid w:val="00F860BB"/>
    <w:rsid w:val="00F8610C"/>
    <w:rsid w:val="00F86801"/>
    <w:rsid w:val="00F87777"/>
    <w:rsid w:val="00F8779A"/>
    <w:rsid w:val="00F87C60"/>
    <w:rsid w:val="00F87E87"/>
    <w:rsid w:val="00F9137E"/>
    <w:rsid w:val="00F91F1B"/>
    <w:rsid w:val="00F938C7"/>
    <w:rsid w:val="00F93B3D"/>
    <w:rsid w:val="00F94751"/>
    <w:rsid w:val="00F94EBF"/>
    <w:rsid w:val="00F9515B"/>
    <w:rsid w:val="00F9624C"/>
    <w:rsid w:val="00F9656B"/>
    <w:rsid w:val="00F97C7D"/>
    <w:rsid w:val="00F97D7A"/>
    <w:rsid w:val="00FA0814"/>
    <w:rsid w:val="00FA1067"/>
    <w:rsid w:val="00FA1130"/>
    <w:rsid w:val="00FA4033"/>
    <w:rsid w:val="00FA40E4"/>
    <w:rsid w:val="00FA5383"/>
    <w:rsid w:val="00FA581F"/>
    <w:rsid w:val="00FA6215"/>
    <w:rsid w:val="00FA6268"/>
    <w:rsid w:val="00FA62AE"/>
    <w:rsid w:val="00FA64D0"/>
    <w:rsid w:val="00FA66FE"/>
    <w:rsid w:val="00FA670C"/>
    <w:rsid w:val="00FA6BBA"/>
    <w:rsid w:val="00FA6DA6"/>
    <w:rsid w:val="00FB0510"/>
    <w:rsid w:val="00FB05A8"/>
    <w:rsid w:val="00FB104C"/>
    <w:rsid w:val="00FB150B"/>
    <w:rsid w:val="00FB1BC7"/>
    <w:rsid w:val="00FB369B"/>
    <w:rsid w:val="00FB3DA5"/>
    <w:rsid w:val="00FB5431"/>
    <w:rsid w:val="00FB57B5"/>
    <w:rsid w:val="00FB5BA2"/>
    <w:rsid w:val="00FB7CAC"/>
    <w:rsid w:val="00FC03AA"/>
    <w:rsid w:val="00FC0406"/>
    <w:rsid w:val="00FC0855"/>
    <w:rsid w:val="00FC10E7"/>
    <w:rsid w:val="00FC114F"/>
    <w:rsid w:val="00FC1A17"/>
    <w:rsid w:val="00FC20E4"/>
    <w:rsid w:val="00FC2640"/>
    <w:rsid w:val="00FC2FE2"/>
    <w:rsid w:val="00FC366D"/>
    <w:rsid w:val="00FC368C"/>
    <w:rsid w:val="00FC3B82"/>
    <w:rsid w:val="00FC41F6"/>
    <w:rsid w:val="00FC45DA"/>
    <w:rsid w:val="00FC5239"/>
    <w:rsid w:val="00FC6030"/>
    <w:rsid w:val="00FC6D98"/>
    <w:rsid w:val="00FC7136"/>
    <w:rsid w:val="00FD0C4D"/>
    <w:rsid w:val="00FD0E1F"/>
    <w:rsid w:val="00FD0F0A"/>
    <w:rsid w:val="00FD16FC"/>
    <w:rsid w:val="00FD193E"/>
    <w:rsid w:val="00FD313F"/>
    <w:rsid w:val="00FD3241"/>
    <w:rsid w:val="00FD3D1A"/>
    <w:rsid w:val="00FD424A"/>
    <w:rsid w:val="00FD4705"/>
    <w:rsid w:val="00FD5D8F"/>
    <w:rsid w:val="00FD5E09"/>
    <w:rsid w:val="00FD6766"/>
    <w:rsid w:val="00FD684A"/>
    <w:rsid w:val="00FD6DC9"/>
    <w:rsid w:val="00FD6E5C"/>
    <w:rsid w:val="00FE003B"/>
    <w:rsid w:val="00FE129A"/>
    <w:rsid w:val="00FE1479"/>
    <w:rsid w:val="00FE3249"/>
    <w:rsid w:val="00FE344E"/>
    <w:rsid w:val="00FE45BC"/>
    <w:rsid w:val="00FE4A09"/>
    <w:rsid w:val="00FE6107"/>
    <w:rsid w:val="00FE6E91"/>
    <w:rsid w:val="00FF2181"/>
    <w:rsid w:val="00FF2889"/>
    <w:rsid w:val="00FF30C1"/>
    <w:rsid w:val="00FF4109"/>
    <w:rsid w:val="00FF43D9"/>
    <w:rsid w:val="00FF4E30"/>
    <w:rsid w:val="00FF6003"/>
    <w:rsid w:val="00FF639B"/>
    <w:rsid w:val="00FF6636"/>
    <w:rsid w:val="00FF6EAF"/>
    <w:rsid w:val="00FF6EC2"/>
    <w:rsid w:val="00FF70EF"/>
    <w:rsid w:val="00FF7117"/>
    <w:rsid w:val="00FF7926"/>
    <w:rsid w:val="01227D26"/>
    <w:rsid w:val="0133354C"/>
    <w:rsid w:val="013E4434"/>
    <w:rsid w:val="014C20EE"/>
    <w:rsid w:val="016A7465"/>
    <w:rsid w:val="017E0CD4"/>
    <w:rsid w:val="01840BB5"/>
    <w:rsid w:val="019860E9"/>
    <w:rsid w:val="01BF5575"/>
    <w:rsid w:val="01C707BF"/>
    <w:rsid w:val="01FF7ADB"/>
    <w:rsid w:val="022A0BEA"/>
    <w:rsid w:val="023D0B8F"/>
    <w:rsid w:val="025B0D98"/>
    <w:rsid w:val="02637E64"/>
    <w:rsid w:val="026B1259"/>
    <w:rsid w:val="02704AC1"/>
    <w:rsid w:val="02990D93"/>
    <w:rsid w:val="02B0310F"/>
    <w:rsid w:val="02EB448F"/>
    <w:rsid w:val="02F470E3"/>
    <w:rsid w:val="02FC6355"/>
    <w:rsid w:val="030F1D26"/>
    <w:rsid w:val="031A4A2D"/>
    <w:rsid w:val="03323B24"/>
    <w:rsid w:val="0337738D"/>
    <w:rsid w:val="03801F37"/>
    <w:rsid w:val="03824AAC"/>
    <w:rsid w:val="03A8028B"/>
    <w:rsid w:val="03E2379C"/>
    <w:rsid w:val="03E80687"/>
    <w:rsid w:val="040A2CF3"/>
    <w:rsid w:val="04296B14"/>
    <w:rsid w:val="042D7183"/>
    <w:rsid w:val="04575F38"/>
    <w:rsid w:val="04781A0B"/>
    <w:rsid w:val="048E6486"/>
    <w:rsid w:val="049B7967"/>
    <w:rsid w:val="04CB4231"/>
    <w:rsid w:val="04E452F2"/>
    <w:rsid w:val="050D4849"/>
    <w:rsid w:val="05104339"/>
    <w:rsid w:val="053F5126"/>
    <w:rsid w:val="054B711F"/>
    <w:rsid w:val="057B6BAA"/>
    <w:rsid w:val="05C313AC"/>
    <w:rsid w:val="061D6D0E"/>
    <w:rsid w:val="06316315"/>
    <w:rsid w:val="063C7CB2"/>
    <w:rsid w:val="064A73D7"/>
    <w:rsid w:val="067D59FE"/>
    <w:rsid w:val="069074E0"/>
    <w:rsid w:val="06C729EE"/>
    <w:rsid w:val="06D27AF8"/>
    <w:rsid w:val="06DB44D3"/>
    <w:rsid w:val="071A324D"/>
    <w:rsid w:val="0721282E"/>
    <w:rsid w:val="07245E7A"/>
    <w:rsid w:val="07990616"/>
    <w:rsid w:val="07994889"/>
    <w:rsid w:val="07D23B28"/>
    <w:rsid w:val="07E13EC2"/>
    <w:rsid w:val="07E71D6A"/>
    <w:rsid w:val="08034F89"/>
    <w:rsid w:val="08123F24"/>
    <w:rsid w:val="081859DF"/>
    <w:rsid w:val="083B16CD"/>
    <w:rsid w:val="085E53BC"/>
    <w:rsid w:val="086B3C0F"/>
    <w:rsid w:val="08716E9D"/>
    <w:rsid w:val="088D6886"/>
    <w:rsid w:val="08902F20"/>
    <w:rsid w:val="089963F4"/>
    <w:rsid w:val="08BC746A"/>
    <w:rsid w:val="08C01BD2"/>
    <w:rsid w:val="08CA1663"/>
    <w:rsid w:val="09047592"/>
    <w:rsid w:val="09067F2D"/>
    <w:rsid w:val="090C2D7E"/>
    <w:rsid w:val="090E293E"/>
    <w:rsid w:val="09130588"/>
    <w:rsid w:val="092B34F0"/>
    <w:rsid w:val="09697CE0"/>
    <w:rsid w:val="097035F9"/>
    <w:rsid w:val="097F55EA"/>
    <w:rsid w:val="098B0432"/>
    <w:rsid w:val="099C43EE"/>
    <w:rsid w:val="09B95A2F"/>
    <w:rsid w:val="09E638BB"/>
    <w:rsid w:val="0A171CC6"/>
    <w:rsid w:val="0A173A74"/>
    <w:rsid w:val="0A182A4F"/>
    <w:rsid w:val="0A1E12A6"/>
    <w:rsid w:val="0A1E3055"/>
    <w:rsid w:val="0A284C1B"/>
    <w:rsid w:val="0A2E33DD"/>
    <w:rsid w:val="0A3D797F"/>
    <w:rsid w:val="0A453336"/>
    <w:rsid w:val="0A4C1970"/>
    <w:rsid w:val="0A79028B"/>
    <w:rsid w:val="0A9357F1"/>
    <w:rsid w:val="0AB35643"/>
    <w:rsid w:val="0AD33E3F"/>
    <w:rsid w:val="0AF85654"/>
    <w:rsid w:val="0B09160F"/>
    <w:rsid w:val="0B246449"/>
    <w:rsid w:val="0B350656"/>
    <w:rsid w:val="0B381EF4"/>
    <w:rsid w:val="0B3D575C"/>
    <w:rsid w:val="0B7B140D"/>
    <w:rsid w:val="0B7E3423"/>
    <w:rsid w:val="0C2F19F0"/>
    <w:rsid w:val="0C5C6063"/>
    <w:rsid w:val="0C6C00A7"/>
    <w:rsid w:val="0C6D2071"/>
    <w:rsid w:val="0C915D60"/>
    <w:rsid w:val="0CA37841"/>
    <w:rsid w:val="0CD914B5"/>
    <w:rsid w:val="0CE045F1"/>
    <w:rsid w:val="0CF3747D"/>
    <w:rsid w:val="0D2512B6"/>
    <w:rsid w:val="0D431BA4"/>
    <w:rsid w:val="0D696CDD"/>
    <w:rsid w:val="0D7731A8"/>
    <w:rsid w:val="0D870F11"/>
    <w:rsid w:val="0D9378B6"/>
    <w:rsid w:val="0D9B325A"/>
    <w:rsid w:val="0DA7666B"/>
    <w:rsid w:val="0DE0358D"/>
    <w:rsid w:val="0E440BB0"/>
    <w:rsid w:val="0E540297"/>
    <w:rsid w:val="0E58794B"/>
    <w:rsid w:val="0E5B4877"/>
    <w:rsid w:val="0E6571D4"/>
    <w:rsid w:val="0E862EB6"/>
    <w:rsid w:val="0E87566C"/>
    <w:rsid w:val="0E925DBF"/>
    <w:rsid w:val="0E9D4E90"/>
    <w:rsid w:val="0EA7064C"/>
    <w:rsid w:val="0EBF5579"/>
    <w:rsid w:val="0EC20249"/>
    <w:rsid w:val="0EE4486D"/>
    <w:rsid w:val="0F1D44D7"/>
    <w:rsid w:val="0F265F21"/>
    <w:rsid w:val="0F2C7FC2"/>
    <w:rsid w:val="0F4705DB"/>
    <w:rsid w:val="0F48070B"/>
    <w:rsid w:val="0F4E1CE6"/>
    <w:rsid w:val="0F543200"/>
    <w:rsid w:val="0F5F5CA1"/>
    <w:rsid w:val="0F6365C0"/>
    <w:rsid w:val="0F784FB5"/>
    <w:rsid w:val="0F803E6A"/>
    <w:rsid w:val="0F930041"/>
    <w:rsid w:val="0FA1275E"/>
    <w:rsid w:val="0FB3423F"/>
    <w:rsid w:val="0FB81855"/>
    <w:rsid w:val="0FBB37E2"/>
    <w:rsid w:val="0FDA5D51"/>
    <w:rsid w:val="10141507"/>
    <w:rsid w:val="101F3682"/>
    <w:rsid w:val="106043C7"/>
    <w:rsid w:val="10A53C29"/>
    <w:rsid w:val="10B13BD2"/>
    <w:rsid w:val="10C1473A"/>
    <w:rsid w:val="10C92017"/>
    <w:rsid w:val="10CA1840"/>
    <w:rsid w:val="10E87F18"/>
    <w:rsid w:val="10F46A4F"/>
    <w:rsid w:val="10F701AD"/>
    <w:rsid w:val="11140D0D"/>
    <w:rsid w:val="11390774"/>
    <w:rsid w:val="113B0990"/>
    <w:rsid w:val="11467595"/>
    <w:rsid w:val="114C494B"/>
    <w:rsid w:val="11511F61"/>
    <w:rsid w:val="115D35F1"/>
    <w:rsid w:val="11643A43"/>
    <w:rsid w:val="11651A16"/>
    <w:rsid w:val="11845E93"/>
    <w:rsid w:val="11AE6C97"/>
    <w:rsid w:val="11D81D3B"/>
    <w:rsid w:val="11EC3A38"/>
    <w:rsid w:val="12241424"/>
    <w:rsid w:val="12327829"/>
    <w:rsid w:val="123C01D0"/>
    <w:rsid w:val="125F0B35"/>
    <w:rsid w:val="127653AE"/>
    <w:rsid w:val="12771554"/>
    <w:rsid w:val="127777A6"/>
    <w:rsid w:val="12782CE7"/>
    <w:rsid w:val="129640D0"/>
    <w:rsid w:val="12DB7D35"/>
    <w:rsid w:val="12FD248B"/>
    <w:rsid w:val="130D3AFF"/>
    <w:rsid w:val="1323348A"/>
    <w:rsid w:val="134753CA"/>
    <w:rsid w:val="1382549E"/>
    <w:rsid w:val="139E3F71"/>
    <w:rsid w:val="13F37300"/>
    <w:rsid w:val="13FB58C0"/>
    <w:rsid w:val="140D6D35"/>
    <w:rsid w:val="142D6598"/>
    <w:rsid w:val="143C2A55"/>
    <w:rsid w:val="145746DC"/>
    <w:rsid w:val="148F527B"/>
    <w:rsid w:val="14A34882"/>
    <w:rsid w:val="14EE3158"/>
    <w:rsid w:val="15082937"/>
    <w:rsid w:val="15135CC6"/>
    <w:rsid w:val="1517701E"/>
    <w:rsid w:val="152C2AC9"/>
    <w:rsid w:val="153320AA"/>
    <w:rsid w:val="15417B04"/>
    <w:rsid w:val="1546345F"/>
    <w:rsid w:val="156009C5"/>
    <w:rsid w:val="15760409"/>
    <w:rsid w:val="158F4E06"/>
    <w:rsid w:val="15A81548"/>
    <w:rsid w:val="15BD1974"/>
    <w:rsid w:val="15C251DC"/>
    <w:rsid w:val="15C34AB0"/>
    <w:rsid w:val="15DD3DC4"/>
    <w:rsid w:val="16232935"/>
    <w:rsid w:val="16337E88"/>
    <w:rsid w:val="164731FC"/>
    <w:rsid w:val="164E081E"/>
    <w:rsid w:val="1672316C"/>
    <w:rsid w:val="16861CED"/>
    <w:rsid w:val="16A9014A"/>
    <w:rsid w:val="16B321B0"/>
    <w:rsid w:val="16B34B25"/>
    <w:rsid w:val="16B70AB9"/>
    <w:rsid w:val="16F5338F"/>
    <w:rsid w:val="170B670F"/>
    <w:rsid w:val="173E0A0F"/>
    <w:rsid w:val="1773252D"/>
    <w:rsid w:val="177E3384"/>
    <w:rsid w:val="17824C23"/>
    <w:rsid w:val="178F10EE"/>
    <w:rsid w:val="17A0154D"/>
    <w:rsid w:val="17C20FBF"/>
    <w:rsid w:val="17CA481C"/>
    <w:rsid w:val="17D15BAA"/>
    <w:rsid w:val="17E551B2"/>
    <w:rsid w:val="1807337A"/>
    <w:rsid w:val="182F467F"/>
    <w:rsid w:val="18365A0D"/>
    <w:rsid w:val="183E32DD"/>
    <w:rsid w:val="188449CB"/>
    <w:rsid w:val="18A137CE"/>
    <w:rsid w:val="18A8170F"/>
    <w:rsid w:val="18B1288F"/>
    <w:rsid w:val="18C80D5B"/>
    <w:rsid w:val="18E216F1"/>
    <w:rsid w:val="18FE29CF"/>
    <w:rsid w:val="19045B0B"/>
    <w:rsid w:val="19135A18"/>
    <w:rsid w:val="19267830"/>
    <w:rsid w:val="192F3809"/>
    <w:rsid w:val="193753BA"/>
    <w:rsid w:val="19393A07"/>
    <w:rsid w:val="194F6D87"/>
    <w:rsid w:val="1985592C"/>
    <w:rsid w:val="19964474"/>
    <w:rsid w:val="19CA465F"/>
    <w:rsid w:val="19DB4ABE"/>
    <w:rsid w:val="19F636A6"/>
    <w:rsid w:val="1A2521DD"/>
    <w:rsid w:val="1A295829"/>
    <w:rsid w:val="1A3D12D5"/>
    <w:rsid w:val="1AA2738A"/>
    <w:rsid w:val="1AA749A0"/>
    <w:rsid w:val="1AB83E88"/>
    <w:rsid w:val="1ACF17BB"/>
    <w:rsid w:val="1AF1477C"/>
    <w:rsid w:val="1AF56B46"/>
    <w:rsid w:val="1B01027C"/>
    <w:rsid w:val="1B2E30C6"/>
    <w:rsid w:val="1B45614F"/>
    <w:rsid w:val="1B5C578B"/>
    <w:rsid w:val="1B682381"/>
    <w:rsid w:val="1B724FAE"/>
    <w:rsid w:val="1B882A24"/>
    <w:rsid w:val="1B893879"/>
    <w:rsid w:val="1B9466EC"/>
    <w:rsid w:val="1BCD2C16"/>
    <w:rsid w:val="1BD23C9F"/>
    <w:rsid w:val="1BF06D13"/>
    <w:rsid w:val="1C1442B7"/>
    <w:rsid w:val="1C273FEB"/>
    <w:rsid w:val="1C6F4C73"/>
    <w:rsid w:val="1C8964A6"/>
    <w:rsid w:val="1CA0088A"/>
    <w:rsid w:val="1CA91A88"/>
    <w:rsid w:val="1CAA18F6"/>
    <w:rsid w:val="1CB442B4"/>
    <w:rsid w:val="1CB57848"/>
    <w:rsid w:val="1CCA6605"/>
    <w:rsid w:val="1D047E88"/>
    <w:rsid w:val="1D1D6495"/>
    <w:rsid w:val="1D646B79"/>
    <w:rsid w:val="1D7E7C3A"/>
    <w:rsid w:val="1D7F39B2"/>
    <w:rsid w:val="1DA11B7B"/>
    <w:rsid w:val="1DBB6AE0"/>
    <w:rsid w:val="1DCD471E"/>
    <w:rsid w:val="1DD957B9"/>
    <w:rsid w:val="1DE673A8"/>
    <w:rsid w:val="1E1C02AC"/>
    <w:rsid w:val="1E446811"/>
    <w:rsid w:val="1E4B7F4D"/>
    <w:rsid w:val="1E5E4B00"/>
    <w:rsid w:val="1E885CE5"/>
    <w:rsid w:val="1EBA1146"/>
    <w:rsid w:val="1ED85A70"/>
    <w:rsid w:val="1EDD4E34"/>
    <w:rsid w:val="1EE2660B"/>
    <w:rsid w:val="1EED74AF"/>
    <w:rsid w:val="1EFA7794"/>
    <w:rsid w:val="1F2E5690"/>
    <w:rsid w:val="1F503858"/>
    <w:rsid w:val="1F6F618F"/>
    <w:rsid w:val="1F8238FE"/>
    <w:rsid w:val="1FA13150"/>
    <w:rsid w:val="1FA45952"/>
    <w:rsid w:val="1FAB4F33"/>
    <w:rsid w:val="1FCF50A5"/>
    <w:rsid w:val="20036B1D"/>
    <w:rsid w:val="200C3C23"/>
    <w:rsid w:val="20194A85"/>
    <w:rsid w:val="202D3B9A"/>
    <w:rsid w:val="20407429"/>
    <w:rsid w:val="2043516B"/>
    <w:rsid w:val="204518C8"/>
    <w:rsid w:val="20672D9F"/>
    <w:rsid w:val="20673947"/>
    <w:rsid w:val="20AC2D10"/>
    <w:rsid w:val="20C04A0E"/>
    <w:rsid w:val="20C462AC"/>
    <w:rsid w:val="20F36B91"/>
    <w:rsid w:val="210A7F71"/>
    <w:rsid w:val="21112432"/>
    <w:rsid w:val="211612EB"/>
    <w:rsid w:val="211D59BC"/>
    <w:rsid w:val="21336F8E"/>
    <w:rsid w:val="213B1D14"/>
    <w:rsid w:val="214271D1"/>
    <w:rsid w:val="214B1AB8"/>
    <w:rsid w:val="215D04AF"/>
    <w:rsid w:val="21713C63"/>
    <w:rsid w:val="218C499A"/>
    <w:rsid w:val="21E87D78"/>
    <w:rsid w:val="21F229A5"/>
    <w:rsid w:val="21F901D7"/>
    <w:rsid w:val="2205092A"/>
    <w:rsid w:val="22073CC5"/>
    <w:rsid w:val="221E7C3E"/>
    <w:rsid w:val="222B5EB7"/>
    <w:rsid w:val="22364F87"/>
    <w:rsid w:val="22433200"/>
    <w:rsid w:val="2287625E"/>
    <w:rsid w:val="22A30143"/>
    <w:rsid w:val="22AF0896"/>
    <w:rsid w:val="22B119E4"/>
    <w:rsid w:val="22BB36DF"/>
    <w:rsid w:val="22DD2975"/>
    <w:rsid w:val="22E06CA1"/>
    <w:rsid w:val="22E22A19"/>
    <w:rsid w:val="22E3018D"/>
    <w:rsid w:val="22E85737"/>
    <w:rsid w:val="22EE635B"/>
    <w:rsid w:val="22FD5AA5"/>
    <w:rsid w:val="230F7587"/>
    <w:rsid w:val="232272BA"/>
    <w:rsid w:val="233921C6"/>
    <w:rsid w:val="234006BA"/>
    <w:rsid w:val="23405992"/>
    <w:rsid w:val="238800FE"/>
    <w:rsid w:val="23891425"/>
    <w:rsid w:val="239A32F4"/>
    <w:rsid w:val="23A10B26"/>
    <w:rsid w:val="23A463C8"/>
    <w:rsid w:val="23B2156E"/>
    <w:rsid w:val="23B343B6"/>
    <w:rsid w:val="23DC4C9A"/>
    <w:rsid w:val="23EB3B50"/>
    <w:rsid w:val="240370EB"/>
    <w:rsid w:val="241F69D2"/>
    <w:rsid w:val="24267EF7"/>
    <w:rsid w:val="24280900"/>
    <w:rsid w:val="24374FE7"/>
    <w:rsid w:val="24763D61"/>
    <w:rsid w:val="2483647E"/>
    <w:rsid w:val="24973CD7"/>
    <w:rsid w:val="24A26904"/>
    <w:rsid w:val="24CD76F9"/>
    <w:rsid w:val="24D106C2"/>
    <w:rsid w:val="24FA1037"/>
    <w:rsid w:val="25071060"/>
    <w:rsid w:val="250F3FB0"/>
    <w:rsid w:val="254C6870"/>
    <w:rsid w:val="256633AB"/>
    <w:rsid w:val="25A55F80"/>
    <w:rsid w:val="25B222C3"/>
    <w:rsid w:val="25B368EF"/>
    <w:rsid w:val="25C603D0"/>
    <w:rsid w:val="25E1345C"/>
    <w:rsid w:val="25E76599"/>
    <w:rsid w:val="25FF1B34"/>
    <w:rsid w:val="26045FC8"/>
    <w:rsid w:val="26123616"/>
    <w:rsid w:val="263F27F1"/>
    <w:rsid w:val="264D464E"/>
    <w:rsid w:val="266F6CBA"/>
    <w:rsid w:val="26887D7C"/>
    <w:rsid w:val="26C32B62"/>
    <w:rsid w:val="2702368A"/>
    <w:rsid w:val="2705317A"/>
    <w:rsid w:val="273F59EC"/>
    <w:rsid w:val="274F43F6"/>
    <w:rsid w:val="27630C0D"/>
    <w:rsid w:val="27675BE3"/>
    <w:rsid w:val="276C07EF"/>
    <w:rsid w:val="27A24E6D"/>
    <w:rsid w:val="27CC3C98"/>
    <w:rsid w:val="27F63406"/>
    <w:rsid w:val="28074845"/>
    <w:rsid w:val="284877C3"/>
    <w:rsid w:val="2852419D"/>
    <w:rsid w:val="286E6AFD"/>
    <w:rsid w:val="287607EB"/>
    <w:rsid w:val="288051AE"/>
    <w:rsid w:val="28940C5A"/>
    <w:rsid w:val="289447B6"/>
    <w:rsid w:val="28BA4D26"/>
    <w:rsid w:val="28BC1F5F"/>
    <w:rsid w:val="28CD1A76"/>
    <w:rsid w:val="291C4AAD"/>
    <w:rsid w:val="29211DC2"/>
    <w:rsid w:val="293C43BC"/>
    <w:rsid w:val="295C1002"/>
    <w:rsid w:val="2967011C"/>
    <w:rsid w:val="29762258"/>
    <w:rsid w:val="299A22A0"/>
    <w:rsid w:val="299A6286"/>
    <w:rsid w:val="29F23E8A"/>
    <w:rsid w:val="2A1262DA"/>
    <w:rsid w:val="2A224043"/>
    <w:rsid w:val="2A2E0C3A"/>
    <w:rsid w:val="2A306D0F"/>
    <w:rsid w:val="2A375865"/>
    <w:rsid w:val="2A524929"/>
    <w:rsid w:val="2A5A37DD"/>
    <w:rsid w:val="2A69656F"/>
    <w:rsid w:val="2A75037D"/>
    <w:rsid w:val="2A783A4B"/>
    <w:rsid w:val="2A81520E"/>
    <w:rsid w:val="2A8E3487"/>
    <w:rsid w:val="2A905545"/>
    <w:rsid w:val="2AA66A22"/>
    <w:rsid w:val="2AE87180"/>
    <w:rsid w:val="2B1240B8"/>
    <w:rsid w:val="2B176CF0"/>
    <w:rsid w:val="2B1D509F"/>
    <w:rsid w:val="2B380B20"/>
    <w:rsid w:val="2B626DED"/>
    <w:rsid w:val="2B6A3EF4"/>
    <w:rsid w:val="2B6D12EE"/>
    <w:rsid w:val="2B6F150A"/>
    <w:rsid w:val="2B780B8D"/>
    <w:rsid w:val="2B797019"/>
    <w:rsid w:val="2B824D9A"/>
    <w:rsid w:val="2B991287"/>
    <w:rsid w:val="2BDA4BD6"/>
    <w:rsid w:val="2BEC2B5B"/>
    <w:rsid w:val="2C1300E8"/>
    <w:rsid w:val="2C153E60"/>
    <w:rsid w:val="2C2E4F21"/>
    <w:rsid w:val="2C4206CF"/>
    <w:rsid w:val="2C430292"/>
    <w:rsid w:val="2C5324CF"/>
    <w:rsid w:val="2C5C1A8E"/>
    <w:rsid w:val="2CB82A3D"/>
    <w:rsid w:val="2CBA2998"/>
    <w:rsid w:val="2CE95BC3"/>
    <w:rsid w:val="2D2A598E"/>
    <w:rsid w:val="2D314CC9"/>
    <w:rsid w:val="2D3B4D40"/>
    <w:rsid w:val="2D412A32"/>
    <w:rsid w:val="2D564730"/>
    <w:rsid w:val="2D8305AC"/>
    <w:rsid w:val="2D984D48"/>
    <w:rsid w:val="2DB66F7C"/>
    <w:rsid w:val="2E07339C"/>
    <w:rsid w:val="2E091CF1"/>
    <w:rsid w:val="2E1A197C"/>
    <w:rsid w:val="2E28053D"/>
    <w:rsid w:val="2E494294"/>
    <w:rsid w:val="2E6A7D67"/>
    <w:rsid w:val="2E982B26"/>
    <w:rsid w:val="2EA471C7"/>
    <w:rsid w:val="2EAD4823"/>
    <w:rsid w:val="2F0B154A"/>
    <w:rsid w:val="2F1B42F5"/>
    <w:rsid w:val="2F2820FC"/>
    <w:rsid w:val="2F326AD7"/>
    <w:rsid w:val="2F5C7FF7"/>
    <w:rsid w:val="2F61116A"/>
    <w:rsid w:val="2F6A6270"/>
    <w:rsid w:val="2F7B66D0"/>
    <w:rsid w:val="2FA06136"/>
    <w:rsid w:val="2FB614B6"/>
    <w:rsid w:val="2FB76FDC"/>
    <w:rsid w:val="2FD05BC7"/>
    <w:rsid w:val="2FEB267F"/>
    <w:rsid w:val="2FF7387C"/>
    <w:rsid w:val="3011493E"/>
    <w:rsid w:val="30156AF1"/>
    <w:rsid w:val="302F5C26"/>
    <w:rsid w:val="30466CDD"/>
    <w:rsid w:val="3052050E"/>
    <w:rsid w:val="305471BD"/>
    <w:rsid w:val="30590D8F"/>
    <w:rsid w:val="305C2FB9"/>
    <w:rsid w:val="30670A02"/>
    <w:rsid w:val="30676C54"/>
    <w:rsid w:val="30986E0D"/>
    <w:rsid w:val="30A32C18"/>
    <w:rsid w:val="30A9101A"/>
    <w:rsid w:val="30C714A1"/>
    <w:rsid w:val="30C96FC7"/>
    <w:rsid w:val="30D81900"/>
    <w:rsid w:val="30D836AE"/>
    <w:rsid w:val="30E87D95"/>
    <w:rsid w:val="310B75DF"/>
    <w:rsid w:val="31181CFC"/>
    <w:rsid w:val="312F5DB4"/>
    <w:rsid w:val="313372A0"/>
    <w:rsid w:val="31391DEA"/>
    <w:rsid w:val="31480833"/>
    <w:rsid w:val="316B62D0"/>
    <w:rsid w:val="31771119"/>
    <w:rsid w:val="319D6984"/>
    <w:rsid w:val="31A4786F"/>
    <w:rsid w:val="31C277EF"/>
    <w:rsid w:val="31CE69F8"/>
    <w:rsid w:val="31CF0AB2"/>
    <w:rsid w:val="31F14A27"/>
    <w:rsid w:val="31F2254D"/>
    <w:rsid w:val="320D7387"/>
    <w:rsid w:val="32282096"/>
    <w:rsid w:val="3253123E"/>
    <w:rsid w:val="3281224F"/>
    <w:rsid w:val="32AC4DF2"/>
    <w:rsid w:val="32B53CA7"/>
    <w:rsid w:val="32DF0D23"/>
    <w:rsid w:val="32EB6BF2"/>
    <w:rsid w:val="32EB76C8"/>
    <w:rsid w:val="32F522F5"/>
    <w:rsid w:val="3310712F"/>
    <w:rsid w:val="331E0A5A"/>
    <w:rsid w:val="333A0B2D"/>
    <w:rsid w:val="334D79EE"/>
    <w:rsid w:val="33541711"/>
    <w:rsid w:val="335419DE"/>
    <w:rsid w:val="338673F1"/>
    <w:rsid w:val="339C4E66"/>
    <w:rsid w:val="33C06DA7"/>
    <w:rsid w:val="33D0607D"/>
    <w:rsid w:val="33D75E9F"/>
    <w:rsid w:val="340071A3"/>
    <w:rsid w:val="343432F1"/>
    <w:rsid w:val="344A2B14"/>
    <w:rsid w:val="344E43B3"/>
    <w:rsid w:val="34607C42"/>
    <w:rsid w:val="347A51A8"/>
    <w:rsid w:val="34831B82"/>
    <w:rsid w:val="34853B4C"/>
    <w:rsid w:val="349F4C0E"/>
    <w:rsid w:val="34C71A6F"/>
    <w:rsid w:val="352168DB"/>
    <w:rsid w:val="353A66E5"/>
    <w:rsid w:val="354B08F2"/>
    <w:rsid w:val="354B11FE"/>
    <w:rsid w:val="358D4A0B"/>
    <w:rsid w:val="359F479A"/>
    <w:rsid w:val="35AC725F"/>
    <w:rsid w:val="35C75343"/>
    <w:rsid w:val="35EA68F1"/>
    <w:rsid w:val="35FB40C6"/>
    <w:rsid w:val="360A4309"/>
    <w:rsid w:val="36121410"/>
    <w:rsid w:val="361231BE"/>
    <w:rsid w:val="362D7750"/>
    <w:rsid w:val="364D2448"/>
    <w:rsid w:val="365D08DD"/>
    <w:rsid w:val="366559E4"/>
    <w:rsid w:val="36D277A2"/>
    <w:rsid w:val="36DD37CC"/>
    <w:rsid w:val="36EC1C61"/>
    <w:rsid w:val="36FA25D0"/>
    <w:rsid w:val="371511B8"/>
    <w:rsid w:val="37172D68"/>
    <w:rsid w:val="372F1B4E"/>
    <w:rsid w:val="373158C6"/>
    <w:rsid w:val="37386C54"/>
    <w:rsid w:val="375269BA"/>
    <w:rsid w:val="376161AB"/>
    <w:rsid w:val="377D2FD4"/>
    <w:rsid w:val="379E30BF"/>
    <w:rsid w:val="37A708AA"/>
    <w:rsid w:val="37B26A07"/>
    <w:rsid w:val="37C23524"/>
    <w:rsid w:val="37E312B6"/>
    <w:rsid w:val="387E2D8D"/>
    <w:rsid w:val="3885739A"/>
    <w:rsid w:val="388F4F9A"/>
    <w:rsid w:val="38A02D03"/>
    <w:rsid w:val="38A565E1"/>
    <w:rsid w:val="38A92E45"/>
    <w:rsid w:val="38AE3672"/>
    <w:rsid w:val="38C369F1"/>
    <w:rsid w:val="38C42E95"/>
    <w:rsid w:val="38CD7870"/>
    <w:rsid w:val="38E95F35"/>
    <w:rsid w:val="38F35529"/>
    <w:rsid w:val="39227BBC"/>
    <w:rsid w:val="39235CD0"/>
    <w:rsid w:val="395756C6"/>
    <w:rsid w:val="39662ED0"/>
    <w:rsid w:val="39677CC5"/>
    <w:rsid w:val="397321C6"/>
    <w:rsid w:val="39780712"/>
    <w:rsid w:val="397A17A6"/>
    <w:rsid w:val="39882115"/>
    <w:rsid w:val="39A86F0F"/>
    <w:rsid w:val="39AC16A8"/>
    <w:rsid w:val="3A03179B"/>
    <w:rsid w:val="3A054D7B"/>
    <w:rsid w:val="3A2B6F44"/>
    <w:rsid w:val="3A52627F"/>
    <w:rsid w:val="3A686A7E"/>
    <w:rsid w:val="3A8D5509"/>
    <w:rsid w:val="3A9442DF"/>
    <w:rsid w:val="3A944AE9"/>
    <w:rsid w:val="3AA82343"/>
    <w:rsid w:val="3AFC7CF6"/>
    <w:rsid w:val="3B1479D8"/>
    <w:rsid w:val="3B5775CB"/>
    <w:rsid w:val="3B954675"/>
    <w:rsid w:val="3BC92571"/>
    <w:rsid w:val="3BF64B48"/>
    <w:rsid w:val="3C017F5D"/>
    <w:rsid w:val="3C37397E"/>
    <w:rsid w:val="3C3E2E1B"/>
    <w:rsid w:val="3C3E5E55"/>
    <w:rsid w:val="3C461E13"/>
    <w:rsid w:val="3C74072E"/>
    <w:rsid w:val="3C783A46"/>
    <w:rsid w:val="3CB15833"/>
    <w:rsid w:val="3CC176EC"/>
    <w:rsid w:val="3CD25455"/>
    <w:rsid w:val="3CD967E3"/>
    <w:rsid w:val="3CE358B4"/>
    <w:rsid w:val="3CE37662"/>
    <w:rsid w:val="3CE55188"/>
    <w:rsid w:val="3CEB0831"/>
    <w:rsid w:val="3CFB7D9B"/>
    <w:rsid w:val="3D361E88"/>
    <w:rsid w:val="3D7B3D3F"/>
    <w:rsid w:val="3D9F17DB"/>
    <w:rsid w:val="3DAB759E"/>
    <w:rsid w:val="3DB80AEF"/>
    <w:rsid w:val="3DD61C48"/>
    <w:rsid w:val="3DEE4511"/>
    <w:rsid w:val="3DFF671E"/>
    <w:rsid w:val="3E0D6740"/>
    <w:rsid w:val="3E134B83"/>
    <w:rsid w:val="3E261EFC"/>
    <w:rsid w:val="3E285C74"/>
    <w:rsid w:val="3E363920"/>
    <w:rsid w:val="3E4B54BF"/>
    <w:rsid w:val="3E5F0F6A"/>
    <w:rsid w:val="3E703177"/>
    <w:rsid w:val="3E7E5894"/>
    <w:rsid w:val="3E930283"/>
    <w:rsid w:val="3EA7589C"/>
    <w:rsid w:val="3EB94B1E"/>
    <w:rsid w:val="3ECA2888"/>
    <w:rsid w:val="3ECA6436"/>
    <w:rsid w:val="3F165ACD"/>
    <w:rsid w:val="3F2006FA"/>
    <w:rsid w:val="3F23691D"/>
    <w:rsid w:val="3F254B77"/>
    <w:rsid w:val="3F255D10"/>
    <w:rsid w:val="3F4D34B9"/>
    <w:rsid w:val="3F4E2026"/>
    <w:rsid w:val="3F64444C"/>
    <w:rsid w:val="3F6C7DE3"/>
    <w:rsid w:val="3F730A28"/>
    <w:rsid w:val="3F8A0269"/>
    <w:rsid w:val="3F9A4950"/>
    <w:rsid w:val="3FA05CDE"/>
    <w:rsid w:val="3FD46CAA"/>
    <w:rsid w:val="3FF1653A"/>
    <w:rsid w:val="3FF23FB2"/>
    <w:rsid w:val="40073E39"/>
    <w:rsid w:val="4044666A"/>
    <w:rsid w:val="405745EF"/>
    <w:rsid w:val="406B3BF6"/>
    <w:rsid w:val="407D1B7C"/>
    <w:rsid w:val="40912C1B"/>
    <w:rsid w:val="40BC6B48"/>
    <w:rsid w:val="40BF2194"/>
    <w:rsid w:val="40D914A8"/>
    <w:rsid w:val="40FB5363"/>
    <w:rsid w:val="40FF07E3"/>
    <w:rsid w:val="411029F0"/>
    <w:rsid w:val="41322966"/>
    <w:rsid w:val="4148218A"/>
    <w:rsid w:val="41662610"/>
    <w:rsid w:val="41792343"/>
    <w:rsid w:val="419E6C87"/>
    <w:rsid w:val="41AE2885"/>
    <w:rsid w:val="41C72FE7"/>
    <w:rsid w:val="41DE664A"/>
    <w:rsid w:val="420460B1"/>
    <w:rsid w:val="42091919"/>
    <w:rsid w:val="420936C7"/>
    <w:rsid w:val="42641245"/>
    <w:rsid w:val="427D76C5"/>
    <w:rsid w:val="427F570E"/>
    <w:rsid w:val="428E19BE"/>
    <w:rsid w:val="42A81132"/>
    <w:rsid w:val="42B57912"/>
    <w:rsid w:val="42BF73E1"/>
    <w:rsid w:val="42C6780A"/>
    <w:rsid w:val="42D17381"/>
    <w:rsid w:val="43010592"/>
    <w:rsid w:val="43016A94"/>
    <w:rsid w:val="431631B6"/>
    <w:rsid w:val="432A7D99"/>
    <w:rsid w:val="433F1693"/>
    <w:rsid w:val="4348021F"/>
    <w:rsid w:val="43574906"/>
    <w:rsid w:val="435C3CCA"/>
    <w:rsid w:val="436808C1"/>
    <w:rsid w:val="43797959"/>
    <w:rsid w:val="43A538C3"/>
    <w:rsid w:val="43F10E47"/>
    <w:rsid w:val="443469F5"/>
    <w:rsid w:val="443F0D4E"/>
    <w:rsid w:val="444F08FA"/>
    <w:rsid w:val="44A92F3F"/>
    <w:rsid w:val="44AA682F"/>
    <w:rsid w:val="44B04757"/>
    <w:rsid w:val="44B33DBE"/>
    <w:rsid w:val="44CC6C2E"/>
    <w:rsid w:val="44D82230"/>
    <w:rsid w:val="44E623E5"/>
    <w:rsid w:val="44F52628"/>
    <w:rsid w:val="4521341D"/>
    <w:rsid w:val="4577128F"/>
    <w:rsid w:val="45796DB6"/>
    <w:rsid w:val="458F1374"/>
    <w:rsid w:val="459650CE"/>
    <w:rsid w:val="45A02594"/>
    <w:rsid w:val="45A100BA"/>
    <w:rsid w:val="45A81449"/>
    <w:rsid w:val="45BA7307"/>
    <w:rsid w:val="45BF224B"/>
    <w:rsid w:val="45D70BB4"/>
    <w:rsid w:val="45E702E2"/>
    <w:rsid w:val="461D3BE5"/>
    <w:rsid w:val="46252A99"/>
    <w:rsid w:val="46464E61"/>
    <w:rsid w:val="464C6278"/>
    <w:rsid w:val="46527D96"/>
    <w:rsid w:val="465A6BE7"/>
    <w:rsid w:val="465F6C1E"/>
    <w:rsid w:val="466D4392"/>
    <w:rsid w:val="46AE6F33"/>
    <w:rsid w:val="46D251C1"/>
    <w:rsid w:val="46D87B0C"/>
    <w:rsid w:val="46F72688"/>
    <w:rsid w:val="47307948"/>
    <w:rsid w:val="473F7B8B"/>
    <w:rsid w:val="474748AD"/>
    <w:rsid w:val="476E221E"/>
    <w:rsid w:val="47880C90"/>
    <w:rsid w:val="478A52AA"/>
    <w:rsid w:val="478B2DD0"/>
    <w:rsid w:val="478D08F6"/>
    <w:rsid w:val="47AA14A8"/>
    <w:rsid w:val="47D5040F"/>
    <w:rsid w:val="47DB5B06"/>
    <w:rsid w:val="480A63EB"/>
    <w:rsid w:val="480F1D14"/>
    <w:rsid w:val="48254FD3"/>
    <w:rsid w:val="483A5C59"/>
    <w:rsid w:val="484418FD"/>
    <w:rsid w:val="485E4AD4"/>
    <w:rsid w:val="48A97402"/>
    <w:rsid w:val="48C7608A"/>
    <w:rsid w:val="48D16F09"/>
    <w:rsid w:val="48DF7304"/>
    <w:rsid w:val="48E72288"/>
    <w:rsid w:val="48F03833"/>
    <w:rsid w:val="48F84495"/>
    <w:rsid w:val="492928A1"/>
    <w:rsid w:val="49441489"/>
    <w:rsid w:val="49634005"/>
    <w:rsid w:val="49836455"/>
    <w:rsid w:val="49A36FB3"/>
    <w:rsid w:val="49AF724A"/>
    <w:rsid w:val="49BF6D61"/>
    <w:rsid w:val="49EA6E56"/>
    <w:rsid w:val="4A2D63C1"/>
    <w:rsid w:val="4A301A0D"/>
    <w:rsid w:val="4A3B55B5"/>
    <w:rsid w:val="4A3D12CF"/>
    <w:rsid w:val="4A527BD5"/>
    <w:rsid w:val="4A58168F"/>
    <w:rsid w:val="4A987CDE"/>
    <w:rsid w:val="4A9F106C"/>
    <w:rsid w:val="4AAA68CA"/>
    <w:rsid w:val="4AD64D94"/>
    <w:rsid w:val="4AE233ED"/>
    <w:rsid w:val="4AE37B55"/>
    <w:rsid w:val="4AF40C8C"/>
    <w:rsid w:val="4AF876DD"/>
    <w:rsid w:val="4B1732F9"/>
    <w:rsid w:val="4B515331"/>
    <w:rsid w:val="4B59733D"/>
    <w:rsid w:val="4B7A5635"/>
    <w:rsid w:val="4B7B4D7B"/>
    <w:rsid w:val="4B8263B6"/>
    <w:rsid w:val="4BA6642B"/>
    <w:rsid w:val="4C0D64AA"/>
    <w:rsid w:val="4C0E1A2A"/>
    <w:rsid w:val="4C0E36FF"/>
    <w:rsid w:val="4C87000A"/>
    <w:rsid w:val="4C8F2B51"/>
    <w:rsid w:val="4C9B49B3"/>
    <w:rsid w:val="4CC4300C"/>
    <w:rsid w:val="4CC44A4F"/>
    <w:rsid w:val="4D44414D"/>
    <w:rsid w:val="4D826A23"/>
    <w:rsid w:val="4D965D05"/>
    <w:rsid w:val="4DA61B08"/>
    <w:rsid w:val="4E4D0DDF"/>
    <w:rsid w:val="4E5E527F"/>
    <w:rsid w:val="4E7C16C5"/>
    <w:rsid w:val="4EA05786"/>
    <w:rsid w:val="4EA2737D"/>
    <w:rsid w:val="4ED25CA6"/>
    <w:rsid w:val="4EE722DC"/>
    <w:rsid w:val="4F0516BA"/>
    <w:rsid w:val="4F155DA1"/>
    <w:rsid w:val="4F1929FE"/>
    <w:rsid w:val="4F1F277C"/>
    <w:rsid w:val="4F3C2AD4"/>
    <w:rsid w:val="4F585C8E"/>
    <w:rsid w:val="4F6E342D"/>
    <w:rsid w:val="4FC26F6B"/>
    <w:rsid w:val="50143339"/>
    <w:rsid w:val="50153B7F"/>
    <w:rsid w:val="5038161B"/>
    <w:rsid w:val="504306EC"/>
    <w:rsid w:val="50A2296E"/>
    <w:rsid w:val="50AF18DD"/>
    <w:rsid w:val="50EA7B76"/>
    <w:rsid w:val="510732CD"/>
    <w:rsid w:val="511F36E3"/>
    <w:rsid w:val="51260B78"/>
    <w:rsid w:val="51273B6A"/>
    <w:rsid w:val="51341295"/>
    <w:rsid w:val="513F6B23"/>
    <w:rsid w:val="514C35D0"/>
    <w:rsid w:val="514E311F"/>
    <w:rsid w:val="51694182"/>
    <w:rsid w:val="51711289"/>
    <w:rsid w:val="51A451BA"/>
    <w:rsid w:val="51BF1EA6"/>
    <w:rsid w:val="51D325C4"/>
    <w:rsid w:val="51D35A9F"/>
    <w:rsid w:val="51E43C02"/>
    <w:rsid w:val="52043EAB"/>
    <w:rsid w:val="52171E30"/>
    <w:rsid w:val="521A722A"/>
    <w:rsid w:val="522E1658"/>
    <w:rsid w:val="523B2375"/>
    <w:rsid w:val="5244074B"/>
    <w:rsid w:val="52450697"/>
    <w:rsid w:val="525D0973"/>
    <w:rsid w:val="528A553D"/>
    <w:rsid w:val="528B0128"/>
    <w:rsid w:val="528B1ED6"/>
    <w:rsid w:val="52911ABB"/>
    <w:rsid w:val="52911BE2"/>
    <w:rsid w:val="530140D1"/>
    <w:rsid w:val="530C1269"/>
    <w:rsid w:val="533B38FC"/>
    <w:rsid w:val="53430A03"/>
    <w:rsid w:val="534E1882"/>
    <w:rsid w:val="537D5CC3"/>
    <w:rsid w:val="539B25ED"/>
    <w:rsid w:val="53A261E5"/>
    <w:rsid w:val="53B50756"/>
    <w:rsid w:val="53CE44F7"/>
    <w:rsid w:val="53D116F8"/>
    <w:rsid w:val="540C4EA5"/>
    <w:rsid w:val="540E49D9"/>
    <w:rsid w:val="5419001D"/>
    <w:rsid w:val="543C16DA"/>
    <w:rsid w:val="543D36A4"/>
    <w:rsid w:val="547A48F8"/>
    <w:rsid w:val="548D46D7"/>
    <w:rsid w:val="549332C4"/>
    <w:rsid w:val="5496599E"/>
    <w:rsid w:val="54A454D1"/>
    <w:rsid w:val="54A9321D"/>
    <w:rsid w:val="54C142D5"/>
    <w:rsid w:val="54E14BCA"/>
    <w:rsid w:val="54E21978"/>
    <w:rsid w:val="54E85C1C"/>
    <w:rsid w:val="55161382"/>
    <w:rsid w:val="55385EA0"/>
    <w:rsid w:val="556E7FB9"/>
    <w:rsid w:val="559F602D"/>
    <w:rsid w:val="55F17DA0"/>
    <w:rsid w:val="55F64315"/>
    <w:rsid w:val="56262642"/>
    <w:rsid w:val="564735D2"/>
    <w:rsid w:val="566B387C"/>
    <w:rsid w:val="56813D1C"/>
    <w:rsid w:val="56C1236A"/>
    <w:rsid w:val="56CC3C8A"/>
    <w:rsid w:val="572440FC"/>
    <w:rsid w:val="57340D8E"/>
    <w:rsid w:val="573C15F1"/>
    <w:rsid w:val="576A2A02"/>
    <w:rsid w:val="576D3035"/>
    <w:rsid w:val="57831D16"/>
    <w:rsid w:val="57A8352A"/>
    <w:rsid w:val="57E37458"/>
    <w:rsid w:val="57E427B4"/>
    <w:rsid w:val="57E83927"/>
    <w:rsid w:val="580551D2"/>
    <w:rsid w:val="583059FA"/>
    <w:rsid w:val="58466FCB"/>
    <w:rsid w:val="58674B48"/>
    <w:rsid w:val="586B0EFA"/>
    <w:rsid w:val="587358E6"/>
    <w:rsid w:val="58A6570D"/>
    <w:rsid w:val="58DF4D2A"/>
    <w:rsid w:val="58E30CBE"/>
    <w:rsid w:val="58E3481A"/>
    <w:rsid w:val="58E36154"/>
    <w:rsid w:val="58E6255C"/>
    <w:rsid w:val="58F971BD"/>
    <w:rsid w:val="591075D9"/>
    <w:rsid w:val="59205BB5"/>
    <w:rsid w:val="594828CF"/>
    <w:rsid w:val="595219A0"/>
    <w:rsid w:val="59680249"/>
    <w:rsid w:val="596E328E"/>
    <w:rsid w:val="59B12B6A"/>
    <w:rsid w:val="59D2488F"/>
    <w:rsid w:val="59D81763"/>
    <w:rsid w:val="59DE3233"/>
    <w:rsid w:val="59EA607C"/>
    <w:rsid w:val="59EE16C8"/>
    <w:rsid w:val="59F72B17"/>
    <w:rsid w:val="59FE5684"/>
    <w:rsid w:val="5A144EA7"/>
    <w:rsid w:val="5A3B0686"/>
    <w:rsid w:val="5A557999"/>
    <w:rsid w:val="5A57203E"/>
    <w:rsid w:val="5A5A4FB0"/>
    <w:rsid w:val="5A821E11"/>
    <w:rsid w:val="5A865DA5"/>
    <w:rsid w:val="5A9875DF"/>
    <w:rsid w:val="5ABC29E4"/>
    <w:rsid w:val="5ABD4653"/>
    <w:rsid w:val="5AC468CD"/>
    <w:rsid w:val="5AE12FDB"/>
    <w:rsid w:val="5AE825BC"/>
    <w:rsid w:val="5B046CCA"/>
    <w:rsid w:val="5B10566E"/>
    <w:rsid w:val="5B24736C"/>
    <w:rsid w:val="5B373EB2"/>
    <w:rsid w:val="5B44356A"/>
    <w:rsid w:val="5B57504B"/>
    <w:rsid w:val="5B5B538C"/>
    <w:rsid w:val="5B7C71A8"/>
    <w:rsid w:val="5B9242D5"/>
    <w:rsid w:val="5BB26726"/>
    <w:rsid w:val="5BBA55DA"/>
    <w:rsid w:val="5BEE37BF"/>
    <w:rsid w:val="5BF64864"/>
    <w:rsid w:val="5C180C7F"/>
    <w:rsid w:val="5C1D0043"/>
    <w:rsid w:val="5C321615"/>
    <w:rsid w:val="5C3A0EAF"/>
    <w:rsid w:val="5C9D2F32"/>
    <w:rsid w:val="5D577585"/>
    <w:rsid w:val="5D85087D"/>
    <w:rsid w:val="5D9407D9"/>
    <w:rsid w:val="5DD76917"/>
    <w:rsid w:val="5DE80B25"/>
    <w:rsid w:val="5DF31D5B"/>
    <w:rsid w:val="5DF94AE0"/>
    <w:rsid w:val="5E167440"/>
    <w:rsid w:val="5E2E29DB"/>
    <w:rsid w:val="5E541D16"/>
    <w:rsid w:val="5E557885"/>
    <w:rsid w:val="5E680D0B"/>
    <w:rsid w:val="5E6F274C"/>
    <w:rsid w:val="5E761C8C"/>
    <w:rsid w:val="5E780AD9"/>
    <w:rsid w:val="5E8C14B0"/>
    <w:rsid w:val="5EB6652D"/>
    <w:rsid w:val="5ECE7D1A"/>
    <w:rsid w:val="5EF05EE3"/>
    <w:rsid w:val="5F1848D0"/>
    <w:rsid w:val="5F3538F6"/>
    <w:rsid w:val="5F473629"/>
    <w:rsid w:val="5F6D10D8"/>
    <w:rsid w:val="5F7A39FE"/>
    <w:rsid w:val="5F8D4A8E"/>
    <w:rsid w:val="5F914E0B"/>
    <w:rsid w:val="5FCD3B2E"/>
    <w:rsid w:val="5FF13CC0"/>
    <w:rsid w:val="60076D0D"/>
    <w:rsid w:val="60234096"/>
    <w:rsid w:val="60255BF2"/>
    <w:rsid w:val="602D1E31"/>
    <w:rsid w:val="603E2C7E"/>
    <w:rsid w:val="605769AD"/>
    <w:rsid w:val="605D1356"/>
    <w:rsid w:val="60B33EDC"/>
    <w:rsid w:val="60C50CA9"/>
    <w:rsid w:val="60D4713E"/>
    <w:rsid w:val="60E36A60"/>
    <w:rsid w:val="60F35CC0"/>
    <w:rsid w:val="611F03B9"/>
    <w:rsid w:val="61367255"/>
    <w:rsid w:val="613D1187"/>
    <w:rsid w:val="6162171B"/>
    <w:rsid w:val="61624018"/>
    <w:rsid w:val="61783F6D"/>
    <w:rsid w:val="61A44D62"/>
    <w:rsid w:val="61B74A96"/>
    <w:rsid w:val="61BE5E24"/>
    <w:rsid w:val="61BF1B9C"/>
    <w:rsid w:val="61DC1A85"/>
    <w:rsid w:val="61FB14B7"/>
    <w:rsid w:val="61FE4473"/>
    <w:rsid w:val="62233ED9"/>
    <w:rsid w:val="62287D42"/>
    <w:rsid w:val="6233122C"/>
    <w:rsid w:val="624C1682"/>
    <w:rsid w:val="62532CB7"/>
    <w:rsid w:val="625E7607"/>
    <w:rsid w:val="62652744"/>
    <w:rsid w:val="62716E05"/>
    <w:rsid w:val="62805EF2"/>
    <w:rsid w:val="629D04D5"/>
    <w:rsid w:val="62F871FA"/>
    <w:rsid w:val="6300246C"/>
    <w:rsid w:val="63495BC1"/>
    <w:rsid w:val="635D341B"/>
    <w:rsid w:val="637D5875"/>
    <w:rsid w:val="63831DC0"/>
    <w:rsid w:val="63932A29"/>
    <w:rsid w:val="63984453"/>
    <w:rsid w:val="63C11BFC"/>
    <w:rsid w:val="63D277F1"/>
    <w:rsid w:val="63DD630A"/>
    <w:rsid w:val="63E1229E"/>
    <w:rsid w:val="63EB6C79"/>
    <w:rsid w:val="641C2C8D"/>
    <w:rsid w:val="642F4DB7"/>
    <w:rsid w:val="644B1E0A"/>
    <w:rsid w:val="64A37553"/>
    <w:rsid w:val="64F34037"/>
    <w:rsid w:val="65271F32"/>
    <w:rsid w:val="6531690D"/>
    <w:rsid w:val="6535464F"/>
    <w:rsid w:val="653E102A"/>
    <w:rsid w:val="656D3290"/>
    <w:rsid w:val="6598309D"/>
    <w:rsid w:val="65AC2438"/>
    <w:rsid w:val="65B06CA7"/>
    <w:rsid w:val="65B65064"/>
    <w:rsid w:val="65B87ABC"/>
    <w:rsid w:val="65DA51F7"/>
    <w:rsid w:val="65E9368C"/>
    <w:rsid w:val="6605645B"/>
    <w:rsid w:val="662F5543"/>
    <w:rsid w:val="6632293D"/>
    <w:rsid w:val="6655487D"/>
    <w:rsid w:val="665808D4"/>
    <w:rsid w:val="667354DB"/>
    <w:rsid w:val="66AA3E9D"/>
    <w:rsid w:val="66D24120"/>
    <w:rsid w:val="670412F1"/>
    <w:rsid w:val="671169F6"/>
    <w:rsid w:val="671E495C"/>
    <w:rsid w:val="67351F0A"/>
    <w:rsid w:val="67371656"/>
    <w:rsid w:val="6760172C"/>
    <w:rsid w:val="67840CA7"/>
    <w:rsid w:val="67A1421E"/>
    <w:rsid w:val="67A930D3"/>
    <w:rsid w:val="67B479A6"/>
    <w:rsid w:val="67CA6BA8"/>
    <w:rsid w:val="67CB3DB2"/>
    <w:rsid w:val="67DA328C"/>
    <w:rsid w:val="68282249"/>
    <w:rsid w:val="6832115E"/>
    <w:rsid w:val="68376930"/>
    <w:rsid w:val="683D54AC"/>
    <w:rsid w:val="68442DFB"/>
    <w:rsid w:val="685A43CD"/>
    <w:rsid w:val="68751207"/>
    <w:rsid w:val="68CA50AF"/>
    <w:rsid w:val="68DC4DE2"/>
    <w:rsid w:val="69036813"/>
    <w:rsid w:val="69074555"/>
    <w:rsid w:val="690C3919"/>
    <w:rsid w:val="691D5B26"/>
    <w:rsid w:val="692A1FF1"/>
    <w:rsid w:val="693410C2"/>
    <w:rsid w:val="69407A67"/>
    <w:rsid w:val="69531548"/>
    <w:rsid w:val="696D1EDE"/>
    <w:rsid w:val="698B0F3C"/>
    <w:rsid w:val="6A4F5D40"/>
    <w:rsid w:val="6A505A87"/>
    <w:rsid w:val="6A554E4C"/>
    <w:rsid w:val="6A751B1E"/>
    <w:rsid w:val="6A884FB9"/>
    <w:rsid w:val="6A89513B"/>
    <w:rsid w:val="6A8F1BA0"/>
    <w:rsid w:val="6AA45DD3"/>
    <w:rsid w:val="6AC36259"/>
    <w:rsid w:val="6ADF0BB9"/>
    <w:rsid w:val="6AEC2747"/>
    <w:rsid w:val="6B064398"/>
    <w:rsid w:val="6B093CD1"/>
    <w:rsid w:val="6B120F8F"/>
    <w:rsid w:val="6B16485A"/>
    <w:rsid w:val="6B2320D7"/>
    <w:rsid w:val="6B4E4254"/>
    <w:rsid w:val="6B735ED1"/>
    <w:rsid w:val="6B901BBF"/>
    <w:rsid w:val="6B910106"/>
    <w:rsid w:val="6B9145AA"/>
    <w:rsid w:val="6B9758F6"/>
    <w:rsid w:val="6BAF4A30"/>
    <w:rsid w:val="6BB87D88"/>
    <w:rsid w:val="6BB96BFA"/>
    <w:rsid w:val="6BBB6967"/>
    <w:rsid w:val="6BBC7B26"/>
    <w:rsid w:val="6BC826F6"/>
    <w:rsid w:val="6BCC25F8"/>
    <w:rsid w:val="6BEB1F0C"/>
    <w:rsid w:val="6BF54B38"/>
    <w:rsid w:val="6C1F3963"/>
    <w:rsid w:val="6C86289F"/>
    <w:rsid w:val="6C9C6D62"/>
    <w:rsid w:val="6CB239D6"/>
    <w:rsid w:val="6CCF5389"/>
    <w:rsid w:val="6CFE7A1D"/>
    <w:rsid w:val="6D014440"/>
    <w:rsid w:val="6D3A2E91"/>
    <w:rsid w:val="6D3B2A1F"/>
    <w:rsid w:val="6D4D0803"/>
    <w:rsid w:val="6D4D3F30"/>
    <w:rsid w:val="6D7D1F79"/>
    <w:rsid w:val="6DA93E2C"/>
    <w:rsid w:val="6DDD5884"/>
    <w:rsid w:val="6DEA7FA1"/>
    <w:rsid w:val="6DF80627"/>
    <w:rsid w:val="6E0077C5"/>
    <w:rsid w:val="6E023909"/>
    <w:rsid w:val="6E4476B1"/>
    <w:rsid w:val="6E4C1C89"/>
    <w:rsid w:val="6E57182F"/>
    <w:rsid w:val="6E647AFF"/>
    <w:rsid w:val="6E8361F8"/>
    <w:rsid w:val="6EAD34A8"/>
    <w:rsid w:val="6EBB3B41"/>
    <w:rsid w:val="6ECB7DD2"/>
    <w:rsid w:val="6EE64C0C"/>
    <w:rsid w:val="6F06705D"/>
    <w:rsid w:val="6F212EC1"/>
    <w:rsid w:val="6F235519"/>
    <w:rsid w:val="6F327E52"/>
    <w:rsid w:val="6F3F60CB"/>
    <w:rsid w:val="6F8C7562"/>
    <w:rsid w:val="6F9C1A74"/>
    <w:rsid w:val="6FBD596D"/>
    <w:rsid w:val="70384FF4"/>
    <w:rsid w:val="70450A8F"/>
    <w:rsid w:val="705362D1"/>
    <w:rsid w:val="70651B61"/>
    <w:rsid w:val="70AD4F37"/>
    <w:rsid w:val="70B054D2"/>
    <w:rsid w:val="70B52AE8"/>
    <w:rsid w:val="70BC5C25"/>
    <w:rsid w:val="70FA674D"/>
    <w:rsid w:val="7121676F"/>
    <w:rsid w:val="71285068"/>
    <w:rsid w:val="71397275"/>
    <w:rsid w:val="71431EA2"/>
    <w:rsid w:val="71704C61"/>
    <w:rsid w:val="717F16B5"/>
    <w:rsid w:val="71864485"/>
    <w:rsid w:val="71A843FB"/>
    <w:rsid w:val="71B66B18"/>
    <w:rsid w:val="71D94C97"/>
    <w:rsid w:val="720F447A"/>
    <w:rsid w:val="722F294A"/>
    <w:rsid w:val="72323CC5"/>
    <w:rsid w:val="724619EF"/>
    <w:rsid w:val="724A7813"/>
    <w:rsid w:val="72556331"/>
    <w:rsid w:val="725B4445"/>
    <w:rsid w:val="727367B7"/>
    <w:rsid w:val="728131E8"/>
    <w:rsid w:val="7298446F"/>
    <w:rsid w:val="72BD3ED6"/>
    <w:rsid w:val="72D000A5"/>
    <w:rsid w:val="72D60AF4"/>
    <w:rsid w:val="72D668EA"/>
    <w:rsid w:val="72F35B4A"/>
    <w:rsid w:val="7329156C"/>
    <w:rsid w:val="73315CB3"/>
    <w:rsid w:val="734038C7"/>
    <w:rsid w:val="73614861"/>
    <w:rsid w:val="737605AD"/>
    <w:rsid w:val="7386251A"/>
    <w:rsid w:val="73B452D9"/>
    <w:rsid w:val="73CA2D31"/>
    <w:rsid w:val="73D6524F"/>
    <w:rsid w:val="74177616"/>
    <w:rsid w:val="741E2752"/>
    <w:rsid w:val="74273CFD"/>
    <w:rsid w:val="745B7963"/>
    <w:rsid w:val="747F58E7"/>
    <w:rsid w:val="74A14487"/>
    <w:rsid w:val="74B241C2"/>
    <w:rsid w:val="74BA685B"/>
    <w:rsid w:val="74C50E20"/>
    <w:rsid w:val="74CD1BF2"/>
    <w:rsid w:val="74E4574A"/>
    <w:rsid w:val="74E514C2"/>
    <w:rsid w:val="75521015"/>
    <w:rsid w:val="75524DAA"/>
    <w:rsid w:val="75662603"/>
    <w:rsid w:val="757B7C44"/>
    <w:rsid w:val="758D5DE2"/>
    <w:rsid w:val="75907680"/>
    <w:rsid w:val="759B62C5"/>
    <w:rsid w:val="75AB270C"/>
    <w:rsid w:val="75CC3053"/>
    <w:rsid w:val="760836BA"/>
    <w:rsid w:val="7610431D"/>
    <w:rsid w:val="762056A5"/>
    <w:rsid w:val="76222141"/>
    <w:rsid w:val="763D7808"/>
    <w:rsid w:val="76816FC9"/>
    <w:rsid w:val="768A0573"/>
    <w:rsid w:val="769B452E"/>
    <w:rsid w:val="76AC673B"/>
    <w:rsid w:val="76BD0D0D"/>
    <w:rsid w:val="76D24B93"/>
    <w:rsid w:val="76E23F0B"/>
    <w:rsid w:val="77277B70"/>
    <w:rsid w:val="77324E93"/>
    <w:rsid w:val="773A78A3"/>
    <w:rsid w:val="773D7394"/>
    <w:rsid w:val="774150D6"/>
    <w:rsid w:val="774249AA"/>
    <w:rsid w:val="775F555C"/>
    <w:rsid w:val="77660698"/>
    <w:rsid w:val="776E1C43"/>
    <w:rsid w:val="778C3E77"/>
    <w:rsid w:val="779416A9"/>
    <w:rsid w:val="77950F7E"/>
    <w:rsid w:val="77AF7A76"/>
    <w:rsid w:val="77BC650A"/>
    <w:rsid w:val="77BF2045"/>
    <w:rsid w:val="77C96F28"/>
    <w:rsid w:val="77CD0717"/>
    <w:rsid w:val="77D851EC"/>
    <w:rsid w:val="781B5927"/>
    <w:rsid w:val="782A0E50"/>
    <w:rsid w:val="78654DF4"/>
    <w:rsid w:val="789946E3"/>
    <w:rsid w:val="789C1F6F"/>
    <w:rsid w:val="78F341AE"/>
    <w:rsid w:val="79274516"/>
    <w:rsid w:val="797A042B"/>
    <w:rsid w:val="799C3DDA"/>
    <w:rsid w:val="79A100AE"/>
    <w:rsid w:val="79A90D10"/>
    <w:rsid w:val="79AE4579"/>
    <w:rsid w:val="79B37DE1"/>
    <w:rsid w:val="79BD2A0E"/>
    <w:rsid w:val="79D20267"/>
    <w:rsid w:val="7A0B19CB"/>
    <w:rsid w:val="7A1C14E2"/>
    <w:rsid w:val="7A4A3C20"/>
    <w:rsid w:val="7ABE07EB"/>
    <w:rsid w:val="7AD76B48"/>
    <w:rsid w:val="7AF16E13"/>
    <w:rsid w:val="7AF81F4F"/>
    <w:rsid w:val="7B0501C8"/>
    <w:rsid w:val="7B240B8B"/>
    <w:rsid w:val="7B2E0071"/>
    <w:rsid w:val="7BBC3A00"/>
    <w:rsid w:val="7BD92BA2"/>
    <w:rsid w:val="7BDB632F"/>
    <w:rsid w:val="7BE00F67"/>
    <w:rsid w:val="7BE91898"/>
    <w:rsid w:val="7C224C8E"/>
    <w:rsid w:val="7C2D5D07"/>
    <w:rsid w:val="7C30730E"/>
    <w:rsid w:val="7C523FC8"/>
    <w:rsid w:val="7C594055"/>
    <w:rsid w:val="7C7638E9"/>
    <w:rsid w:val="7CB37369"/>
    <w:rsid w:val="7CB400F8"/>
    <w:rsid w:val="7CBE0F77"/>
    <w:rsid w:val="7CC65488"/>
    <w:rsid w:val="7CCB2C8D"/>
    <w:rsid w:val="7CDE6F23"/>
    <w:rsid w:val="7D012C11"/>
    <w:rsid w:val="7D3657C0"/>
    <w:rsid w:val="7D370572"/>
    <w:rsid w:val="7D376633"/>
    <w:rsid w:val="7D3E79C1"/>
    <w:rsid w:val="7D444753"/>
    <w:rsid w:val="7D4C0330"/>
    <w:rsid w:val="7D75319E"/>
    <w:rsid w:val="7D972082"/>
    <w:rsid w:val="7D986B72"/>
    <w:rsid w:val="7DF84014"/>
    <w:rsid w:val="7DFA7D8C"/>
    <w:rsid w:val="7E040C0B"/>
    <w:rsid w:val="7E0D3F64"/>
    <w:rsid w:val="7E0E3466"/>
    <w:rsid w:val="7E154BC6"/>
    <w:rsid w:val="7E213797"/>
    <w:rsid w:val="7E282B4B"/>
    <w:rsid w:val="7E392BD6"/>
    <w:rsid w:val="7E657AA9"/>
    <w:rsid w:val="7E6E2528"/>
    <w:rsid w:val="7E891110"/>
    <w:rsid w:val="7E927FC5"/>
    <w:rsid w:val="7EB42631"/>
    <w:rsid w:val="7EB66009"/>
    <w:rsid w:val="7EC86F76"/>
    <w:rsid w:val="7ECD724F"/>
    <w:rsid w:val="7F016EF9"/>
    <w:rsid w:val="7F054C3B"/>
    <w:rsid w:val="7F0B3ECA"/>
    <w:rsid w:val="7F1D01D6"/>
    <w:rsid w:val="7F1F4AB0"/>
    <w:rsid w:val="7F4A4D43"/>
    <w:rsid w:val="7F4B2516"/>
    <w:rsid w:val="7F5259A6"/>
    <w:rsid w:val="7F5D6825"/>
    <w:rsid w:val="7F5F0CB9"/>
    <w:rsid w:val="7F7818B1"/>
    <w:rsid w:val="7F840255"/>
    <w:rsid w:val="7F98785D"/>
    <w:rsid w:val="7FD12D6F"/>
    <w:rsid w:val="7FE40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50" w:lineRule="exact"/>
      <w:ind w:firstLine="200" w:firstLineChars="200"/>
      <w:jc w:val="both"/>
    </w:pPr>
    <w:rPr>
      <w:rFonts w:ascii="Times New Roman" w:hAnsi="Times New Roman" w:eastAsia="仿宋" w:cstheme="minorBidi"/>
      <w:kern w:val="2"/>
      <w:sz w:val="32"/>
      <w:szCs w:val="22"/>
      <w:lang w:val="en-US" w:eastAsia="zh-CN" w:bidi="ar-SA"/>
    </w:rPr>
  </w:style>
  <w:style w:type="paragraph" w:styleId="3">
    <w:name w:val="heading 1"/>
    <w:next w:val="1"/>
    <w:link w:val="32"/>
    <w:qFormat/>
    <w:uiPriority w:val="9"/>
    <w:pPr>
      <w:keepNext/>
      <w:keepLines/>
      <w:spacing w:line="550" w:lineRule="exact"/>
      <w:jc w:val="center"/>
      <w:outlineLvl w:val="0"/>
    </w:pPr>
    <w:rPr>
      <w:rFonts w:ascii="Times New Roman" w:hAnsi="Times New Roman" w:eastAsia="黑体" w:cstheme="minorBidi"/>
      <w:bCs/>
      <w:kern w:val="44"/>
      <w:sz w:val="32"/>
      <w:szCs w:val="44"/>
      <w:lang w:val="en-US" w:eastAsia="zh-CN" w:bidi="ar-SA"/>
    </w:rPr>
  </w:style>
  <w:style w:type="paragraph" w:styleId="4">
    <w:name w:val="heading 2"/>
    <w:next w:val="1"/>
    <w:link w:val="33"/>
    <w:unhideWhenUsed/>
    <w:qFormat/>
    <w:uiPriority w:val="9"/>
    <w:pPr>
      <w:keepNext/>
      <w:keepLines/>
      <w:spacing w:line="550" w:lineRule="exact"/>
      <w:jc w:val="center"/>
      <w:outlineLvl w:val="1"/>
    </w:pPr>
    <w:rPr>
      <w:rFonts w:ascii="Times New Roman" w:hAnsi="Times New Roman" w:eastAsia="楷体" w:cstheme="majorBidi"/>
      <w:bCs/>
      <w:kern w:val="2"/>
      <w:sz w:val="32"/>
      <w:szCs w:val="32"/>
      <w:lang w:val="en-US" w:eastAsia="zh-CN" w:bidi="ar-SA"/>
    </w:rPr>
  </w:style>
  <w:style w:type="paragraph" w:styleId="5">
    <w:name w:val="heading 3"/>
    <w:basedOn w:val="1"/>
    <w:next w:val="1"/>
    <w:link w:val="28"/>
    <w:unhideWhenUsed/>
    <w:qFormat/>
    <w:uiPriority w:val="9"/>
    <w:pPr>
      <w:keepNext/>
      <w:keepLines/>
      <w:spacing w:before="120" w:after="120" w:line="400" w:lineRule="exact"/>
      <w:outlineLvl w:val="2"/>
    </w:pPr>
    <w:rPr>
      <w:b/>
      <w:bCs/>
      <w:szCs w:val="32"/>
    </w:rPr>
  </w:style>
  <w:style w:type="paragraph" w:styleId="6">
    <w:name w:val="heading 4"/>
    <w:basedOn w:val="1"/>
    <w:next w:val="1"/>
    <w:link w:val="39"/>
    <w:unhideWhenUsed/>
    <w:qFormat/>
    <w:uiPriority w:val="9"/>
    <w:pPr>
      <w:keepNext/>
      <w:keepLines/>
      <w:spacing w:before="120" w:after="120"/>
      <w:ind w:firstLine="0" w:firstLineChars="0"/>
      <w:outlineLvl w:val="3"/>
    </w:pPr>
    <w:rPr>
      <w:rFonts w:cstheme="majorBidi"/>
      <w:b/>
      <w:bCs/>
      <w:szCs w:val="28"/>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2">
    <w:name w:val="Plain Text"/>
    <w:basedOn w:val="1"/>
    <w:link w:val="65"/>
    <w:qFormat/>
    <w:uiPriority w:val="0"/>
    <w:rPr>
      <w:rFonts w:ascii="宋体" w:hAnsi="Courier New" w:eastAsia="宋体" w:cs="宋体"/>
      <w:sz w:val="21"/>
      <w:szCs w:val="21"/>
    </w:rPr>
  </w:style>
  <w:style w:type="paragraph" w:styleId="7">
    <w:name w:val="table of authorities"/>
    <w:basedOn w:val="1"/>
    <w:next w:val="1"/>
    <w:qFormat/>
    <w:uiPriority w:val="99"/>
    <w:pPr>
      <w:spacing w:before="100" w:beforeAutospacing="1" w:after="100" w:afterAutospacing="1" w:line="580" w:lineRule="exact"/>
      <w:ind w:left="200" w:leftChars="200"/>
    </w:pPr>
    <w:rPr>
      <w:rFonts w:eastAsia="仿宋_GB2312" w:asciiTheme="minorHAnsi" w:hAnsiTheme="minorHAnsi"/>
    </w:rPr>
  </w:style>
  <w:style w:type="paragraph" w:styleId="8">
    <w:name w:val="annotation text"/>
    <w:basedOn w:val="1"/>
    <w:link w:val="41"/>
    <w:unhideWhenUsed/>
    <w:qFormat/>
    <w:uiPriority w:val="99"/>
    <w:pPr>
      <w:jc w:val="left"/>
    </w:pPr>
  </w:style>
  <w:style w:type="paragraph" w:styleId="9">
    <w:name w:val="Salutation"/>
    <w:basedOn w:val="1"/>
    <w:next w:val="1"/>
    <w:link w:val="45"/>
    <w:qFormat/>
    <w:uiPriority w:val="0"/>
    <w:pPr>
      <w:spacing w:line="540" w:lineRule="exact"/>
    </w:pPr>
    <w:rPr>
      <w:rFonts w:eastAsia="仿宋_GB2312" w:asciiTheme="minorHAnsi" w:hAnsiTheme="minorHAnsi"/>
      <w:spacing w:val="-2"/>
      <w:szCs w:val="20"/>
    </w:rPr>
  </w:style>
  <w:style w:type="paragraph" w:styleId="10">
    <w:name w:val="Body Text"/>
    <w:basedOn w:val="1"/>
    <w:link w:val="43"/>
    <w:qFormat/>
    <w:uiPriority w:val="0"/>
    <w:pPr>
      <w:spacing w:after="120" w:line="240" w:lineRule="auto"/>
      <w:ind w:firstLine="0" w:firstLineChars="0"/>
      <w:jc w:val="center"/>
    </w:pPr>
    <w:rPr>
      <w:rFonts w:cs="Times New Roman"/>
      <w:sz w:val="24"/>
      <w:szCs w:val="21"/>
    </w:rPr>
  </w:style>
  <w:style w:type="paragraph" w:styleId="11">
    <w:name w:val="toc 3"/>
    <w:basedOn w:val="1"/>
    <w:next w:val="1"/>
    <w:unhideWhenUsed/>
    <w:qFormat/>
    <w:uiPriority w:val="39"/>
    <w:pPr>
      <w:ind w:left="840" w:leftChars="400"/>
    </w:pPr>
  </w:style>
  <w:style w:type="paragraph" w:styleId="12">
    <w:name w:val="Date"/>
    <w:basedOn w:val="1"/>
    <w:next w:val="1"/>
    <w:link w:val="47"/>
    <w:semiHidden/>
    <w:unhideWhenUsed/>
    <w:qFormat/>
    <w:uiPriority w:val="99"/>
    <w:pPr>
      <w:ind w:left="100" w:leftChars="2500"/>
    </w:pPr>
  </w:style>
  <w:style w:type="paragraph" w:styleId="13">
    <w:name w:val="Balloon Text"/>
    <w:basedOn w:val="1"/>
    <w:link w:val="48"/>
    <w:semiHidden/>
    <w:unhideWhenUsed/>
    <w:qFormat/>
    <w:uiPriority w:val="99"/>
    <w:pPr>
      <w:spacing w:line="240" w:lineRule="auto"/>
    </w:pPr>
    <w:rPr>
      <w:sz w:val="18"/>
      <w:szCs w:val="18"/>
    </w:rPr>
  </w:style>
  <w:style w:type="paragraph" w:styleId="14">
    <w:name w:val="footer"/>
    <w:basedOn w:val="1"/>
    <w:link w:val="31"/>
    <w:unhideWhenUsed/>
    <w:qFormat/>
    <w:uiPriority w:val="99"/>
    <w:pPr>
      <w:tabs>
        <w:tab w:val="center" w:pos="4153"/>
        <w:tab w:val="right" w:pos="8306"/>
      </w:tabs>
      <w:snapToGrid w:val="0"/>
      <w:jc w:val="left"/>
    </w:pPr>
    <w:rPr>
      <w:sz w:val="18"/>
      <w:szCs w:val="18"/>
    </w:rPr>
  </w:style>
  <w:style w:type="paragraph" w:styleId="15">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spacing w:line="500" w:lineRule="exact"/>
      <w:ind w:firstLine="0" w:firstLineChars="0"/>
      <w:jc w:val="left"/>
    </w:pPr>
    <w:rPr>
      <w:rFonts w:eastAsia="黑体"/>
      <w:bCs/>
    </w:rPr>
  </w:style>
  <w:style w:type="paragraph" w:styleId="17">
    <w:name w:val="table of figures"/>
    <w:basedOn w:val="1"/>
    <w:next w:val="1"/>
    <w:unhideWhenUsed/>
    <w:qFormat/>
    <w:uiPriority w:val="0"/>
    <w:pPr>
      <w:ind w:left="720" w:hanging="720"/>
    </w:pPr>
    <w:rPr>
      <w:rFonts w:ascii="宋体" w:hAnsi="宋体" w:eastAsia="黑体"/>
      <w:smallCaps/>
      <w:sz w:val="20"/>
      <w:szCs w:val="20"/>
    </w:rPr>
  </w:style>
  <w:style w:type="paragraph" w:styleId="18">
    <w:name w:val="toc 2"/>
    <w:basedOn w:val="1"/>
    <w:next w:val="1"/>
    <w:unhideWhenUsed/>
    <w:qFormat/>
    <w:uiPriority w:val="39"/>
    <w:pPr>
      <w:spacing w:line="500" w:lineRule="exact"/>
      <w:jc w:val="left"/>
    </w:pPr>
    <w:rPr>
      <w:rFonts w:eastAsia="楷体"/>
    </w:rPr>
  </w:style>
  <w:style w:type="paragraph" w:styleId="19">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20">
    <w:name w:val="Title"/>
    <w:basedOn w:val="1"/>
    <w:next w:val="1"/>
    <w:link w:val="34"/>
    <w:qFormat/>
    <w:uiPriority w:val="10"/>
    <w:pPr>
      <w:spacing w:before="240" w:after="240"/>
      <w:jc w:val="center"/>
      <w:outlineLvl w:val="0"/>
    </w:pPr>
    <w:rPr>
      <w:rFonts w:eastAsia="楷体" w:asciiTheme="majorHAnsi" w:hAnsiTheme="majorHAnsi" w:cstheme="majorBidi"/>
      <w:b/>
      <w:bCs/>
      <w:szCs w:val="32"/>
    </w:rPr>
  </w:style>
  <w:style w:type="paragraph" w:styleId="21">
    <w:name w:val="annotation subject"/>
    <w:basedOn w:val="8"/>
    <w:next w:val="8"/>
    <w:link w:val="42"/>
    <w:semiHidden/>
    <w:unhideWhenUsed/>
    <w:qFormat/>
    <w:uiPriority w:val="99"/>
    <w:rPr>
      <w:b/>
      <w:bCs/>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basedOn w:val="24"/>
    <w:semiHidden/>
    <w:unhideWhenUsed/>
    <w:qFormat/>
    <w:uiPriority w:val="99"/>
    <w:rPr>
      <w:color w:val="800080"/>
      <w:u w:val="single"/>
    </w:rPr>
  </w:style>
  <w:style w:type="character" w:styleId="26">
    <w:name w:val="Hyperlink"/>
    <w:basedOn w:val="24"/>
    <w:unhideWhenUsed/>
    <w:qFormat/>
    <w:uiPriority w:val="99"/>
    <w:rPr>
      <w:color w:val="0563C1" w:themeColor="hyperlink"/>
      <w:u w:val="single"/>
      <w14:textFill>
        <w14:solidFill>
          <w14:schemeClr w14:val="hlink"/>
        </w14:solidFill>
      </w14:textFill>
    </w:rPr>
  </w:style>
  <w:style w:type="character" w:styleId="27">
    <w:name w:val="annotation reference"/>
    <w:basedOn w:val="24"/>
    <w:semiHidden/>
    <w:unhideWhenUsed/>
    <w:qFormat/>
    <w:uiPriority w:val="99"/>
    <w:rPr>
      <w:sz w:val="21"/>
      <w:szCs w:val="21"/>
    </w:rPr>
  </w:style>
  <w:style w:type="character" w:customStyle="1" w:styleId="28">
    <w:name w:val="标题 3 字符"/>
    <w:basedOn w:val="24"/>
    <w:link w:val="5"/>
    <w:qFormat/>
    <w:uiPriority w:val="9"/>
    <w:rPr>
      <w:rFonts w:eastAsia="仿宋" w:cstheme="minorBidi"/>
      <w:b/>
      <w:bCs/>
      <w:kern w:val="2"/>
      <w:sz w:val="32"/>
      <w:szCs w:val="32"/>
    </w:rPr>
  </w:style>
  <w:style w:type="paragraph" w:customStyle="1" w:styleId="29">
    <w:name w:val="Heading2"/>
    <w:basedOn w:val="1"/>
    <w:next w:val="1"/>
    <w:qFormat/>
    <w:uiPriority w:val="0"/>
    <w:pPr>
      <w:keepNext/>
      <w:keepLines/>
      <w:spacing w:before="260" w:after="260" w:line="415" w:lineRule="auto"/>
    </w:pPr>
    <w:rPr>
      <w:rFonts w:ascii="Arial" w:hAnsi="Arial" w:eastAsia="黑体"/>
      <w:b/>
    </w:rPr>
  </w:style>
  <w:style w:type="character" w:customStyle="1" w:styleId="30">
    <w:name w:val="页眉 字符"/>
    <w:basedOn w:val="24"/>
    <w:link w:val="15"/>
    <w:qFormat/>
    <w:uiPriority w:val="99"/>
    <w:rPr>
      <w:sz w:val="18"/>
      <w:szCs w:val="18"/>
    </w:rPr>
  </w:style>
  <w:style w:type="character" w:customStyle="1" w:styleId="31">
    <w:name w:val="页脚 字符"/>
    <w:basedOn w:val="24"/>
    <w:link w:val="14"/>
    <w:qFormat/>
    <w:uiPriority w:val="99"/>
    <w:rPr>
      <w:sz w:val="18"/>
      <w:szCs w:val="18"/>
    </w:rPr>
  </w:style>
  <w:style w:type="character" w:customStyle="1" w:styleId="32">
    <w:name w:val="标题 1 字符"/>
    <w:basedOn w:val="24"/>
    <w:link w:val="3"/>
    <w:qFormat/>
    <w:uiPriority w:val="9"/>
    <w:rPr>
      <w:rFonts w:eastAsia="黑体" w:cstheme="minorBidi"/>
      <w:bCs/>
      <w:kern w:val="44"/>
      <w:sz w:val="32"/>
      <w:szCs w:val="44"/>
    </w:rPr>
  </w:style>
  <w:style w:type="character" w:customStyle="1" w:styleId="33">
    <w:name w:val="标题 2 字符"/>
    <w:basedOn w:val="24"/>
    <w:link w:val="4"/>
    <w:qFormat/>
    <w:uiPriority w:val="9"/>
    <w:rPr>
      <w:rFonts w:eastAsia="楷体" w:cstheme="majorBidi"/>
      <w:bCs/>
      <w:kern w:val="2"/>
      <w:sz w:val="32"/>
      <w:szCs w:val="32"/>
    </w:rPr>
  </w:style>
  <w:style w:type="character" w:customStyle="1" w:styleId="34">
    <w:name w:val="标题 字符"/>
    <w:basedOn w:val="24"/>
    <w:link w:val="20"/>
    <w:qFormat/>
    <w:uiPriority w:val="10"/>
    <w:rPr>
      <w:rFonts w:eastAsia="楷体" w:asciiTheme="majorHAnsi" w:hAnsiTheme="majorHAnsi" w:cstheme="majorBidi"/>
      <w:b/>
      <w:bCs/>
      <w:sz w:val="32"/>
      <w:szCs w:val="32"/>
    </w:rPr>
  </w:style>
  <w:style w:type="character" w:customStyle="1" w:styleId="35">
    <w:name w:val="不明显强调1"/>
    <w:basedOn w:val="24"/>
    <w:qFormat/>
    <w:uiPriority w:val="19"/>
    <w:rPr>
      <w:i/>
      <w:iCs/>
      <w:color w:val="404040" w:themeColor="text1" w:themeTint="BF"/>
      <w14:textFill>
        <w14:solidFill>
          <w14:schemeClr w14:val="tx1">
            <w14:lumMod w14:val="75000"/>
            <w14:lumOff w14:val="25000"/>
          </w14:schemeClr>
        </w14:solidFill>
      </w14:textFill>
    </w:rPr>
  </w:style>
  <w:style w:type="paragraph" w:customStyle="1" w:styleId="36">
    <w:name w:val="Default"/>
    <w:qFormat/>
    <w:uiPriority w:val="0"/>
    <w:pPr>
      <w:widowControl w:val="0"/>
      <w:autoSpaceDE w:val="0"/>
      <w:autoSpaceDN w:val="0"/>
      <w:adjustRightInd w:val="0"/>
      <w:spacing w:line="360" w:lineRule="auto"/>
      <w:jc w:val="both"/>
    </w:pPr>
    <w:rPr>
      <w:rFonts w:ascii="黑体" w:hAnsi="Times New Roman" w:eastAsia="黑体" w:cs="黑体"/>
      <w:color w:val="000000"/>
      <w:sz w:val="24"/>
      <w:szCs w:val="24"/>
      <w:lang w:val="en-US" w:eastAsia="zh-CN" w:bidi="ar-SA"/>
    </w:rPr>
  </w:style>
  <w:style w:type="paragraph" w:customStyle="1" w:styleId="37">
    <w:name w:val="公文主体"/>
    <w:basedOn w:val="1"/>
    <w:link w:val="38"/>
    <w:qFormat/>
    <w:uiPriority w:val="0"/>
    <w:pPr>
      <w:spacing w:line="580" w:lineRule="exact"/>
    </w:pPr>
    <w:rPr>
      <w:rFonts w:eastAsia="仿宋_GB2312" w:cs="Times New Roman"/>
      <w:szCs w:val="24"/>
    </w:rPr>
  </w:style>
  <w:style w:type="character" w:customStyle="1" w:styleId="38">
    <w:name w:val="公文主体 Char"/>
    <w:link w:val="37"/>
    <w:qFormat/>
    <w:uiPriority w:val="0"/>
    <w:rPr>
      <w:rFonts w:ascii="Times New Roman" w:hAnsi="Times New Roman" w:eastAsia="仿宋_GB2312" w:cs="Times New Roman"/>
      <w:sz w:val="32"/>
      <w:szCs w:val="24"/>
    </w:rPr>
  </w:style>
  <w:style w:type="character" w:customStyle="1" w:styleId="39">
    <w:name w:val="标题 4 字符"/>
    <w:basedOn w:val="24"/>
    <w:link w:val="6"/>
    <w:qFormat/>
    <w:uiPriority w:val="9"/>
    <w:rPr>
      <w:rFonts w:ascii="Times New Roman" w:hAnsi="Times New Roman" w:eastAsia="仿宋" w:cstheme="majorBidi"/>
      <w:b/>
      <w:bCs/>
      <w:sz w:val="32"/>
      <w:szCs w:val="28"/>
    </w:rPr>
  </w:style>
  <w:style w:type="paragraph" w:customStyle="1" w:styleId="40">
    <w:name w:val="TOC 标题1"/>
    <w:basedOn w:val="3"/>
    <w:next w:val="1"/>
    <w:unhideWhenUsed/>
    <w:qFormat/>
    <w:uiPriority w:val="39"/>
    <w:pPr>
      <w:spacing w:before="240" w:line="259" w:lineRule="auto"/>
      <w:outlineLvl w:val="9"/>
    </w:pPr>
    <w:rPr>
      <w:rFonts w:asciiTheme="majorHAnsi" w:hAnsiTheme="majorHAnsi" w:eastAsiaTheme="majorEastAsia" w:cstheme="majorBidi"/>
      <w:b/>
      <w:bCs w:val="0"/>
      <w:color w:val="2F5597" w:themeColor="accent1" w:themeShade="BF"/>
      <w:kern w:val="0"/>
      <w:szCs w:val="32"/>
    </w:rPr>
  </w:style>
  <w:style w:type="character" w:customStyle="1" w:styleId="41">
    <w:name w:val="批注文字 字符"/>
    <w:basedOn w:val="24"/>
    <w:link w:val="8"/>
    <w:qFormat/>
    <w:uiPriority w:val="99"/>
    <w:rPr>
      <w:rFonts w:ascii="Times New Roman" w:hAnsi="Times New Roman" w:eastAsia="仿宋"/>
      <w:sz w:val="32"/>
    </w:rPr>
  </w:style>
  <w:style w:type="character" w:customStyle="1" w:styleId="42">
    <w:name w:val="批注主题 字符"/>
    <w:basedOn w:val="41"/>
    <w:link w:val="21"/>
    <w:semiHidden/>
    <w:qFormat/>
    <w:uiPriority w:val="99"/>
    <w:rPr>
      <w:rFonts w:ascii="Times New Roman" w:hAnsi="Times New Roman" w:eastAsia="仿宋"/>
      <w:b/>
      <w:bCs/>
      <w:sz w:val="32"/>
    </w:rPr>
  </w:style>
  <w:style w:type="character" w:customStyle="1" w:styleId="43">
    <w:name w:val="正文文本 字符"/>
    <w:basedOn w:val="24"/>
    <w:link w:val="10"/>
    <w:qFormat/>
    <w:uiPriority w:val="0"/>
    <w:rPr>
      <w:rFonts w:eastAsia="仿宋"/>
      <w:kern w:val="2"/>
      <w:sz w:val="24"/>
      <w:szCs w:val="21"/>
    </w:rPr>
  </w:style>
  <w:style w:type="paragraph" w:customStyle="1" w:styleId="44">
    <w:name w:val="常用样式（方正仿宋简）"/>
    <w:basedOn w:val="1"/>
    <w:qFormat/>
    <w:uiPriority w:val="0"/>
    <w:pPr>
      <w:spacing w:line="560" w:lineRule="exact"/>
      <w:ind w:firstLine="640"/>
    </w:pPr>
    <w:rPr>
      <w:rFonts w:ascii="Calibri" w:hAnsi="Calibri" w:eastAsia="方正仿宋简体" w:cs="Times New Roman"/>
      <w:szCs w:val="21"/>
    </w:rPr>
  </w:style>
  <w:style w:type="character" w:customStyle="1" w:styleId="45">
    <w:name w:val="称呼 字符"/>
    <w:basedOn w:val="24"/>
    <w:link w:val="9"/>
    <w:qFormat/>
    <w:uiPriority w:val="0"/>
    <w:rPr>
      <w:rFonts w:eastAsia="仿宋_GB2312"/>
      <w:spacing w:val="-2"/>
      <w:sz w:val="32"/>
      <w:szCs w:val="20"/>
    </w:rPr>
  </w:style>
  <w:style w:type="table" w:customStyle="1" w:styleId="46">
    <w:name w:val="网格型1"/>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日期 字符"/>
    <w:basedOn w:val="24"/>
    <w:link w:val="12"/>
    <w:semiHidden/>
    <w:qFormat/>
    <w:uiPriority w:val="99"/>
    <w:rPr>
      <w:rFonts w:ascii="Times New Roman" w:hAnsi="Times New Roman" w:eastAsia="仿宋"/>
      <w:sz w:val="32"/>
    </w:rPr>
  </w:style>
  <w:style w:type="character" w:customStyle="1" w:styleId="48">
    <w:name w:val="批注框文本 字符"/>
    <w:basedOn w:val="24"/>
    <w:link w:val="13"/>
    <w:semiHidden/>
    <w:qFormat/>
    <w:uiPriority w:val="99"/>
    <w:rPr>
      <w:rFonts w:ascii="Times New Roman" w:hAnsi="Times New Roman" w:eastAsia="仿宋"/>
      <w:sz w:val="18"/>
      <w:szCs w:val="18"/>
    </w:rPr>
  </w:style>
  <w:style w:type="paragraph" w:styleId="49">
    <w:name w:val="List Paragraph"/>
    <w:basedOn w:val="1"/>
    <w:qFormat/>
    <w:uiPriority w:val="99"/>
    <w:pPr>
      <w:ind w:firstLine="420"/>
    </w:pPr>
  </w:style>
  <w:style w:type="paragraph" w:customStyle="1" w:styleId="50">
    <w:name w:val="带缩进正文"/>
    <w:basedOn w:val="1"/>
    <w:qFormat/>
    <w:uiPriority w:val="0"/>
    <w:pPr>
      <w:spacing w:line="560" w:lineRule="exact"/>
      <w:ind w:firstLine="640"/>
    </w:pPr>
    <w:rPr>
      <w:rFonts w:ascii="仿宋" w:cs="Times New Roman"/>
      <w:szCs w:val="28"/>
    </w:rPr>
  </w:style>
  <w:style w:type="table" w:customStyle="1" w:styleId="51">
    <w:name w:val="网格型11"/>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2">
    <w:name w:val="表格标题"/>
    <w:basedOn w:val="1"/>
    <w:qFormat/>
    <w:uiPriority w:val="0"/>
    <w:pPr>
      <w:spacing w:line="240" w:lineRule="auto"/>
      <w:ind w:firstLine="0" w:firstLineChars="0"/>
      <w:jc w:val="center"/>
    </w:pPr>
    <w:rPr>
      <w:rFonts w:eastAsia="黑体" w:cs="Times New Roman"/>
      <w:b/>
      <w:sz w:val="28"/>
      <w:szCs w:val="28"/>
    </w:rPr>
  </w:style>
  <w:style w:type="paragraph" w:customStyle="1" w:styleId="53">
    <w:name w:val="表格内容"/>
    <w:basedOn w:val="1"/>
    <w:qFormat/>
    <w:uiPriority w:val="0"/>
    <w:pPr>
      <w:spacing w:line="240" w:lineRule="auto"/>
      <w:ind w:firstLine="0" w:firstLineChars="0"/>
      <w:jc w:val="center"/>
    </w:pPr>
    <w:rPr>
      <w:rFonts w:eastAsia="仿宋_GB2312" w:cs="Times New Roman"/>
      <w:sz w:val="18"/>
      <w:szCs w:val="18"/>
    </w:rPr>
  </w:style>
  <w:style w:type="paragraph" w:customStyle="1" w:styleId="54">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5">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56">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7">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58">
    <w:name w:val="xl74"/>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9">
    <w:name w:val="xl75"/>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60">
    <w:name w:val="xl76"/>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61">
    <w:name w:val="xl7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62">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b/>
      <w:bCs/>
      <w:kern w:val="0"/>
      <w:sz w:val="24"/>
      <w:szCs w:val="24"/>
    </w:rPr>
  </w:style>
  <w:style w:type="paragraph" w:customStyle="1" w:styleId="63">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b/>
      <w:bCs/>
      <w:kern w:val="0"/>
      <w:sz w:val="24"/>
      <w:szCs w:val="24"/>
    </w:rPr>
  </w:style>
  <w:style w:type="paragraph" w:customStyle="1" w:styleId="64">
    <w:name w:val="xl80"/>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65">
    <w:name w:val="纯文本 字符"/>
    <w:basedOn w:val="24"/>
    <w:link w:val="2"/>
    <w:qFormat/>
    <w:uiPriority w:val="0"/>
    <w:rPr>
      <w:rFonts w:ascii="宋体" w:hAnsi="Courier New" w:cs="宋体"/>
      <w:kern w:val="2"/>
      <w:sz w:val="21"/>
      <w:szCs w:val="21"/>
    </w:rPr>
  </w:style>
  <w:style w:type="character" w:customStyle="1" w:styleId="66">
    <w:name w:val="font51"/>
    <w:basedOn w:val="24"/>
    <w:qFormat/>
    <w:uiPriority w:val="0"/>
    <w:rPr>
      <w:rFonts w:hint="eastAsia" w:ascii="方正仿宋简体" w:hAnsi="方正仿宋简体" w:eastAsia="方正仿宋简体" w:cs="方正仿宋简体"/>
      <w:color w:val="000000"/>
      <w:sz w:val="22"/>
      <w:szCs w:val="22"/>
      <w:u w:val="none"/>
    </w:rPr>
  </w:style>
  <w:style w:type="character" w:customStyle="1" w:styleId="67">
    <w:name w:val="font21"/>
    <w:basedOn w:val="24"/>
    <w:qFormat/>
    <w:uiPriority w:val="0"/>
    <w:rPr>
      <w:rFonts w:hint="eastAsia" w:ascii="宋体" w:hAnsi="宋体" w:eastAsia="宋体" w:cs="宋体"/>
      <w:color w:val="FF0000"/>
      <w:sz w:val="20"/>
      <w:szCs w:val="20"/>
      <w:u w:val="none"/>
    </w:rPr>
  </w:style>
  <w:style w:type="character" w:customStyle="1" w:styleId="68">
    <w:name w:val="font11"/>
    <w:basedOn w:val="24"/>
    <w:qFormat/>
    <w:uiPriority w:val="0"/>
    <w:rPr>
      <w:rFonts w:hint="default" w:ascii="Times New Roman" w:hAnsi="Times New Roman" w:cs="Times New Roman"/>
      <w:color w:val="FF0000"/>
      <w:sz w:val="20"/>
      <w:szCs w:val="20"/>
      <w:u w:val="none"/>
    </w:rPr>
  </w:style>
  <w:style w:type="table" w:customStyle="1" w:styleId="69">
    <w:name w:val="网格型2"/>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0">
    <w:name w:val="fontstyle01"/>
    <w:basedOn w:val="24"/>
    <w:qFormat/>
    <w:uiPriority w:val="0"/>
    <w:rPr>
      <w:rFonts w:hint="eastAsia" w:ascii="仿宋" w:hAnsi="仿宋" w:eastAsia="仿宋"/>
      <w:color w:val="000000"/>
      <w:sz w:val="32"/>
      <w:szCs w:val="32"/>
    </w:rPr>
  </w:style>
  <w:style w:type="character" w:customStyle="1" w:styleId="71">
    <w:name w:val="fontstyle21"/>
    <w:basedOn w:val="24"/>
    <w:qFormat/>
    <w:uiPriority w:val="0"/>
    <w:rPr>
      <w:rFonts w:hint="default" w:ascii="TimesNewRomanPSMT" w:hAnsi="TimesNewRomanPSMT"/>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8A90A3-822A-4790-80CD-9DC4024D23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74</Pages>
  <Words>26636</Words>
  <Characters>28547</Characters>
  <Lines>232</Lines>
  <Paragraphs>65</Paragraphs>
  <TotalTime>669</TotalTime>
  <ScaleCrop>false</ScaleCrop>
  <LinksUpToDate>false</LinksUpToDate>
  <CharactersWithSpaces>28667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2022-06-26T16:40:00Z</dcterms:created>
  <dc:creator>h lp</dc:creator>
  <cp:lastModifiedBy>Administrator</cp:lastModifiedBy>
  <cp:lastPrinted>2022-06-29T10:57:00Z</cp:lastPrinted>
  <dcterms:modified xsi:type="dcterms:W3CDTF">2022-11-29T06:45:42Z</dcterms:modified>
  <cp:revision>557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DDD453ED65EF4AAA92FDD345A2F7EA7A</vt:lpwstr>
  </property>
</Properties>
</file>