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7193"/>
      <w:bookmarkStart w:id="1" w:name="_Toc15396475"/>
      <w:bookmarkStart w:id="2" w:name="_Toc15378441"/>
      <w:bookmarkStart w:id="3" w:name="_Toc15396597"/>
      <w:bookmarkStart w:id="4" w:name="_Toc1537742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77194"/>
      <w:bookmarkStart w:id="8" w:name="_Toc15396476"/>
      <w:bookmarkStart w:id="9" w:name="_Toc15377426"/>
      <w:bookmarkStart w:id="10" w:name="_Toc15396598"/>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color w:val="auto"/>
          <w:sz w:val="72"/>
          <w:szCs w:val="72"/>
          <w:highlight w:val="none"/>
        </w:rPr>
        <w:t>遂宁市安居区文化广播电视和旅游局部门决算</w:t>
      </w:r>
      <w:bookmarkEnd w:id="6"/>
      <w:bookmarkEnd w:id="7"/>
      <w:bookmarkEnd w:id="8"/>
      <w:bookmarkEnd w:id="9"/>
      <w:bookmarkEnd w:id="10"/>
      <w:bookmarkEnd w:id="11"/>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474" w:bottom="1440" w:left="1587" w:header="851" w:footer="992" w:gutter="0"/>
          <w:pgNumType w:fmt="decimal" w:start="2"/>
          <w:cols w:space="0" w:num="1"/>
          <w:titlePg/>
          <w:rtlGutter w:val="0"/>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1"/>
        <w:adjustRightInd w:val="0"/>
        <w:snapToGrid w:val="0"/>
        <w:spacing w:before="0" w:line="440" w:lineRule="exact"/>
        <w:jc w:val="left"/>
        <w:rPr>
          <w:rFonts w:hint="eastAsia"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tab/>
      </w:r>
      <w:r>
        <w:rPr>
          <w:rFonts w:hint="eastAsia"/>
          <w:color w:val="auto"/>
          <w:sz w:val="24"/>
          <w:highlight w:val="none"/>
          <w:lang w:val="en-US" w:eastAsia="zh-CN"/>
        </w:rPr>
        <w:t>3</w:t>
      </w:r>
    </w:p>
    <w:p>
      <w:pPr>
        <w:pStyle w:val="12"/>
        <w:adjustRightInd w:val="0"/>
        <w:snapToGrid w:val="0"/>
        <w:spacing w:line="440" w:lineRule="exact"/>
        <w:jc w:val="left"/>
        <w:rPr>
          <w:rFonts w:hint="eastAsia" w:ascii="仿宋" w:hAnsi="仿宋"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部门职责</w:t>
      </w:r>
      <w:r>
        <w:tab/>
      </w:r>
      <w:r>
        <w:rPr>
          <w:rFonts w:hint="eastAsia"/>
          <w:color w:val="auto"/>
          <w:sz w:val="24"/>
          <w:highlight w:val="none"/>
          <w:lang w:val="en-US" w:eastAsia="zh-CN"/>
        </w:rPr>
        <w:t>3</w:t>
      </w:r>
    </w:p>
    <w:p>
      <w:pPr>
        <w:pStyle w:val="12"/>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二、机构设置</w:t>
      </w:r>
      <w:r>
        <w:tab/>
      </w:r>
      <w:r>
        <w:rPr>
          <w:rFonts w:hint="eastAsia"/>
          <w:color w:val="auto"/>
          <w:sz w:val="24"/>
          <w:highlight w:val="none"/>
          <w:lang w:val="en-US" w:eastAsia="zh-CN"/>
        </w:rPr>
        <w:t>5</w:t>
      </w:r>
    </w:p>
    <w:p>
      <w:pPr>
        <w:pStyle w:val="11"/>
        <w:adjustRightInd w:val="0"/>
        <w:snapToGrid w:val="0"/>
        <w:spacing w:before="0" w:line="440" w:lineRule="exact"/>
        <w:jc w:val="left"/>
        <w:rPr>
          <w:rFonts w:hint="eastAsia"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rPr>
        <w:t>部门决算情况说明</w:t>
      </w:r>
      <w:r>
        <w:tab/>
      </w:r>
      <w:r>
        <w:rPr>
          <w:rFonts w:hint="eastAsia"/>
          <w:color w:val="auto"/>
          <w:sz w:val="24"/>
          <w:highlight w:val="none"/>
          <w:lang w:val="en-US" w:eastAsia="zh-CN"/>
        </w:rPr>
        <w:t>6</w:t>
      </w:r>
    </w:p>
    <w:p>
      <w:pPr>
        <w:pStyle w:val="12"/>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tab/>
      </w:r>
      <w:r>
        <w:rPr>
          <w:rFonts w:hint="eastAsia"/>
          <w:color w:val="auto"/>
          <w:sz w:val="24"/>
          <w:highlight w:val="none"/>
          <w:lang w:val="en-US" w:eastAsia="zh-CN"/>
        </w:rPr>
        <w:t>6</w:t>
      </w:r>
    </w:p>
    <w:p>
      <w:pPr>
        <w:pStyle w:val="12"/>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二、收入决算情况说明</w:t>
      </w:r>
      <w:r>
        <w:tab/>
      </w:r>
      <w:r>
        <w:rPr>
          <w:rFonts w:hint="eastAsia"/>
          <w:color w:val="auto"/>
          <w:sz w:val="24"/>
          <w:highlight w:val="none"/>
          <w:lang w:val="en-US" w:eastAsia="zh-CN"/>
        </w:rPr>
        <w:t>6</w:t>
      </w:r>
    </w:p>
    <w:p>
      <w:pPr>
        <w:pStyle w:val="12"/>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三、支出决算情况说明</w:t>
      </w:r>
      <w:r>
        <w:tab/>
      </w:r>
      <w:r>
        <w:rPr>
          <w:rFonts w:hint="eastAsia"/>
          <w:color w:val="auto"/>
          <w:sz w:val="24"/>
          <w:highlight w:val="none"/>
          <w:lang w:val="en-US" w:eastAsia="zh-CN"/>
        </w:rPr>
        <w:t>7</w:t>
      </w:r>
    </w:p>
    <w:p>
      <w:pPr>
        <w:pStyle w:val="12"/>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tab/>
      </w:r>
      <w:r>
        <w:rPr>
          <w:rFonts w:hint="eastAsia"/>
          <w:color w:val="auto"/>
          <w:sz w:val="24"/>
          <w:highlight w:val="none"/>
          <w:lang w:val="en-US" w:eastAsia="zh-CN"/>
        </w:rPr>
        <w:t>7</w:t>
      </w:r>
    </w:p>
    <w:p>
      <w:pPr>
        <w:pStyle w:val="12"/>
        <w:adjustRightInd w:val="0"/>
        <w:snapToGrid w:val="0"/>
        <w:spacing w:line="440" w:lineRule="exact"/>
        <w:jc w:val="left"/>
        <w:rPr>
          <w:rFonts w:hint="eastAsia" w:eastAsia="宋体"/>
          <w:color w:val="auto"/>
          <w:sz w:val="24"/>
          <w:highlight w:val="none"/>
          <w:lang w:val="en-US" w:eastAsia="zh-CN"/>
        </w:rPr>
      </w:pPr>
      <w:r>
        <w:rPr>
          <w:rFonts w:hint="eastAsia"/>
          <w:color w:val="auto"/>
          <w:sz w:val="24"/>
          <w:highlight w:val="none"/>
        </w:rPr>
        <w:t>五、一般公共预算财政拨款支出决算情况说明</w:t>
      </w:r>
      <w:r>
        <w:tab/>
      </w:r>
      <w:r>
        <w:rPr>
          <w:rFonts w:hint="eastAsia"/>
          <w:color w:val="auto"/>
          <w:sz w:val="24"/>
          <w:highlight w:val="none"/>
          <w:lang w:val="en-US" w:eastAsia="zh-CN"/>
        </w:rPr>
        <w:t>8</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tab/>
      </w:r>
      <w:r>
        <w:rPr>
          <w:rFonts w:hint="eastAsia"/>
          <w:color w:val="auto"/>
          <w:sz w:val="24"/>
          <w:highlight w:val="none"/>
          <w:lang w:val="en-US" w:eastAsia="zh-CN"/>
        </w:rPr>
        <w:t>11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tab/>
      </w:r>
      <w:r>
        <w:rPr>
          <w:rFonts w:hint="eastAsia"/>
          <w:color w:val="auto"/>
          <w:sz w:val="24"/>
          <w:highlight w:val="none"/>
          <w:lang w:val="en-US" w:eastAsia="zh-CN"/>
        </w:rPr>
        <w:t>12</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tab/>
      </w:r>
      <w:r>
        <w:rPr>
          <w:rFonts w:hint="eastAsia"/>
          <w:color w:val="auto"/>
          <w:sz w:val="24"/>
          <w:highlight w:val="none"/>
          <w:lang w:val="en-US" w:eastAsia="zh-CN"/>
        </w:rPr>
        <w:t>13</w:t>
      </w:r>
    </w:p>
    <w:p>
      <w:pPr>
        <w:pStyle w:val="12"/>
        <w:adjustRightInd w:val="0"/>
        <w:snapToGrid w:val="0"/>
        <w:spacing w:line="440" w:lineRule="exact"/>
        <w:ind w:leftChars="0"/>
        <w:jc w:val="left"/>
        <w:rPr>
          <w:rFonts w:hint="default" w:eastAsia="宋体"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tab/>
      </w:r>
      <w:r>
        <w:rPr>
          <w:rFonts w:hint="eastAsia"/>
          <w:color w:val="auto"/>
          <w:sz w:val="24"/>
          <w:highlight w:val="none"/>
          <w:lang w:val="en-US" w:eastAsia="zh-CN"/>
        </w:rPr>
        <w:t>13</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Theme="minorEastAsia" w:hAnsiTheme="minorEastAsia" w:eastAsiaTheme="minorEastAsia" w:cstheme="minorEastAsia"/>
          <w:color w:val="auto"/>
          <w:sz w:val="24"/>
          <w:highlight w:val="none"/>
          <w:lang w:val="en-US"/>
        </w:rPr>
      </w:pPr>
      <w:r>
        <w:rPr>
          <w:rStyle w:val="18"/>
          <w:rFonts w:hint="eastAsia" w:asciiTheme="minorEastAsia" w:hAnsiTheme="minorEastAsia" w:eastAsiaTheme="minorEastAsia" w:cstheme="minorEastAsia"/>
          <w:color w:val="auto"/>
          <w:sz w:val="24"/>
          <w:highlight w:val="none"/>
          <w:u w:val="none"/>
          <w:lang w:eastAsia="zh-CN"/>
        </w:rPr>
        <w:t>十</w:t>
      </w:r>
      <w:r>
        <w:rPr>
          <w:rStyle w:val="18"/>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sz w:val="24"/>
          <w:lang w:val="en-US" w:eastAsia="zh-CN"/>
        </w:rPr>
        <w:t xml:space="preserve">.......................................................................... </w:t>
      </w:r>
      <w:r>
        <w:rPr>
          <w:rFonts w:hint="eastAsia" w:ascii="Times New Roman" w:hAnsi="Times New Roman" w:eastAsia="宋体" w:cs="Times New Roman"/>
          <w:color w:val="auto"/>
          <w:kern w:val="2"/>
          <w:sz w:val="24"/>
          <w:szCs w:val="24"/>
          <w:highlight w:val="none"/>
          <w:lang w:val="en-US" w:eastAsia="zh-CN" w:bidi="ar-SA"/>
        </w:rPr>
        <w:t>13</w:t>
      </w:r>
    </w:p>
    <w:p>
      <w:pPr>
        <w:pStyle w:val="11"/>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tab/>
      </w:r>
      <w:r>
        <w:rPr>
          <w:rFonts w:hint="eastAsia"/>
          <w:color w:val="auto"/>
          <w:sz w:val="24"/>
          <w:highlight w:val="none"/>
          <w:lang w:val="en-US" w:eastAsia="zh-CN"/>
        </w:rPr>
        <w:t>16</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tab/>
      </w:r>
      <w:r>
        <w:rPr>
          <w:rFonts w:hint="eastAsia"/>
          <w:color w:val="auto"/>
          <w:sz w:val="24"/>
          <w:highlight w:val="none"/>
          <w:lang w:val="en-US" w:eastAsia="zh-CN"/>
        </w:rPr>
        <w:t>20</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tab/>
      </w:r>
      <w:r>
        <w:rPr>
          <w:rFonts w:hint="eastAsia"/>
          <w:color w:val="auto"/>
          <w:sz w:val="24"/>
          <w:highlight w:val="none"/>
          <w:lang w:val="en-US" w:eastAsia="zh-CN"/>
        </w:rPr>
        <w:t>53</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2"/>
        <w:adjustRightInd w:val="0"/>
        <w:snapToGrid w:val="0"/>
        <w:spacing w:line="440" w:lineRule="exact"/>
        <w:jc w:val="left"/>
        <w:rPr>
          <w:rFonts w:hint="eastAsia" w:eastAsia="宋体"/>
          <w:color w:val="auto"/>
          <w:sz w:val="24"/>
          <w:highlight w:val="none"/>
          <w:lang w:val="en-US" w:eastAsia="zh-CN"/>
        </w:rPr>
      </w:pPr>
      <w:r>
        <w:rPr>
          <w:rFonts w:hint="eastAsia"/>
          <w:color w:val="auto"/>
          <w:sz w:val="24"/>
          <w:highlight w:val="none"/>
        </w:rPr>
        <w:t>二、收入决算表</w:t>
      </w:r>
      <w:r>
        <w:rPr>
          <w:rFonts w:hint="eastAsia"/>
          <w:lang w:val="en-US" w:eastAsia="zh-CN"/>
        </w:rPr>
        <w:t xml:space="preserve"> </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2"/>
        <w:adjustRightInd w:val="0"/>
        <w:snapToGrid w:val="0"/>
        <w:spacing w:line="440" w:lineRule="exact"/>
        <w:jc w:val="left"/>
        <w:rPr>
          <w:rFonts w:hint="eastAsia"/>
          <w:color w:val="auto"/>
          <w:sz w:val="24"/>
          <w:highlight w:val="none"/>
          <w:lang w:val="en-US" w:eastAsia="zh-CN"/>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r>
        <w:rPr>
          <w:rFonts w:hint="eastAsia"/>
          <w:color w:val="auto"/>
          <w:sz w:val="24"/>
          <w:highlight w:val="none"/>
        </w:rPr>
        <w:t>十三、财政拨款“三公”经费支出决算表</w:t>
      </w: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2"/>
        <w:jc w:val="center"/>
        <w:rPr>
          <w:rStyle w:val="28"/>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8"/>
          <w:rFonts w:hint="eastAsia" w:ascii="黑体" w:hAnsi="黑体" w:eastAsia="黑体"/>
          <w:b w:val="0"/>
          <w:bCs w:val="0"/>
          <w:color w:val="auto"/>
          <w:highlight w:val="none"/>
        </w:rPr>
        <w:t>部门概况</w:t>
      </w:r>
      <w:bookmarkEnd w:id="12"/>
      <w:bookmarkEnd w:id="13"/>
    </w:p>
    <w:p>
      <w:pPr>
        <w:widowControl/>
        <w:jc w:val="left"/>
        <w:rPr>
          <w:rFonts w:ascii="黑体" w:eastAsia="黑体"/>
          <w:color w:val="auto"/>
          <w:sz w:val="32"/>
          <w:szCs w:val="32"/>
          <w:highlight w:val="none"/>
        </w:rPr>
      </w:pPr>
    </w:p>
    <w:p>
      <w:pPr>
        <w:pStyle w:val="3"/>
        <w:pageBreakBefore w:val="0"/>
        <w:kinsoku/>
        <w:wordWrap/>
        <w:overflowPunct/>
        <w:topLinePunct w:val="0"/>
        <w:bidi w:val="0"/>
        <w:spacing w:line="560" w:lineRule="exact"/>
        <w:textAlignment w:val="auto"/>
        <w:rPr>
          <w:rStyle w:val="29"/>
          <w:rFonts w:hint="eastAsia" w:ascii="仿宋" w:hAnsi="仿宋" w:eastAsia="黑体"/>
          <w:b w:val="0"/>
          <w:bCs w:val="0"/>
          <w:color w:val="auto"/>
          <w:highlight w:val="none"/>
          <w:lang w:eastAsia="zh-CN"/>
        </w:rPr>
      </w:pPr>
      <w:bookmarkStart w:id="14" w:name="_Toc15396600"/>
      <w:bookmarkStart w:id="15" w:name="_Toc15377197"/>
      <w:r>
        <w:rPr>
          <w:rFonts w:hint="eastAsia" w:ascii="黑体" w:hAnsi="黑体" w:eastAsia="黑体"/>
          <w:b w:val="0"/>
          <w:color w:val="auto"/>
          <w:highlight w:val="none"/>
        </w:rPr>
        <w:t>一、</w:t>
      </w:r>
      <w:bookmarkEnd w:id="14"/>
      <w:bookmarkEnd w:id="15"/>
      <w:r>
        <w:rPr>
          <w:rFonts w:hint="eastAsia" w:ascii="黑体" w:hAnsi="黑体" w:eastAsia="黑体"/>
          <w:b w:val="0"/>
          <w:color w:val="auto"/>
          <w:highlight w:val="none"/>
          <w:lang w:eastAsia="zh-CN"/>
        </w:rPr>
        <w:t>部门职责</w:t>
      </w:r>
    </w:p>
    <w:p>
      <w:pPr>
        <w:pageBreakBefore w:val="0"/>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bookmarkStart w:id="16" w:name="_Toc15396601"/>
      <w:bookmarkStart w:id="17" w:name="_Toc15377200"/>
      <w:r>
        <w:rPr>
          <w:rFonts w:hint="eastAsia" w:ascii="仿宋_GB2312" w:hAnsi="仿宋" w:eastAsia="仿宋_GB2312"/>
          <w:sz w:val="32"/>
          <w:szCs w:val="32"/>
          <w:lang w:val="en-US" w:eastAsia="zh-CN"/>
        </w:rPr>
        <w:t>(一）</w:t>
      </w:r>
      <w:r>
        <w:rPr>
          <w:rFonts w:hint="eastAsia" w:ascii="仿宋_GB2312" w:hAnsi="仿宋" w:eastAsia="仿宋_GB2312"/>
          <w:sz w:val="32"/>
          <w:szCs w:val="32"/>
        </w:rPr>
        <w:t>拟订文化、文物和博物馆、广播电视、旅游相关的政策措施和规范性文件并组织实施，负责本部门依法行政工作。</w:t>
      </w:r>
    </w:p>
    <w:p>
      <w:pPr>
        <w:pageBreakBefore w:val="0"/>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(二）</w:t>
      </w:r>
      <w:r>
        <w:rPr>
          <w:rFonts w:hint="eastAsia" w:ascii="仿宋_GB2312" w:hAnsi="仿宋" w:eastAsia="仿宋_GB2312"/>
          <w:sz w:val="32"/>
          <w:szCs w:val="32"/>
        </w:rPr>
        <w:t>组织推动全区文化、文物和博物馆、广播电视事业、文化产业和旅游业发展，拟订发展规划并组织实施，推进文化、文物和博物馆、广播电视和旅游体制机制改革</w:t>
      </w:r>
      <w:r>
        <w:rPr>
          <w:rFonts w:hint="eastAsia" w:ascii="仿宋_GB2312" w:hAnsi="仿宋" w:eastAsia="仿宋_GB2312"/>
          <w:sz w:val="32"/>
          <w:szCs w:val="32"/>
          <w:lang w:eastAsia="zh-CN"/>
        </w:rPr>
        <w:t>，</w:t>
      </w:r>
      <w:r>
        <w:rPr>
          <w:rFonts w:hint="eastAsia" w:ascii="仿宋_GB2312" w:hAnsi="仿宋" w:eastAsia="仿宋_GB2312"/>
          <w:sz w:val="32"/>
          <w:szCs w:val="32"/>
        </w:rPr>
        <w:t>推进文化和旅游融合发展。</w:t>
      </w:r>
    </w:p>
    <w:p>
      <w:pPr>
        <w:pageBreakBefore w:val="0"/>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（三）</w:t>
      </w:r>
      <w:r>
        <w:rPr>
          <w:rFonts w:hint="eastAsia" w:ascii="仿宋_GB2312" w:hAnsi="仿宋" w:eastAsia="仿宋_GB2312"/>
          <w:sz w:val="32"/>
          <w:szCs w:val="32"/>
        </w:rPr>
        <w:t>管理全区重大文化、文物和博物馆、广播电视和旅游活动，指导全区重点文化、文物和博物馆、广播电视和旅游设施建设，组织全区文化旅游整体形象推广，拟定旅游市场开发战略并组织实施，推进全域旅游。</w:t>
      </w:r>
    </w:p>
    <w:p>
      <w:pPr>
        <w:pageBreakBefore w:val="0"/>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（四）</w:t>
      </w:r>
      <w:r>
        <w:rPr>
          <w:rFonts w:hint="eastAsia" w:ascii="仿宋_GB2312" w:hAnsi="仿宋" w:eastAsia="仿宋_GB2312"/>
          <w:sz w:val="32"/>
          <w:szCs w:val="32"/>
        </w:rPr>
        <w:t>指导管理文艺事业，推动艺术创作生产，扶持体现社会主义核心价值观、具有导向性代表性示范性的文艺作品，推动各门类艺术、各艺术品种发展，推动中华优秀传统文化和巴蜀文化传承发展。</w:t>
      </w:r>
    </w:p>
    <w:p>
      <w:pPr>
        <w:pageBreakBefore w:val="0"/>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（五）</w:t>
      </w:r>
      <w:r>
        <w:rPr>
          <w:rFonts w:hint="eastAsia" w:ascii="仿宋_GB2312" w:hAnsi="仿宋" w:eastAsia="仿宋_GB2312"/>
          <w:sz w:val="32"/>
          <w:szCs w:val="32"/>
        </w:rPr>
        <w:t>负责公共文化事业发展，推进全区公共文化服务体系建设和旅游公共服务建设，深入实施文化惠民工程，统筹推进基本公共服务标准化、均等化。</w:t>
      </w:r>
    </w:p>
    <w:p>
      <w:pPr>
        <w:pageBreakBefore w:val="0"/>
        <w:kinsoku/>
        <w:wordWrap/>
        <w:overflowPunct/>
        <w:topLinePunct w:val="0"/>
        <w:bidi w:val="0"/>
        <w:adjustRightInd/>
        <w:snapToGrid/>
        <w:spacing w:line="560" w:lineRule="exact"/>
        <w:ind w:right="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（六）</w:t>
      </w:r>
      <w:r>
        <w:rPr>
          <w:rFonts w:hint="eastAsia" w:ascii="仿宋_GB2312" w:hAnsi="仿宋" w:eastAsia="仿宋_GB2312"/>
          <w:sz w:val="32"/>
          <w:szCs w:val="32"/>
        </w:rPr>
        <w:t>推进文化广播电视和旅游科技创新发展，推进文化广播电视和旅游行业信息化、标准化建设。</w:t>
      </w:r>
    </w:p>
    <w:p>
      <w:pPr>
        <w:pageBreakBefore w:val="0"/>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（七）</w:t>
      </w:r>
      <w:r>
        <w:rPr>
          <w:rFonts w:hint="eastAsia" w:ascii="仿宋_GB2312" w:hAnsi="仿宋" w:eastAsia="仿宋_GB2312"/>
          <w:sz w:val="32"/>
          <w:szCs w:val="32"/>
        </w:rPr>
        <w:t>负责非物质文化遗产保护，推动非物质文化遗产的保护、传承、普及、弘扬和振兴。</w:t>
      </w:r>
    </w:p>
    <w:p>
      <w:pPr>
        <w:pageBreakBefore w:val="0"/>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（八）</w:t>
      </w:r>
      <w:r>
        <w:rPr>
          <w:rFonts w:hint="eastAsia" w:ascii="仿宋_GB2312" w:hAnsi="仿宋" w:eastAsia="仿宋_GB2312"/>
          <w:sz w:val="32"/>
          <w:szCs w:val="32"/>
        </w:rPr>
        <w:t>组织实施文化文物广播电视和旅游资源普查、挖掘、保护与利用工作，促进文化产业和旅游业发展。</w:t>
      </w:r>
    </w:p>
    <w:p>
      <w:pPr>
        <w:pageBreakBefore w:val="0"/>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（九）</w:t>
      </w:r>
      <w:r>
        <w:rPr>
          <w:rFonts w:hint="eastAsia" w:ascii="仿宋_GB2312" w:hAnsi="仿宋" w:eastAsia="仿宋_GB2312"/>
          <w:sz w:val="32"/>
          <w:szCs w:val="32"/>
        </w:rPr>
        <w:t>指导文化旅游、广播电视市场发展，对文化旅游、广播电视市场经营进行行业监管，推进文化旅游、广播电视行业信用体系建设，依法规范文化旅游、广播电视市场。指导和监督社会文物管理工作。</w:t>
      </w:r>
    </w:p>
    <w:p>
      <w:pPr>
        <w:pageBreakBefore w:val="0"/>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（十）</w:t>
      </w:r>
      <w:r>
        <w:rPr>
          <w:rFonts w:hint="eastAsia" w:ascii="仿宋_GB2312" w:hAnsi="仿宋" w:eastAsia="仿宋_GB2312"/>
          <w:sz w:val="32"/>
          <w:szCs w:val="32"/>
        </w:rPr>
        <w:t>统筹全区文化市场综合执法，组织查处全区性、跨区域文化、文物、广播电视、旅游等市场的违法行为，督查督办大案要案，维护市场秩序。</w:t>
      </w:r>
    </w:p>
    <w:p>
      <w:pPr>
        <w:pageBreakBefore w:val="0"/>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（十一）</w:t>
      </w:r>
      <w:r>
        <w:rPr>
          <w:rFonts w:hint="eastAsia" w:ascii="仿宋_GB2312" w:hAnsi="仿宋" w:eastAsia="仿宋_GB2312"/>
          <w:sz w:val="32"/>
          <w:szCs w:val="32"/>
        </w:rPr>
        <w:t>负责管理文化广播电视和旅游对外交流合作与宣传推广工作，代表安居区签订对外文化、旅游合作协定，组织文化广播电视和旅游对外及对港澳台交流活动，推动安居区文化旅游品牌建设。</w:t>
      </w:r>
    </w:p>
    <w:p>
      <w:pPr>
        <w:pageBreakBefore w:val="0"/>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（十二）</w:t>
      </w:r>
      <w:r>
        <w:rPr>
          <w:rFonts w:hint="eastAsia" w:ascii="仿宋_GB2312" w:hAnsi="仿宋" w:eastAsia="仿宋_GB2312"/>
          <w:sz w:val="32"/>
          <w:szCs w:val="32"/>
        </w:rPr>
        <w:t>监督管理、审核广播电视和网络视听节目的内容及质量。指导、监督广播电视广告播放。指导、监督实施行业技术标准。负责广播电视节目传输覆盖、监测和安全播出的监督管理。负责对各类广播电视机构进行业务指导和行业监管，会同有关部门对网络视听节目服务机构进行管理。负责推进广播电视与新媒体新技术新业态融合发展，推进广电网与电信网、互联网三网融合。</w:t>
      </w:r>
    </w:p>
    <w:p>
      <w:pPr>
        <w:pageBreakBefore w:val="0"/>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（十三）</w:t>
      </w:r>
      <w:r>
        <w:rPr>
          <w:rFonts w:hint="eastAsia" w:ascii="仿宋_GB2312" w:hAnsi="仿宋" w:eastAsia="仿宋_GB2312"/>
          <w:sz w:val="32"/>
          <w:szCs w:val="32"/>
        </w:rPr>
        <w:t>负责职责范围内的安全生产和职业健康、生态环境保护、审批服务便民化、市场监管、依法治理等工作。</w:t>
      </w:r>
    </w:p>
    <w:p>
      <w:pPr>
        <w:pStyle w:val="3"/>
        <w:pageBreakBefore w:val="0"/>
        <w:kinsoku/>
        <w:wordWrap/>
        <w:overflowPunct/>
        <w:topLinePunct w:val="0"/>
        <w:bidi w:val="0"/>
        <w:spacing w:line="560" w:lineRule="exact"/>
        <w:ind w:firstLine="640" w:firstLineChars="200"/>
        <w:textAlignment w:val="auto"/>
        <w:rPr>
          <w:rFonts w:hint="eastAsia" w:ascii="黑体" w:eastAsia="黑体"/>
          <w:b w:val="0"/>
          <w:color w:val="auto"/>
          <w:highlight w:val="none"/>
        </w:rPr>
      </w:pPr>
      <w:r>
        <w:rPr>
          <w:rFonts w:hint="eastAsia" w:ascii="仿宋_GB2312" w:hAnsi="仿宋" w:eastAsia="仿宋_GB2312" w:cs="Times New Roman"/>
          <w:b w:val="0"/>
          <w:bCs w:val="0"/>
          <w:kern w:val="2"/>
          <w:sz w:val="32"/>
          <w:szCs w:val="32"/>
          <w:lang w:val="en-US" w:eastAsia="zh-CN" w:bidi="ar-SA"/>
        </w:rPr>
        <w:t>（十四）完成区委和区政府交办的其他任务。</w:t>
      </w:r>
    </w:p>
    <w:p>
      <w:pPr>
        <w:pStyle w:val="3"/>
        <w:pageBreakBefore w:val="0"/>
        <w:kinsoku/>
        <w:wordWrap/>
        <w:overflowPunct/>
        <w:topLinePunct w:val="0"/>
        <w:bidi w:val="0"/>
        <w:spacing w:line="560" w:lineRule="exact"/>
        <w:textAlignment w:val="auto"/>
        <w:rPr>
          <w:rStyle w:val="29"/>
          <w:b w:val="0"/>
          <w:bCs w:val="0"/>
          <w:color w:val="auto"/>
          <w:highlight w:val="none"/>
        </w:rPr>
      </w:pPr>
      <w:r>
        <w:rPr>
          <w:rFonts w:hint="eastAsia" w:ascii="黑体" w:eastAsia="黑体"/>
          <w:b w:val="0"/>
          <w:color w:val="auto"/>
          <w:highlight w:val="none"/>
        </w:rPr>
        <w:t>二、</w:t>
      </w:r>
      <w:r>
        <w:rPr>
          <w:rFonts w:hint="eastAsia" w:ascii="黑体" w:hAnsi="黑体" w:eastAsia="黑体"/>
          <w:b w:val="0"/>
          <w:color w:val="auto"/>
          <w:highlight w:val="none"/>
        </w:rPr>
        <w:t>机</w:t>
      </w:r>
      <w:r>
        <w:rPr>
          <w:rStyle w:val="29"/>
          <w:rFonts w:hint="eastAsia" w:ascii="黑体" w:hAnsi="黑体" w:eastAsia="黑体"/>
          <w:b w:val="0"/>
          <w:bCs w:val="0"/>
          <w:color w:val="auto"/>
          <w:highlight w:val="none"/>
        </w:rPr>
        <w:t>构设置</w:t>
      </w:r>
      <w:bookmarkEnd w:id="16"/>
      <w:bookmarkEnd w:id="17"/>
    </w:p>
    <w:p>
      <w:pPr>
        <w:pageBreakBefore w:val="0"/>
        <w:kinsoku/>
        <w:wordWrap/>
        <w:overflowPunct/>
        <w:topLinePunct w:val="0"/>
        <w:bidi w:val="0"/>
        <w:spacing w:line="560" w:lineRule="exact"/>
        <w:ind w:firstLine="800" w:firstLineChars="2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区文化广电旅游局</w:t>
      </w:r>
      <w:r>
        <w:rPr>
          <w:rFonts w:hint="eastAsia" w:ascii="仿宋_GB2312" w:hAnsi="仿宋_GB2312" w:eastAsia="仿宋_GB2312" w:cs="仿宋_GB2312"/>
          <w:color w:val="auto"/>
          <w:sz w:val="32"/>
          <w:szCs w:val="32"/>
          <w:highlight w:val="none"/>
        </w:rPr>
        <w:t>下属二级</w:t>
      </w:r>
      <w:r>
        <w:rPr>
          <w:rFonts w:hint="eastAsia" w:ascii="仿宋_GB2312" w:hAnsi="仿宋_GB2312" w:eastAsia="仿宋_GB2312" w:cs="仿宋_GB2312"/>
          <w:color w:val="auto"/>
          <w:sz w:val="32"/>
          <w:szCs w:val="32"/>
          <w:highlight w:val="none"/>
          <w:lang w:eastAsia="zh-CN"/>
        </w:rPr>
        <w:t>预算</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个，其中行政单位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个，参照公务员法管理的事业单位</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个，其他事业单位</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w:t>
      </w:r>
    </w:p>
    <w:p>
      <w:pPr>
        <w:pStyle w:val="5"/>
        <w:pageBreakBefore w:val="0"/>
        <w:kinsoku/>
        <w:wordWrap/>
        <w:overflowPunct/>
        <w:topLinePunct w:val="0"/>
        <w:bidi w:val="0"/>
        <w:adjustRightInd w:val="0"/>
        <w:snapToGrid w:val="0"/>
        <w:spacing w:before="93" w:line="560" w:lineRule="exact"/>
        <w:ind w:firstLine="672" w:firstLineChars="21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纳入</w:t>
      </w:r>
      <w:r>
        <w:rPr>
          <w:rFonts w:hint="eastAsia" w:ascii="仿宋_GB2312" w:hAnsi="仿宋_GB2312" w:eastAsia="仿宋_GB2312" w:cs="仿宋_GB2312"/>
          <w:color w:val="auto"/>
          <w:sz w:val="32"/>
          <w:szCs w:val="32"/>
          <w:highlight w:val="none"/>
          <w:lang w:eastAsia="zh-CN"/>
        </w:rPr>
        <w:t>区文化广电旅游局</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年度部门决算编制范围的二级预算单位包括：</w:t>
      </w:r>
    </w:p>
    <w:p>
      <w:pPr>
        <w:pStyle w:val="5"/>
        <w:pageBreakBefore w:val="0"/>
        <w:numPr>
          <w:ilvl w:val="0"/>
          <w:numId w:val="0"/>
        </w:numPr>
        <w:kinsoku/>
        <w:wordWrap/>
        <w:overflowPunct/>
        <w:topLinePunct w:val="0"/>
        <w:bidi w:val="0"/>
        <w:adjustRightInd/>
        <w:snapToGrid/>
        <w:spacing w:beforeLines="0" w:line="240" w:lineRule="auto"/>
        <w:ind w:leftChars="0" w:right="0" w:rightChars="0" w:firstLine="640" w:firstLineChars="200"/>
        <w:jc w:val="both"/>
        <w:outlineLvl w:val="9"/>
        <w:rPr>
          <w:rFonts w:ascii="仿宋" w:hAnsi="仿宋" w:eastAsia="仿宋"/>
          <w:color w:val="auto"/>
          <w:sz w:val="32"/>
          <w:szCs w:val="32"/>
          <w:highlight w:val="none"/>
        </w:rPr>
      </w:pPr>
      <w:r>
        <w:rPr>
          <w:rFonts w:hint="eastAsia" w:hAnsi="仿宋"/>
          <w:sz w:val="32"/>
          <w:szCs w:val="32"/>
          <w:lang w:val="en-US" w:eastAsia="zh-CN"/>
        </w:rPr>
        <w:t>1.遂宁市安居</w:t>
      </w:r>
      <w:r>
        <w:rPr>
          <w:rFonts w:hint="eastAsia" w:ascii="仿宋_GB2312" w:hAnsi="仿宋" w:eastAsia="仿宋_GB2312"/>
          <w:sz w:val="32"/>
          <w:szCs w:val="32"/>
        </w:rPr>
        <w:t>区文化市场综合行政执法大队</w:t>
      </w:r>
    </w:p>
    <w:p>
      <w:pPr>
        <w:pStyle w:val="5"/>
        <w:pageBreakBefore w:val="0"/>
        <w:numPr>
          <w:ilvl w:val="0"/>
          <w:numId w:val="0"/>
        </w:numPr>
        <w:kinsoku/>
        <w:wordWrap/>
        <w:overflowPunct/>
        <w:topLinePunct w:val="0"/>
        <w:bidi w:val="0"/>
        <w:adjustRightInd/>
        <w:snapToGrid/>
        <w:spacing w:beforeLines="0" w:line="560" w:lineRule="exact"/>
        <w:ind w:left="630" w:leftChars="0" w:right="0" w:rightChars="0"/>
        <w:jc w:val="both"/>
        <w:outlineLvl w:val="9"/>
        <w:rPr>
          <w:rFonts w:ascii="仿宋" w:hAnsi="仿宋" w:eastAsia="仿宋"/>
          <w:color w:val="auto"/>
          <w:sz w:val="32"/>
          <w:szCs w:val="32"/>
          <w:highlight w:val="none"/>
        </w:rPr>
      </w:pPr>
      <w:bookmarkStart w:id="18" w:name="_Toc15306277"/>
      <w:bookmarkStart w:id="19" w:name="_Toc15377434"/>
      <w:bookmarkStart w:id="20" w:name="_Toc15378450"/>
      <w:bookmarkStart w:id="21" w:name="_Toc15377203"/>
      <w:r>
        <w:rPr>
          <w:rFonts w:hint="eastAsia" w:hAnsi="仿宋"/>
          <w:sz w:val="32"/>
          <w:szCs w:val="32"/>
          <w:lang w:val="en-US" w:eastAsia="zh-CN"/>
        </w:rPr>
        <w:t>2.</w:t>
      </w:r>
      <w:bookmarkEnd w:id="18"/>
      <w:bookmarkEnd w:id="19"/>
      <w:bookmarkEnd w:id="20"/>
      <w:bookmarkEnd w:id="21"/>
      <w:r>
        <w:rPr>
          <w:rFonts w:hint="eastAsia" w:hAnsi="仿宋"/>
          <w:sz w:val="32"/>
          <w:szCs w:val="32"/>
          <w:lang w:val="en-US" w:eastAsia="zh-CN"/>
        </w:rPr>
        <w:t>遂宁市安居区文化艺术发展中心</w:t>
      </w:r>
    </w:p>
    <w:p>
      <w:pPr>
        <w:pStyle w:val="5"/>
        <w:pageBreakBefore w:val="0"/>
        <w:kinsoku/>
        <w:wordWrap/>
        <w:overflowPunct/>
        <w:topLinePunct w:val="0"/>
        <w:bidi w:val="0"/>
        <w:adjustRightInd/>
        <w:snapToGrid/>
        <w:spacing w:beforeLines="0" w:line="560" w:lineRule="exact"/>
        <w:ind w:left="0" w:leftChars="0" w:right="0" w:firstLine="640" w:firstLineChars="200"/>
        <w:jc w:val="both"/>
        <w:outlineLvl w:val="9"/>
        <w:rPr>
          <w:rFonts w:hint="eastAsia" w:ascii="仿宋_GB2312" w:hAnsi="仿宋" w:eastAsia="仿宋_GB2312"/>
          <w:sz w:val="32"/>
          <w:szCs w:val="32"/>
        </w:rPr>
      </w:pPr>
      <w:r>
        <w:rPr>
          <w:rFonts w:hint="eastAsia" w:ascii="仿宋" w:hAnsi="仿宋" w:eastAsia="仿宋"/>
          <w:color w:val="auto"/>
          <w:sz w:val="32"/>
          <w:szCs w:val="32"/>
          <w:highlight w:val="none"/>
          <w:lang w:val="en-US" w:eastAsia="zh-CN"/>
        </w:rPr>
        <w:t>3.</w:t>
      </w:r>
      <w:r>
        <w:rPr>
          <w:rFonts w:hint="eastAsia" w:ascii="仿宋_GB2312" w:hAnsi="仿宋" w:eastAsia="仿宋_GB2312"/>
          <w:sz w:val="32"/>
          <w:szCs w:val="32"/>
        </w:rPr>
        <w:t>遂宁市安居区文化馆</w:t>
      </w:r>
    </w:p>
    <w:p>
      <w:pPr>
        <w:pStyle w:val="5"/>
        <w:pageBreakBefore w:val="0"/>
        <w:kinsoku/>
        <w:wordWrap/>
        <w:overflowPunct/>
        <w:topLinePunct w:val="0"/>
        <w:bidi w:val="0"/>
        <w:adjustRightInd/>
        <w:snapToGrid/>
        <w:spacing w:beforeLines="0" w:line="560" w:lineRule="exact"/>
        <w:ind w:left="0" w:leftChars="0" w:right="0" w:firstLine="640" w:firstLineChars="200"/>
        <w:jc w:val="both"/>
        <w:outlineLvl w:val="9"/>
        <w:rPr>
          <w:rFonts w:hint="eastAsia" w:hAnsi="仿宋"/>
          <w:sz w:val="32"/>
          <w:szCs w:val="32"/>
          <w:lang w:val="en-US" w:eastAsia="zh-CN"/>
        </w:rPr>
      </w:pPr>
      <w:r>
        <w:rPr>
          <w:rFonts w:hint="eastAsia" w:hAnsi="仿宋"/>
          <w:sz w:val="32"/>
          <w:szCs w:val="32"/>
          <w:lang w:val="en-US" w:eastAsia="zh-CN"/>
        </w:rPr>
        <w:t>4.遂宁市安居</w:t>
      </w:r>
      <w:r>
        <w:rPr>
          <w:rFonts w:hint="eastAsia" w:ascii="仿宋_GB2312" w:hAnsi="仿宋" w:eastAsia="仿宋_GB2312"/>
          <w:sz w:val="32"/>
          <w:szCs w:val="32"/>
        </w:rPr>
        <w:t>区图书馆</w:t>
      </w:r>
    </w:p>
    <w:p>
      <w:pPr>
        <w:pStyle w:val="5"/>
        <w:pageBreakBefore w:val="0"/>
        <w:kinsoku/>
        <w:wordWrap/>
        <w:overflowPunct/>
        <w:topLinePunct w:val="0"/>
        <w:bidi w:val="0"/>
        <w:adjustRightInd/>
        <w:snapToGrid/>
        <w:spacing w:beforeLines="0" w:line="560" w:lineRule="exact"/>
        <w:ind w:left="0" w:leftChars="0" w:right="0" w:firstLine="640" w:firstLineChars="200"/>
        <w:jc w:val="both"/>
        <w:outlineLvl w:val="9"/>
        <w:rPr>
          <w:rFonts w:hint="eastAsia" w:hAnsi="仿宋"/>
          <w:sz w:val="32"/>
          <w:szCs w:val="32"/>
          <w:lang w:val="en-US" w:eastAsia="zh-CN"/>
        </w:rPr>
      </w:pPr>
      <w:r>
        <w:rPr>
          <w:rFonts w:hint="eastAsia" w:hAnsi="仿宋"/>
          <w:sz w:val="32"/>
          <w:szCs w:val="32"/>
          <w:lang w:val="en-US" w:eastAsia="zh-CN"/>
        </w:rPr>
        <w:t>5.遂宁市安居</w:t>
      </w:r>
      <w:r>
        <w:rPr>
          <w:rFonts w:hint="eastAsia" w:ascii="仿宋_GB2312" w:hAnsi="仿宋" w:eastAsia="仿宋_GB2312"/>
          <w:sz w:val="32"/>
          <w:szCs w:val="32"/>
        </w:rPr>
        <w:t>区博物馆（</w:t>
      </w:r>
      <w:r>
        <w:rPr>
          <w:rFonts w:hint="eastAsia" w:hAnsi="仿宋"/>
          <w:sz w:val="32"/>
          <w:szCs w:val="32"/>
          <w:lang w:eastAsia="zh-CN"/>
        </w:rPr>
        <w:t>区</w:t>
      </w:r>
      <w:r>
        <w:rPr>
          <w:rFonts w:hint="eastAsia" w:ascii="仿宋_GB2312" w:hAnsi="仿宋" w:eastAsia="仿宋_GB2312"/>
          <w:sz w:val="32"/>
          <w:szCs w:val="32"/>
        </w:rPr>
        <w:t>文物保护所）</w:t>
      </w:r>
    </w:p>
    <w:p>
      <w:pPr>
        <w:pageBreakBefore w:val="0"/>
        <w:widowControl/>
        <w:kinsoku/>
        <w:wordWrap/>
        <w:overflowPunct/>
        <w:topLinePunct w:val="0"/>
        <w:bidi w:val="0"/>
        <w:spacing w:line="56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cs="Times New Roman"/>
          <w:kern w:val="0"/>
          <w:sz w:val="32"/>
          <w:szCs w:val="32"/>
          <w:lang w:val="en-US" w:eastAsia="zh-CN" w:bidi="ar-SA"/>
        </w:rPr>
        <w:t>6.遂宁市安居区广播电视发射台</w:t>
      </w:r>
    </w:p>
    <w:p>
      <w:pPr>
        <w:pageBreakBefore w:val="0"/>
        <w:widowControl/>
        <w:kinsoku/>
        <w:wordWrap/>
        <w:overflowPunct/>
        <w:topLinePunct w:val="0"/>
        <w:bidi w:val="0"/>
        <w:spacing w:line="560" w:lineRule="exact"/>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7.遂宁市安居区少年儿童图书馆</w:t>
      </w:r>
    </w:p>
    <w:p>
      <w:pPr>
        <w:pageBreakBefore w:val="0"/>
        <w:widowControl/>
        <w:kinsoku/>
        <w:wordWrap/>
        <w:overflowPunct/>
        <w:topLinePunct w:val="0"/>
        <w:bidi w:val="0"/>
        <w:spacing w:line="560" w:lineRule="exact"/>
        <w:ind w:firstLine="640" w:firstLineChars="200"/>
        <w:jc w:val="left"/>
        <w:textAlignment w:val="auto"/>
        <w:rPr>
          <w:rFonts w:ascii="仿宋" w:hAnsi="仿宋" w:eastAsia="仿宋"/>
          <w:color w:val="auto"/>
          <w:kern w:val="0"/>
          <w:sz w:val="32"/>
          <w:szCs w:val="32"/>
          <w:highlight w:val="none"/>
        </w:rPr>
      </w:pPr>
      <w:r>
        <w:rPr>
          <w:rFonts w:hint="eastAsia" w:ascii="仿宋_GB2312" w:hAnsi="仿宋" w:eastAsia="仿宋_GB2312"/>
          <w:sz w:val="32"/>
          <w:szCs w:val="32"/>
          <w:lang w:val="en-US" w:eastAsia="zh-CN"/>
        </w:rPr>
        <w:t>8.遂宁市安居区美术馆</w:t>
      </w:r>
      <w:r>
        <w:rPr>
          <w:rFonts w:ascii="仿宋" w:hAnsi="仿宋" w:eastAsia="仿宋"/>
          <w:color w:val="auto"/>
          <w:sz w:val="32"/>
          <w:szCs w:val="32"/>
          <w:highlight w:val="none"/>
        </w:rPr>
        <w:br w:type="page"/>
      </w:r>
    </w:p>
    <w:p>
      <w:pPr>
        <w:pStyle w:val="2"/>
        <w:pageBreakBefore w:val="0"/>
        <w:kinsoku/>
        <w:wordWrap/>
        <w:overflowPunct/>
        <w:topLinePunct w:val="0"/>
        <w:bidi w:val="0"/>
        <w:spacing w:line="560" w:lineRule="exact"/>
        <w:ind w:right="440"/>
        <w:jc w:val="center"/>
        <w:textAlignment w:val="auto"/>
        <w:rPr>
          <w:rStyle w:val="28"/>
          <w:rFonts w:ascii="黑体" w:hAnsi="黑体" w:eastAsia="黑体"/>
          <w:b w:val="0"/>
          <w:bCs/>
          <w:color w:val="auto"/>
          <w:highlight w:val="none"/>
        </w:rPr>
      </w:pPr>
      <w:bookmarkStart w:id="22" w:name="_Toc15396602"/>
      <w:bookmarkStart w:id="23"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8"/>
          <w:rFonts w:hint="eastAsia" w:ascii="黑体" w:hAnsi="黑体" w:eastAsia="黑体"/>
          <w:b w:val="0"/>
          <w:bCs/>
          <w:color w:val="auto"/>
          <w:highlight w:val="none"/>
        </w:rPr>
        <w:t>部门决算情况说明</w:t>
      </w:r>
      <w:bookmarkEnd w:id="22"/>
      <w:bookmarkEnd w:id="23"/>
    </w:p>
    <w:p>
      <w:pPr>
        <w:pageBreakBefore w:val="0"/>
        <w:kinsoku/>
        <w:wordWrap/>
        <w:overflowPunct/>
        <w:topLinePunct w:val="0"/>
        <w:bidi w:val="0"/>
        <w:spacing w:line="560" w:lineRule="exact"/>
        <w:textAlignment w:val="auto"/>
        <w:rPr>
          <w:color w:val="auto"/>
          <w:highlight w:val="none"/>
        </w:rPr>
      </w:pPr>
    </w:p>
    <w:p>
      <w:pPr>
        <w:pStyle w:val="27"/>
        <w:pageBreakBefore w:val="0"/>
        <w:numPr>
          <w:ilvl w:val="0"/>
          <w:numId w:val="1"/>
        </w:numPr>
        <w:kinsoku/>
        <w:wordWrap/>
        <w:overflowPunct/>
        <w:topLinePunct w:val="0"/>
        <w:bidi w:val="0"/>
        <w:spacing w:line="560" w:lineRule="exact"/>
        <w:ind w:firstLineChars="0"/>
        <w:textAlignment w:val="auto"/>
        <w:outlineLvl w:val="1"/>
        <w:rPr>
          <w:rStyle w:val="29"/>
          <w:rFonts w:ascii="黑体" w:hAnsi="黑体" w:eastAsia="黑体"/>
          <w:b w:val="0"/>
          <w:color w:val="auto"/>
          <w:highlight w:val="none"/>
        </w:rPr>
      </w:pPr>
      <w:bookmarkStart w:id="24" w:name="_Toc15377205"/>
      <w:bookmarkStart w:id="25" w:name="_Toc15396603"/>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4"/>
      <w:bookmarkEnd w:id="25"/>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4318.83</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年相比，收、支总计各减少2550.39万元，下降</w:t>
      </w:r>
      <w:r>
        <w:rPr>
          <w:rFonts w:hint="eastAsia" w:ascii="仿宋_GB2312" w:hAnsi="仿宋_GB2312" w:eastAsia="仿宋_GB2312" w:cs="仿宋_GB2312"/>
          <w:color w:val="auto"/>
          <w:sz w:val="32"/>
          <w:szCs w:val="32"/>
          <w:highlight w:val="none"/>
          <w:lang w:val="en-US" w:eastAsia="zh-CN"/>
        </w:rPr>
        <w:t>37.13</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2022年一般公共预算财政拨款收入、支出比2021年减少270.31万元，政府性基金预算财政拨款收入、支出比2021年减少2026.16万元，其他收入支出减少56.04万元，年初结转和结余比2021年减少197.88万元</w:t>
      </w:r>
      <w:r>
        <w:rPr>
          <w:rFonts w:hint="eastAsia" w:ascii="仿宋_GB2312" w:hAnsi="仿宋_GB2312" w:eastAsia="仿宋_GB2312" w:cs="仿宋_GB2312"/>
          <w:color w:val="auto"/>
          <w:sz w:val="32"/>
          <w:szCs w:val="32"/>
          <w:highlight w:val="none"/>
          <w:lang w:eastAsia="zh-CN"/>
        </w:rPr>
        <w:t>。</w:t>
      </w:r>
    </w:p>
    <w:p>
      <w:pPr>
        <w:pageBreakBefore w:val="0"/>
        <w:kinsoku/>
        <w:wordWrap/>
        <w:overflowPunct/>
        <w:topLinePunct w:val="0"/>
        <w:bidi w:val="0"/>
        <w:spacing w:line="560" w:lineRule="exact"/>
        <w:ind w:firstLine="420" w:firstLineChars="200"/>
        <w:textAlignment w:val="auto"/>
        <w:rPr>
          <w:rFonts w:hint="eastAsia" w:ascii="仿宋" w:hAnsi="仿宋" w:eastAsia="仿宋"/>
          <w:color w:val="auto"/>
          <w:sz w:val="32"/>
          <w:szCs w:val="32"/>
          <w:highlight w:val="none"/>
        </w:rPr>
      </w:pPr>
      <w:r>
        <w:drawing>
          <wp:anchor distT="0" distB="0" distL="114300" distR="114300" simplePos="0" relativeHeight="251659264" behindDoc="0" locked="0" layoutInCell="1" allowOverlap="1">
            <wp:simplePos x="0" y="0"/>
            <wp:positionH relativeFrom="column">
              <wp:posOffset>204470</wp:posOffset>
            </wp:positionH>
            <wp:positionV relativeFrom="paragraph">
              <wp:posOffset>155575</wp:posOffset>
            </wp:positionV>
            <wp:extent cx="4572000" cy="2743200"/>
            <wp:effectExtent l="4445" t="4445" r="14605" b="52705"/>
            <wp:wrapNone/>
            <wp:docPr id="5" name="图表 4" descr="7b0a202020202263686172745265734964223a2022343136373636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jc w:val="left"/>
        <w:textAlignment w:val="auto"/>
        <w:rPr>
          <w:rFonts w:ascii="仿宋_GB2312" w:eastAsia="仿宋_GB2312"/>
          <w:color w:val="auto"/>
          <w:sz w:val="32"/>
          <w:szCs w:val="32"/>
          <w:highlight w:val="none"/>
        </w:rPr>
      </w:pPr>
    </w:p>
    <w:p>
      <w:pPr>
        <w:pStyle w:val="27"/>
        <w:pageBreakBefore w:val="0"/>
        <w:numPr>
          <w:ilvl w:val="0"/>
          <w:numId w:val="1"/>
        </w:numPr>
        <w:kinsoku/>
        <w:wordWrap/>
        <w:overflowPunct/>
        <w:topLinePunct w:val="0"/>
        <w:bidi w:val="0"/>
        <w:spacing w:line="560" w:lineRule="exact"/>
        <w:ind w:firstLineChars="0"/>
        <w:textAlignment w:val="auto"/>
        <w:outlineLvl w:val="1"/>
        <w:rPr>
          <w:rStyle w:val="29"/>
          <w:rFonts w:ascii="黑体" w:hAnsi="黑体" w:eastAsia="黑体"/>
          <w:b w:val="0"/>
          <w:color w:val="auto"/>
          <w:highlight w:val="none"/>
        </w:rPr>
      </w:pPr>
      <w:bookmarkStart w:id="26" w:name="_Toc15396604"/>
      <w:bookmarkStart w:id="27" w:name="_Toc15377206"/>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6"/>
      <w:bookmarkEnd w:id="27"/>
    </w:p>
    <w:p>
      <w:pPr>
        <w:pageBreakBefore w:val="0"/>
        <w:kinsoku/>
        <w:wordWrap/>
        <w:overflowPunct/>
        <w:topLinePunct w:val="0"/>
        <w:bidi w:val="0"/>
        <w:spacing w:line="560" w:lineRule="exact"/>
        <w:ind w:firstLine="640" w:firstLineChars="200"/>
        <w:textAlignment w:val="auto"/>
        <w:outlineLvl w:val="1"/>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年本年收入合计4318.83万元，其中：一般公共预算财政拨款收入2669.99万元，占</w:t>
      </w:r>
      <w:r>
        <w:rPr>
          <w:rFonts w:hint="eastAsia" w:ascii="仿宋_GB2312" w:hAnsi="仿宋_GB2312" w:eastAsia="仿宋_GB2312" w:cs="仿宋_GB2312"/>
          <w:color w:val="auto"/>
          <w:sz w:val="32"/>
          <w:szCs w:val="32"/>
          <w:highlight w:val="none"/>
          <w:lang w:val="en-US" w:eastAsia="zh-CN"/>
        </w:rPr>
        <w:t>62</w:t>
      </w:r>
      <w:r>
        <w:rPr>
          <w:rFonts w:hint="eastAsia" w:ascii="仿宋_GB2312" w:hAnsi="仿宋_GB2312" w:eastAsia="仿宋_GB2312" w:cs="仿宋_GB2312"/>
          <w:color w:val="auto"/>
          <w:sz w:val="32"/>
          <w:szCs w:val="32"/>
          <w:highlight w:val="none"/>
        </w:rPr>
        <w:t>%；政府性基金预算财政拨款收入1642.64万元，占</w:t>
      </w:r>
      <w:r>
        <w:rPr>
          <w:rFonts w:hint="eastAsia" w:ascii="仿宋_GB2312" w:hAnsi="仿宋_GB2312" w:eastAsia="仿宋_GB2312" w:cs="仿宋_GB2312"/>
          <w:color w:val="auto"/>
          <w:sz w:val="32"/>
          <w:szCs w:val="32"/>
          <w:highlight w:val="none"/>
          <w:lang w:val="en-US" w:eastAsia="zh-CN"/>
        </w:rPr>
        <w:t>38</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6.2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pageBreakBefore w:val="0"/>
        <w:kinsoku/>
        <w:wordWrap/>
        <w:overflowPunct/>
        <w:topLinePunct w:val="0"/>
        <w:bidi w:val="0"/>
        <w:spacing w:line="560" w:lineRule="exact"/>
        <w:ind w:firstLine="640" w:firstLineChars="200"/>
        <w:textAlignment w:val="auto"/>
        <w:outlineLvl w:val="1"/>
        <w:rPr>
          <w:rFonts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textAlignment w:val="auto"/>
        <w:outlineLvl w:val="1"/>
        <w:rPr>
          <w:rFonts w:ascii="仿宋" w:hAnsi="仿宋" w:eastAsia="仿宋"/>
          <w:color w:val="auto"/>
          <w:sz w:val="32"/>
          <w:szCs w:val="32"/>
          <w:highlight w:val="none"/>
        </w:rPr>
      </w:pPr>
    </w:p>
    <w:p>
      <w:pPr>
        <w:pageBreakBefore w:val="0"/>
        <w:kinsoku/>
        <w:wordWrap/>
        <w:overflowPunct/>
        <w:topLinePunct w:val="0"/>
        <w:bidi w:val="0"/>
        <w:spacing w:line="560" w:lineRule="exact"/>
        <w:ind w:firstLine="420" w:firstLineChars="200"/>
        <w:textAlignment w:val="auto"/>
        <w:rPr>
          <w:rFonts w:ascii="仿宋_GB2312" w:eastAsia="仿宋_GB2312"/>
          <w:color w:val="auto"/>
          <w:sz w:val="32"/>
          <w:szCs w:val="32"/>
          <w:highlight w:val="none"/>
        </w:rPr>
      </w:pPr>
      <w:r>
        <w:drawing>
          <wp:anchor distT="0" distB="0" distL="114300" distR="114300" simplePos="0" relativeHeight="251660288" behindDoc="0" locked="0" layoutInCell="1" allowOverlap="1">
            <wp:simplePos x="0" y="0"/>
            <wp:positionH relativeFrom="column">
              <wp:posOffset>375920</wp:posOffset>
            </wp:positionH>
            <wp:positionV relativeFrom="paragraph">
              <wp:posOffset>146050</wp:posOffset>
            </wp:positionV>
            <wp:extent cx="4572000" cy="2743200"/>
            <wp:effectExtent l="4445" t="4445" r="14605" b="1460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5"/>
        <w:rPr>
          <w:rFonts w:ascii="仿宋_GB2312" w:eastAsia="仿宋_GB2312"/>
          <w:color w:val="auto"/>
          <w:sz w:val="32"/>
          <w:szCs w:val="32"/>
          <w:highlight w:val="none"/>
        </w:rPr>
      </w:pPr>
    </w:p>
    <w:p>
      <w:pPr>
        <w:pStyle w:val="5"/>
        <w:rPr>
          <w:rFonts w:ascii="仿宋_GB2312" w:eastAsia="仿宋_GB2312"/>
          <w:color w:val="auto"/>
          <w:sz w:val="32"/>
          <w:szCs w:val="32"/>
          <w:highlight w:val="none"/>
        </w:rPr>
      </w:pPr>
    </w:p>
    <w:p>
      <w:pPr>
        <w:pStyle w:val="5"/>
        <w:rPr>
          <w:rFonts w:ascii="仿宋_GB2312" w:eastAsia="仿宋_GB2312"/>
          <w:color w:val="auto"/>
          <w:sz w:val="32"/>
          <w:szCs w:val="32"/>
          <w:highlight w:val="none"/>
        </w:rPr>
      </w:pPr>
    </w:p>
    <w:p>
      <w:pPr>
        <w:pStyle w:val="5"/>
        <w:rPr>
          <w:rFonts w:ascii="仿宋_GB2312" w:eastAsia="仿宋_GB2312"/>
          <w:color w:val="auto"/>
          <w:sz w:val="32"/>
          <w:szCs w:val="32"/>
          <w:highlight w:val="none"/>
        </w:rPr>
      </w:pPr>
    </w:p>
    <w:p>
      <w:pPr>
        <w:pStyle w:val="5"/>
        <w:rPr>
          <w:rFonts w:ascii="仿宋_GB2312" w:eastAsia="仿宋_GB2312"/>
          <w:color w:val="auto"/>
          <w:sz w:val="32"/>
          <w:szCs w:val="32"/>
          <w:highlight w:val="none"/>
        </w:rPr>
      </w:pPr>
    </w:p>
    <w:p>
      <w:pPr>
        <w:pStyle w:val="5"/>
        <w:rPr>
          <w:rFonts w:ascii="仿宋_GB2312" w:eastAsia="仿宋_GB2312"/>
          <w:color w:val="auto"/>
          <w:sz w:val="32"/>
          <w:szCs w:val="32"/>
          <w:highlight w:val="none"/>
        </w:rPr>
      </w:pPr>
    </w:p>
    <w:p>
      <w:pPr>
        <w:pStyle w:val="27"/>
        <w:pageBreakBefore w:val="0"/>
        <w:numPr>
          <w:ilvl w:val="0"/>
          <w:numId w:val="1"/>
        </w:numPr>
        <w:kinsoku/>
        <w:wordWrap/>
        <w:overflowPunct/>
        <w:topLinePunct w:val="0"/>
        <w:bidi w:val="0"/>
        <w:spacing w:line="560" w:lineRule="exact"/>
        <w:ind w:firstLineChars="0"/>
        <w:textAlignment w:val="auto"/>
        <w:outlineLvl w:val="1"/>
        <w:rPr>
          <w:rStyle w:val="29"/>
          <w:rFonts w:ascii="黑体" w:hAnsi="黑体" w:eastAsia="黑体"/>
          <w:b w:val="0"/>
          <w:color w:val="auto"/>
          <w:highlight w:val="none"/>
        </w:rPr>
      </w:pPr>
      <w:bookmarkStart w:id="28" w:name="_Toc15377207"/>
      <w:bookmarkStart w:id="29" w:name="_Toc15396605"/>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28"/>
      <w:bookmarkEnd w:id="29"/>
    </w:p>
    <w:p>
      <w:pPr>
        <w:pageBreakBefore w:val="0"/>
        <w:kinsoku/>
        <w:wordWrap/>
        <w:overflowPunct/>
        <w:topLinePunct w:val="0"/>
        <w:bidi w:val="0"/>
        <w:spacing w:line="560" w:lineRule="exact"/>
        <w:ind w:firstLine="640" w:firstLineChars="200"/>
        <w:textAlignment w:val="auto"/>
        <w:outlineLvl w:val="1"/>
        <w:rPr>
          <w:rFonts w:hint="eastAsia" w:ascii="仿宋" w:hAnsi="仿宋" w:eastAsia="仿宋"/>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年本年支出合计4318.83万元，其中：基本支出839.98万元，占19.45%；项目支出3478.85万元，占80.55%</w:t>
      </w:r>
      <w:r>
        <w:rPr>
          <w:rFonts w:hint="eastAsia" w:ascii="仿宋_GB2312" w:hAnsi="仿宋_GB2312" w:eastAsia="仿宋_GB2312" w:cs="仿宋_GB2312"/>
          <w:color w:val="auto"/>
          <w:sz w:val="32"/>
          <w:szCs w:val="32"/>
          <w:highlight w:val="none"/>
          <w:lang w:eastAsia="zh-CN"/>
        </w:rPr>
        <w:t>。</w:t>
      </w:r>
    </w:p>
    <w:p>
      <w:pPr>
        <w:pageBreakBefore w:val="0"/>
        <w:kinsoku/>
        <w:wordWrap/>
        <w:overflowPunct/>
        <w:topLinePunct w:val="0"/>
        <w:bidi w:val="0"/>
        <w:spacing w:line="560" w:lineRule="exact"/>
        <w:ind w:firstLine="640"/>
        <w:textAlignment w:val="auto"/>
        <w:rPr>
          <w:rFonts w:ascii="仿宋" w:hAnsi="仿宋" w:eastAsia="仿宋"/>
          <w:color w:val="auto"/>
          <w:sz w:val="32"/>
          <w:szCs w:val="32"/>
          <w:highlight w:val="none"/>
          <w:shd w:val="pct10" w:color="auto" w:fill="FFFFFF"/>
        </w:rPr>
      </w:pPr>
      <w:r>
        <w:drawing>
          <wp:anchor distT="0" distB="0" distL="114300" distR="114300" simplePos="0" relativeHeight="251661312" behindDoc="0" locked="0" layoutInCell="1" allowOverlap="1">
            <wp:simplePos x="0" y="0"/>
            <wp:positionH relativeFrom="column">
              <wp:posOffset>353695</wp:posOffset>
            </wp:positionH>
            <wp:positionV relativeFrom="paragraph">
              <wp:posOffset>250825</wp:posOffset>
            </wp:positionV>
            <wp:extent cx="4572000" cy="2743200"/>
            <wp:effectExtent l="4445" t="4445" r="1460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kinsoku/>
        <w:wordWrap/>
        <w:overflowPunct/>
        <w:topLinePunct w:val="0"/>
        <w:bidi w:val="0"/>
        <w:spacing w:line="560" w:lineRule="exact"/>
        <w:ind w:firstLine="640" w:firstLineChars="200"/>
        <w:textAlignment w:val="auto"/>
        <w:rPr>
          <w:rFonts w:ascii="仿宋" w:hAnsi="仿宋" w:eastAsia="仿宋"/>
          <w:color w:val="auto"/>
          <w:sz w:val="32"/>
          <w:szCs w:val="32"/>
          <w:highlight w:val="none"/>
        </w:rPr>
      </w:pPr>
    </w:p>
    <w:p>
      <w:pPr>
        <w:pStyle w:val="5"/>
        <w:rPr>
          <w:rFonts w:ascii="仿宋" w:hAnsi="仿宋" w:eastAsia="仿宋"/>
          <w:color w:val="auto"/>
          <w:sz w:val="32"/>
          <w:szCs w:val="32"/>
          <w:highlight w:val="none"/>
        </w:rPr>
      </w:pPr>
    </w:p>
    <w:p>
      <w:pPr>
        <w:pStyle w:val="5"/>
        <w:rPr>
          <w:rFonts w:ascii="仿宋" w:hAnsi="仿宋" w:eastAsia="仿宋"/>
          <w:color w:val="auto"/>
          <w:sz w:val="32"/>
          <w:szCs w:val="32"/>
          <w:highlight w:val="none"/>
        </w:rPr>
      </w:pPr>
    </w:p>
    <w:p>
      <w:pPr>
        <w:pStyle w:val="5"/>
        <w:rPr>
          <w:rFonts w:ascii="仿宋" w:hAnsi="仿宋" w:eastAsia="仿宋"/>
          <w:color w:val="auto"/>
          <w:sz w:val="32"/>
          <w:szCs w:val="32"/>
          <w:highlight w:val="none"/>
        </w:rPr>
      </w:pPr>
    </w:p>
    <w:p>
      <w:pPr>
        <w:pStyle w:val="5"/>
        <w:rPr>
          <w:rFonts w:ascii="仿宋" w:hAnsi="仿宋" w:eastAsia="仿宋"/>
          <w:color w:val="auto"/>
          <w:sz w:val="32"/>
          <w:szCs w:val="32"/>
          <w:highlight w:val="none"/>
        </w:rPr>
      </w:pPr>
    </w:p>
    <w:p>
      <w:pPr>
        <w:pStyle w:val="5"/>
        <w:rPr>
          <w:rFonts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textAlignment w:val="auto"/>
        <w:outlineLvl w:val="1"/>
        <w:rPr>
          <w:rStyle w:val="29"/>
          <w:rFonts w:ascii="黑体" w:hAnsi="黑体" w:eastAsia="黑体"/>
          <w:b w:val="0"/>
          <w:color w:val="auto"/>
          <w:highlight w:val="none"/>
        </w:rPr>
      </w:pPr>
      <w:bookmarkStart w:id="30" w:name="_Toc15377208"/>
      <w:bookmarkStart w:id="31" w:name="_Toc15396606"/>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30"/>
      <w:bookmarkEnd w:id="31"/>
    </w:p>
    <w:p>
      <w:pPr>
        <w:pageBreakBefore w:val="0"/>
        <w:kinsoku/>
        <w:wordWrap/>
        <w:overflowPunct/>
        <w:topLinePunct w:val="0"/>
        <w:bidi w:val="0"/>
        <w:spacing w:line="560" w:lineRule="exact"/>
        <w:ind w:firstLine="640" w:firstLineChars="200"/>
        <w:textAlignment w:val="auto"/>
        <w:outlineLvl w:val="1"/>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年财政拨款收、支总计4312.63万元。与20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年相比，财政拨款收、支总计各减少2429.74万元，下降36.04%。主要变动原因是一般公共预算财政拨款</w:t>
      </w:r>
      <w:r>
        <w:rPr>
          <w:rFonts w:hint="eastAsia" w:ascii="仿宋_GB2312" w:hAnsi="仿宋_GB2312" w:eastAsia="仿宋_GB2312" w:cs="仿宋_GB2312"/>
          <w:color w:val="auto"/>
          <w:sz w:val="32"/>
          <w:szCs w:val="32"/>
          <w:highlight w:val="none"/>
          <w:lang w:eastAsia="zh-CN"/>
        </w:rPr>
        <w:t>收入、支出比</w:t>
      </w:r>
      <w:r>
        <w:rPr>
          <w:rFonts w:hint="eastAsia" w:ascii="仿宋_GB2312" w:hAnsi="仿宋_GB2312" w:eastAsia="仿宋_GB2312" w:cs="仿宋_GB2312"/>
          <w:color w:val="auto"/>
          <w:sz w:val="32"/>
          <w:szCs w:val="32"/>
          <w:highlight w:val="none"/>
          <w:lang w:val="en-US" w:eastAsia="zh-CN"/>
        </w:rPr>
        <w:t>2021年减少270.31万元，政府性基金预算财政拨款收入、支出比2021年减少2026.16万元，年初财政拨款结转和结余比2021年减少133.27万元。</w:t>
      </w:r>
    </w:p>
    <w:p>
      <w:pPr>
        <w:pageBreakBefore w:val="0"/>
        <w:kinsoku/>
        <w:wordWrap/>
        <w:overflowPunct/>
        <w:topLinePunct w:val="0"/>
        <w:bidi w:val="0"/>
        <w:spacing w:line="560" w:lineRule="exact"/>
        <w:textAlignment w:val="auto"/>
        <w:rPr>
          <w:rFonts w:ascii="仿宋" w:hAnsi="仿宋" w:eastAsia="仿宋"/>
          <w:color w:val="auto"/>
          <w:sz w:val="32"/>
          <w:szCs w:val="32"/>
          <w:highlight w:val="none"/>
        </w:rPr>
      </w:pPr>
      <w:r>
        <w:drawing>
          <wp:anchor distT="0" distB="0" distL="114300" distR="114300" simplePos="0" relativeHeight="251662336" behindDoc="0" locked="0" layoutInCell="1" allowOverlap="1">
            <wp:simplePos x="0" y="0"/>
            <wp:positionH relativeFrom="column">
              <wp:posOffset>1270</wp:posOffset>
            </wp:positionH>
            <wp:positionV relativeFrom="paragraph">
              <wp:posOffset>206375</wp:posOffset>
            </wp:positionV>
            <wp:extent cx="4809490" cy="2124710"/>
            <wp:effectExtent l="4445" t="4445" r="5715" b="23495"/>
            <wp:wrapNone/>
            <wp:docPr id="1" name="图表 2" descr="7b0a202020202263686172745265734964223a20223436323538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kinsoku/>
        <w:wordWrap/>
        <w:overflowPunct/>
        <w:topLinePunct w:val="0"/>
        <w:bidi w:val="0"/>
        <w:spacing w:line="560" w:lineRule="exact"/>
        <w:ind w:firstLine="640"/>
        <w:textAlignment w:val="auto"/>
        <w:rPr>
          <w:rFonts w:ascii="仿宋" w:hAnsi="仿宋" w:eastAsia="仿宋"/>
          <w:b/>
          <w:color w:val="auto"/>
          <w:sz w:val="32"/>
          <w:szCs w:val="32"/>
          <w:highlight w:val="none"/>
        </w:rPr>
      </w:pPr>
    </w:p>
    <w:p>
      <w:pPr>
        <w:pStyle w:val="5"/>
        <w:rPr>
          <w:rFonts w:ascii="仿宋" w:hAnsi="仿宋" w:eastAsia="仿宋"/>
          <w:b/>
          <w:color w:val="auto"/>
          <w:sz w:val="32"/>
          <w:szCs w:val="32"/>
          <w:highlight w:val="none"/>
        </w:rPr>
      </w:pPr>
    </w:p>
    <w:p>
      <w:pPr>
        <w:pStyle w:val="5"/>
        <w:rPr>
          <w:rFonts w:ascii="仿宋" w:hAnsi="仿宋" w:eastAsia="仿宋"/>
          <w:b/>
          <w:color w:val="auto"/>
          <w:sz w:val="32"/>
          <w:szCs w:val="32"/>
          <w:highlight w:val="none"/>
        </w:rPr>
      </w:pPr>
    </w:p>
    <w:p>
      <w:pPr>
        <w:pStyle w:val="5"/>
        <w:rPr>
          <w:rFonts w:ascii="仿宋" w:hAnsi="仿宋" w:eastAsia="仿宋"/>
          <w:b/>
          <w:color w:val="auto"/>
          <w:sz w:val="32"/>
          <w:szCs w:val="32"/>
          <w:highlight w:val="none"/>
        </w:rPr>
      </w:pPr>
    </w:p>
    <w:p>
      <w:pPr>
        <w:pStyle w:val="5"/>
        <w:rPr>
          <w:rFonts w:ascii="仿宋" w:hAnsi="仿宋" w:eastAsia="仿宋"/>
          <w:b/>
          <w:color w:val="auto"/>
          <w:sz w:val="32"/>
          <w:szCs w:val="32"/>
          <w:highlight w:val="none"/>
        </w:rPr>
      </w:pPr>
    </w:p>
    <w:p>
      <w:pPr>
        <w:pageBreakBefore w:val="0"/>
        <w:kinsoku/>
        <w:wordWrap/>
        <w:overflowPunct/>
        <w:topLinePunct w:val="0"/>
        <w:bidi w:val="0"/>
        <w:spacing w:line="560" w:lineRule="exact"/>
        <w:ind w:firstLine="640" w:firstLineChars="200"/>
        <w:textAlignment w:val="auto"/>
        <w:outlineLvl w:val="1"/>
        <w:rPr>
          <w:rStyle w:val="29"/>
          <w:rFonts w:ascii="黑体" w:hAnsi="黑体" w:eastAsia="黑体"/>
          <w:b w:val="0"/>
          <w:color w:val="auto"/>
          <w:highlight w:val="none"/>
        </w:rPr>
      </w:pPr>
      <w:bookmarkStart w:id="32" w:name="_Toc15377209"/>
      <w:bookmarkStart w:id="33"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32"/>
      <w:bookmarkEnd w:id="33"/>
    </w:p>
    <w:p>
      <w:pPr>
        <w:pageBreakBefore w:val="0"/>
        <w:kinsoku/>
        <w:wordWrap/>
        <w:overflowPunct/>
        <w:topLinePunct w:val="0"/>
        <w:bidi w:val="0"/>
        <w:spacing w:line="560" w:lineRule="exact"/>
        <w:ind w:firstLine="643" w:firstLineChars="200"/>
        <w:textAlignment w:val="auto"/>
        <w:outlineLvl w:val="2"/>
        <w:rPr>
          <w:rFonts w:hint="eastAsia" w:ascii="楷体" w:hAnsi="楷体" w:eastAsia="楷体" w:cs="楷体"/>
          <w:b/>
          <w:color w:val="auto"/>
          <w:sz w:val="32"/>
          <w:szCs w:val="32"/>
          <w:highlight w:val="none"/>
        </w:rPr>
      </w:pPr>
      <w:bookmarkStart w:id="34" w:name="_Toc15377210"/>
      <w:r>
        <w:rPr>
          <w:rFonts w:hint="eastAsia" w:ascii="楷体" w:hAnsi="楷体" w:eastAsia="楷体" w:cs="楷体"/>
          <w:b/>
          <w:color w:val="auto"/>
          <w:sz w:val="32"/>
          <w:szCs w:val="32"/>
          <w:highlight w:val="none"/>
        </w:rPr>
        <w:t>（一）一般公共预算财政拨款支出决算总体情况</w:t>
      </w:r>
      <w:bookmarkEnd w:id="34"/>
    </w:p>
    <w:p>
      <w:pPr>
        <w:pageBreakBefore w:val="0"/>
        <w:kinsoku/>
        <w:wordWrap/>
        <w:overflowPunct/>
        <w:topLinePunct w:val="0"/>
        <w:bidi w:val="0"/>
        <w:spacing w:line="560" w:lineRule="exact"/>
        <w:ind w:firstLine="640" w:firstLineChars="200"/>
        <w:textAlignment w:val="auto"/>
        <w:outlineLvl w:val="1"/>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drawing>
          <wp:anchor distT="0" distB="0" distL="114300" distR="114300" simplePos="0" relativeHeight="251663360" behindDoc="0" locked="0" layoutInCell="1" allowOverlap="1">
            <wp:simplePos x="0" y="0"/>
            <wp:positionH relativeFrom="column">
              <wp:posOffset>347345</wp:posOffset>
            </wp:positionH>
            <wp:positionV relativeFrom="paragraph">
              <wp:posOffset>1771650</wp:posOffset>
            </wp:positionV>
            <wp:extent cx="4572000" cy="2743200"/>
            <wp:effectExtent l="4445" t="4445" r="14605" b="14605"/>
            <wp:wrapNone/>
            <wp:docPr id="2" name="图表 1" descr="7b0a202020202263686172745265734964223a20223436323538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年一般公共预算财政拨款支出2669.99万元，占本年支出合计的61.82%。与20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403.58</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13.13</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2022年基本支出比2021年增加138.2万元，项目支出比2021年减少541.78万元。</w:t>
      </w:r>
    </w:p>
    <w:p>
      <w:pPr>
        <w:pageBreakBefore w:val="0"/>
        <w:kinsoku/>
        <w:wordWrap/>
        <w:overflowPunct/>
        <w:topLinePunct w:val="0"/>
        <w:bidi w:val="0"/>
        <w:spacing w:line="560" w:lineRule="exact"/>
        <w:ind w:firstLine="640" w:firstLineChars="200"/>
        <w:textAlignment w:val="auto"/>
        <w:rPr>
          <w:rFonts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textAlignment w:val="auto"/>
        <w:rPr>
          <w:rFonts w:ascii="仿宋" w:hAnsi="仿宋" w:eastAsia="仿宋"/>
          <w:color w:val="auto"/>
          <w:sz w:val="32"/>
          <w:szCs w:val="32"/>
          <w:highlight w:val="none"/>
        </w:rPr>
      </w:pPr>
    </w:p>
    <w:p>
      <w:pPr>
        <w:pStyle w:val="5"/>
        <w:rPr>
          <w:rFonts w:ascii="仿宋" w:hAnsi="仿宋" w:eastAsia="仿宋"/>
          <w:color w:val="auto"/>
          <w:sz w:val="32"/>
          <w:szCs w:val="32"/>
          <w:highlight w:val="none"/>
        </w:rPr>
      </w:pPr>
    </w:p>
    <w:p>
      <w:pPr>
        <w:pStyle w:val="5"/>
        <w:rPr>
          <w:rFonts w:ascii="仿宋" w:hAnsi="仿宋" w:eastAsia="仿宋"/>
          <w:color w:val="auto"/>
          <w:sz w:val="32"/>
          <w:szCs w:val="32"/>
          <w:highlight w:val="none"/>
        </w:rPr>
      </w:pPr>
    </w:p>
    <w:p>
      <w:pPr>
        <w:pStyle w:val="5"/>
        <w:rPr>
          <w:rFonts w:ascii="仿宋" w:hAnsi="仿宋" w:eastAsia="仿宋"/>
          <w:color w:val="auto"/>
          <w:sz w:val="32"/>
          <w:szCs w:val="32"/>
          <w:highlight w:val="none"/>
        </w:rPr>
      </w:pPr>
    </w:p>
    <w:p>
      <w:pPr>
        <w:pageBreakBefore w:val="0"/>
        <w:kinsoku/>
        <w:wordWrap/>
        <w:overflowPunct/>
        <w:topLinePunct w:val="0"/>
        <w:bidi w:val="0"/>
        <w:spacing w:line="560" w:lineRule="exact"/>
        <w:ind w:firstLine="643" w:firstLineChars="200"/>
        <w:textAlignment w:val="auto"/>
        <w:outlineLvl w:val="2"/>
        <w:rPr>
          <w:rFonts w:ascii="仿宋" w:hAnsi="仿宋" w:eastAsia="仿宋"/>
          <w:b/>
          <w:color w:val="auto"/>
          <w:sz w:val="32"/>
          <w:szCs w:val="32"/>
          <w:highlight w:val="none"/>
        </w:rPr>
      </w:pPr>
      <w:bookmarkStart w:id="35" w:name="_Toc15377211"/>
      <w:r>
        <w:rPr>
          <w:rFonts w:hint="eastAsia" w:ascii="仿宋" w:hAnsi="仿宋" w:eastAsia="仿宋"/>
          <w:b/>
          <w:color w:val="auto"/>
          <w:sz w:val="32"/>
          <w:szCs w:val="32"/>
          <w:highlight w:val="none"/>
        </w:rPr>
        <w:t>（二）一般公共预算财政拨款支出决算结构情况</w:t>
      </w:r>
      <w:bookmarkEnd w:id="35"/>
    </w:p>
    <w:p>
      <w:pPr>
        <w:pageBreakBefore w:val="0"/>
        <w:kinsoku/>
        <w:wordWrap/>
        <w:overflowPunct/>
        <w:topLinePunct w:val="0"/>
        <w:bidi w:val="0"/>
        <w:spacing w:line="560" w:lineRule="exact"/>
        <w:ind w:firstLine="643" w:firstLineChars="200"/>
        <w:textAlignment w:val="auto"/>
        <w:outlineLvl w:val="2"/>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（二）一般公共预算财政拨款支出决算结构情况</w:t>
      </w:r>
    </w:p>
    <w:p>
      <w:pPr>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年一般公共预算财政拨款支出2669.99万元，主要用于以下方面:</w:t>
      </w:r>
      <w:r>
        <w:rPr>
          <w:rFonts w:hint="eastAsia" w:ascii="仿宋_GB2312" w:hAnsi="仿宋_GB2312" w:eastAsia="仿宋_GB2312" w:cs="仿宋_GB2312"/>
          <w:b/>
          <w:bCs/>
          <w:color w:val="auto"/>
          <w:sz w:val="32"/>
          <w:szCs w:val="32"/>
          <w:highlight w:val="none"/>
        </w:rPr>
        <w:t>文化旅游体育与传媒支出</w:t>
      </w:r>
      <w:r>
        <w:rPr>
          <w:rFonts w:hint="eastAsia" w:ascii="仿宋_GB2312" w:hAnsi="仿宋_GB2312" w:eastAsia="仿宋_GB2312" w:cs="仿宋_GB2312"/>
          <w:b w:val="0"/>
          <w:bCs w:val="0"/>
          <w:color w:val="auto"/>
          <w:sz w:val="32"/>
          <w:szCs w:val="32"/>
          <w:highlight w:val="none"/>
        </w:rPr>
        <w:t>1643.6万元，占61.56%；</w:t>
      </w:r>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color w:val="auto"/>
          <w:sz w:val="32"/>
          <w:szCs w:val="32"/>
          <w:highlight w:val="none"/>
        </w:rPr>
        <w:t>48.16万元，占1.80%；</w:t>
      </w:r>
      <w:r>
        <w:rPr>
          <w:rFonts w:hint="eastAsia" w:ascii="仿宋_GB2312" w:hAnsi="仿宋_GB2312" w:eastAsia="仿宋_GB2312" w:cs="仿宋_GB2312"/>
          <w:b/>
          <w:bCs/>
          <w:color w:val="auto"/>
          <w:sz w:val="32"/>
          <w:szCs w:val="32"/>
          <w:highlight w:val="none"/>
        </w:rPr>
        <w:t>卫生健康支出</w:t>
      </w:r>
      <w:r>
        <w:rPr>
          <w:rFonts w:hint="eastAsia" w:ascii="仿宋_GB2312" w:hAnsi="仿宋_GB2312" w:eastAsia="仿宋_GB2312" w:cs="仿宋_GB2312"/>
          <w:color w:val="auto"/>
          <w:sz w:val="32"/>
          <w:szCs w:val="32"/>
          <w:highlight w:val="none"/>
        </w:rPr>
        <w:t>34.34万元，占1.29%；</w:t>
      </w:r>
      <w:r>
        <w:rPr>
          <w:rFonts w:hint="eastAsia" w:ascii="仿宋_GB2312" w:hAnsi="仿宋_GB2312" w:eastAsia="仿宋_GB2312" w:cs="仿宋_GB2312"/>
          <w:b/>
          <w:bCs/>
          <w:color w:val="auto"/>
          <w:sz w:val="32"/>
          <w:szCs w:val="32"/>
          <w:highlight w:val="none"/>
        </w:rPr>
        <w:t>农林水支出</w:t>
      </w:r>
      <w:r>
        <w:rPr>
          <w:rFonts w:hint="eastAsia" w:ascii="仿宋_GB2312" w:hAnsi="仿宋_GB2312" w:eastAsia="仿宋_GB2312" w:cs="仿宋_GB2312"/>
          <w:b w:val="0"/>
          <w:bCs w:val="0"/>
          <w:color w:val="auto"/>
          <w:sz w:val="32"/>
          <w:szCs w:val="32"/>
          <w:highlight w:val="none"/>
        </w:rPr>
        <w:t>893.14</w:t>
      </w:r>
      <w:r>
        <w:rPr>
          <w:rFonts w:hint="eastAsia" w:ascii="仿宋_GB2312" w:hAnsi="仿宋_GB2312" w:eastAsia="仿宋_GB2312" w:cs="仿宋_GB2312"/>
          <w:b w:val="0"/>
          <w:bCs w:val="0"/>
          <w:color w:val="auto"/>
          <w:sz w:val="32"/>
          <w:szCs w:val="32"/>
          <w:highlight w:val="none"/>
          <w:lang w:eastAsia="zh-CN"/>
        </w:rPr>
        <w:t>万元，占33.45%</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住房保障支出</w:t>
      </w:r>
      <w:r>
        <w:rPr>
          <w:rFonts w:hint="eastAsia" w:ascii="仿宋_GB2312" w:hAnsi="仿宋_GB2312" w:eastAsia="仿宋_GB2312" w:cs="仿宋_GB2312"/>
          <w:color w:val="auto"/>
          <w:sz w:val="32"/>
          <w:szCs w:val="32"/>
          <w:highlight w:val="none"/>
        </w:rPr>
        <w:t>50.75万元，占1.90%。</w:t>
      </w:r>
    </w:p>
    <w:p>
      <w:pPr>
        <w:pageBreakBefore w:val="0"/>
        <w:kinsoku/>
        <w:wordWrap/>
        <w:overflowPunct/>
        <w:topLinePunct w:val="0"/>
        <w:bidi w:val="0"/>
        <w:spacing w:line="560" w:lineRule="exact"/>
        <w:ind w:firstLine="640"/>
        <w:textAlignment w:val="auto"/>
        <w:rPr>
          <w:rFonts w:ascii="仿宋" w:hAnsi="仿宋" w:eastAsia="仿宋"/>
          <w:color w:val="auto"/>
          <w:sz w:val="32"/>
          <w:szCs w:val="32"/>
          <w:highlight w:val="none"/>
        </w:rPr>
      </w:pPr>
      <w:r>
        <w:drawing>
          <wp:anchor distT="0" distB="0" distL="114300" distR="114300" simplePos="0" relativeHeight="251664384" behindDoc="0" locked="0" layoutInCell="1" allowOverlap="1">
            <wp:simplePos x="0" y="0"/>
            <wp:positionH relativeFrom="column">
              <wp:posOffset>401320</wp:posOffset>
            </wp:positionH>
            <wp:positionV relativeFrom="paragraph">
              <wp:posOffset>260350</wp:posOffset>
            </wp:positionV>
            <wp:extent cx="5019675" cy="2886710"/>
            <wp:effectExtent l="4445" t="4445" r="5080" b="23495"/>
            <wp:wrapNone/>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ageBreakBefore w:val="0"/>
        <w:kinsoku/>
        <w:wordWrap/>
        <w:overflowPunct/>
        <w:topLinePunct w:val="0"/>
        <w:bidi w:val="0"/>
        <w:spacing w:line="560" w:lineRule="exact"/>
        <w:ind w:firstLine="640" w:firstLineChars="200"/>
        <w:textAlignment w:val="auto"/>
        <w:rPr>
          <w:rFonts w:ascii="仿宋" w:hAnsi="仿宋" w:eastAsia="仿宋"/>
          <w:color w:val="auto"/>
          <w:sz w:val="32"/>
          <w:szCs w:val="32"/>
          <w:highlight w:val="none"/>
        </w:rPr>
      </w:pPr>
    </w:p>
    <w:p>
      <w:pPr>
        <w:pStyle w:val="5"/>
        <w:rPr>
          <w:rFonts w:ascii="仿宋" w:hAnsi="仿宋" w:eastAsia="仿宋"/>
          <w:color w:val="auto"/>
          <w:sz w:val="32"/>
          <w:szCs w:val="32"/>
          <w:highlight w:val="none"/>
        </w:rPr>
      </w:pPr>
    </w:p>
    <w:p>
      <w:pPr>
        <w:pStyle w:val="5"/>
        <w:rPr>
          <w:rFonts w:ascii="仿宋" w:hAnsi="仿宋" w:eastAsia="仿宋"/>
          <w:color w:val="auto"/>
          <w:sz w:val="32"/>
          <w:szCs w:val="32"/>
          <w:highlight w:val="none"/>
        </w:rPr>
      </w:pPr>
    </w:p>
    <w:p>
      <w:pPr>
        <w:pStyle w:val="5"/>
        <w:rPr>
          <w:rFonts w:ascii="仿宋" w:hAnsi="仿宋" w:eastAsia="仿宋"/>
          <w:color w:val="auto"/>
          <w:sz w:val="32"/>
          <w:szCs w:val="32"/>
          <w:highlight w:val="none"/>
        </w:rPr>
      </w:pPr>
    </w:p>
    <w:p>
      <w:pPr>
        <w:pStyle w:val="5"/>
        <w:rPr>
          <w:rFonts w:ascii="仿宋" w:hAnsi="仿宋" w:eastAsia="仿宋"/>
          <w:color w:val="auto"/>
          <w:sz w:val="32"/>
          <w:szCs w:val="32"/>
          <w:highlight w:val="none"/>
        </w:rPr>
      </w:pPr>
    </w:p>
    <w:p>
      <w:pPr>
        <w:pStyle w:val="5"/>
        <w:rPr>
          <w:rFonts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textAlignment w:val="auto"/>
        <w:rPr>
          <w:rFonts w:ascii="仿宋" w:hAnsi="仿宋" w:eastAsia="仿宋"/>
          <w:color w:val="auto"/>
          <w:sz w:val="32"/>
          <w:szCs w:val="32"/>
          <w:highlight w:val="none"/>
        </w:rPr>
      </w:pPr>
    </w:p>
    <w:p>
      <w:pPr>
        <w:pageBreakBefore w:val="0"/>
        <w:kinsoku/>
        <w:wordWrap/>
        <w:overflowPunct/>
        <w:topLinePunct w:val="0"/>
        <w:bidi w:val="0"/>
        <w:spacing w:line="560" w:lineRule="exact"/>
        <w:ind w:firstLine="643" w:firstLineChars="200"/>
        <w:textAlignment w:val="auto"/>
        <w:outlineLvl w:val="2"/>
        <w:rPr>
          <w:rFonts w:hint="eastAsia" w:ascii="楷体" w:hAnsi="楷体" w:eastAsia="楷体" w:cs="楷体"/>
          <w:b/>
          <w:color w:val="auto"/>
          <w:sz w:val="32"/>
          <w:szCs w:val="32"/>
          <w:highlight w:val="none"/>
        </w:rPr>
      </w:pPr>
      <w:bookmarkStart w:id="36" w:name="_Toc15377212"/>
      <w:r>
        <w:rPr>
          <w:rFonts w:hint="eastAsia" w:ascii="楷体" w:hAnsi="楷体" w:eastAsia="楷体" w:cs="楷体"/>
          <w:b/>
          <w:color w:val="auto"/>
          <w:sz w:val="32"/>
          <w:szCs w:val="32"/>
          <w:highlight w:val="none"/>
        </w:rPr>
        <w:t>（三）一般公共预算财政拨款支出决算具体情况</w:t>
      </w:r>
      <w:bookmarkEnd w:id="36"/>
    </w:p>
    <w:p>
      <w:pPr>
        <w:pageBreakBefore w:val="0"/>
        <w:kinsoku/>
        <w:wordWrap/>
        <w:overflowPunct/>
        <w:topLinePunct w:val="0"/>
        <w:bidi w:val="0"/>
        <w:spacing w:line="560" w:lineRule="exact"/>
        <w:ind w:firstLine="643" w:firstLineChars="200"/>
        <w:textAlignment w:val="auto"/>
        <w:outlineLvl w:val="2"/>
        <w:rPr>
          <w:rFonts w:hint="eastAsia" w:ascii="仿宋_GB2312" w:hAnsi="仿宋_GB2312" w:eastAsia="仿宋_GB2312" w:cs="仿宋_GB2312"/>
          <w:color w:val="auto"/>
          <w:sz w:val="32"/>
          <w:szCs w:val="32"/>
          <w:highlight w:val="none"/>
        </w:rPr>
      </w:pPr>
      <w:bookmarkStart w:id="37" w:name="_Toc15377444"/>
      <w:bookmarkStart w:id="38" w:name="_Toc15377213"/>
      <w:bookmarkStart w:id="39" w:name="_Toc15378460"/>
      <w:r>
        <w:rPr>
          <w:rFonts w:hint="eastAsia" w:ascii="仿宋_GB2312" w:hAnsi="仿宋_GB2312" w:eastAsia="仿宋_GB2312" w:cs="仿宋_GB2312"/>
          <w:b/>
          <w:color w:val="auto"/>
          <w:sz w:val="32"/>
          <w:szCs w:val="32"/>
          <w:highlight w:val="none"/>
        </w:rPr>
        <w:t>20</w:t>
      </w:r>
      <w:r>
        <w:rPr>
          <w:rFonts w:hint="eastAsia" w:ascii="仿宋_GB2312" w:hAnsi="仿宋_GB2312" w:eastAsia="仿宋_GB2312" w:cs="仿宋_GB2312"/>
          <w:b/>
          <w:color w:val="auto"/>
          <w:sz w:val="32"/>
          <w:szCs w:val="32"/>
          <w:highlight w:val="none"/>
          <w:lang w:val="en-US" w:eastAsia="zh-CN"/>
        </w:rPr>
        <w:t>22</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般公共预算支出决算数为2669.99</w:t>
      </w:r>
      <w:r>
        <w:rPr>
          <w:rFonts w:hint="eastAsia" w:ascii="仿宋_GB2312" w:hAnsi="仿宋_GB2312" w:eastAsia="仿宋_GB2312" w:cs="仿宋_GB2312"/>
          <w:b/>
          <w:color w:val="auto"/>
          <w:sz w:val="32"/>
          <w:szCs w:val="32"/>
          <w:highlight w:val="none"/>
          <w:lang w:eastAsia="zh-CN"/>
        </w:rPr>
        <w:t>万元</w:t>
      </w:r>
      <w:r>
        <w:rPr>
          <w:rFonts w:hint="eastAsia" w:ascii="仿宋_GB2312" w:hAnsi="仿宋_GB2312" w:eastAsia="仿宋_GB2312" w:cs="仿宋_GB2312"/>
          <w:color w:val="auto"/>
          <w:sz w:val="32"/>
          <w:szCs w:val="32"/>
          <w:highlight w:val="none"/>
        </w:rPr>
        <w:t>，</w:t>
      </w:r>
      <w:r>
        <w:rPr>
          <w:rStyle w:val="17"/>
          <w:rFonts w:hint="eastAsia" w:ascii="仿宋_GB2312" w:hAnsi="仿宋_GB2312" w:eastAsia="仿宋_GB2312" w:cs="仿宋_GB2312"/>
          <w:bCs/>
          <w:color w:val="auto"/>
          <w:sz w:val="32"/>
          <w:szCs w:val="32"/>
          <w:highlight w:val="none"/>
        </w:rPr>
        <w:t>完成预算</w:t>
      </w:r>
      <w:r>
        <w:rPr>
          <w:rStyle w:val="17"/>
          <w:rFonts w:hint="eastAsia" w:ascii="仿宋_GB2312" w:hAnsi="仿宋_GB2312" w:eastAsia="仿宋_GB2312" w:cs="仿宋_GB2312"/>
          <w:bCs/>
          <w:color w:val="auto"/>
          <w:sz w:val="32"/>
          <w:szCs w:val="32"/>
          <w:highlight w:val="none"/>
          <w:lang w:val="en-US" w:eastAsia="zh-CN"/>
        </w:rPr>
        <w:t>100</w:t>
      </w:r>
      <w:r>
        <w:rPr>
          <w:rStyle w:val="17"/>
          <w:rFonts w:hint="eastAsia" w:ascii="仿宋_GB2312" w:hAnsi="仿宋_GB2312" w:eastAsia="仿宋_GB2312" w:cs="仿宋_GB2312"/>
          <w:bCs/>
          <w:color w:val="auto"/>
          <w:sz w:val="32"/>
          <w:szCs w:val="32"/>
          <w:highlight w:val="none"/>
        </w:rPr>
        <w:t>%。其中：</w:t>
      </w:r>
      <w:bookmarkEnd w:id="37"/>
      <w:bookmarkEnd w:id="38"/>
      <w:bookmarkEnd w:id="39"/>
    </w:p>
    <w:p>
      <w:pPr>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1</w:t>
      </w:r>
      <w:r>
        <w:rPr>
          <w:rStyle w:val="17"/>
          <w:rFonts w:hint="eastAsia" w:ascii="仿宋_GB2312" w:hAnsi="仿宋_GB2312" w:eastAsia="仿宋_GB2312" w:cs="仿宋_GB2312"/>
          <w:bCs/>
          <w:color w:val="auto"/>
          <w:sz w:val="32"/>
          <w:szCs w:val="32"/>
          <w:highlight w:val="none"/>
        </w:rPr>
        <w:t>.文化旅游体育与传媒（类）</w:t>
      </w:r>
      <w:r>
        <w:rPr>
          <w:rStyle w:val="17"/>
          <w:rFonts w:hint="eastAsia" w:ascii="仿宋_GB2312" w:hAnsi="仿宋_GB2312" w:eastAsia="仿宋_GB2312" w:cs="仿宋_GB2312"/>
          <w:bCs/>
          <w:color w:val="auto"/>
          <w:sz w:val="32"/>
          <w:szCs w:val="32"/>
          <w:highlight w:val="none"/>
          <w:lang w:eastAsia="zh-CN"/>
        </w:rPr>
        <w:t>文化和旅游</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行政运行</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 xml:space="preserve"> 支出决算为577.84万元，完成预算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eastAsia="zh-CN"/>
        </w:rPr>
        <w:t>与预算数持平</w:t>
      </w:r>
      <w:r>
        <w:rPr>
          <w:rStyle w:val="17"/>
          <w:rFonts w:hint="eastAsia" w:ascii="仿宋_GB2312" w:hAnsi="仿宋_GB2312" w:eastAsia="仿宋_GB2312" w:cs="仿宋_GB2312"/>
          <w:b w:val="0"/>
          <w:bCs/>
          <w:color w:val="auto"/>
          <w:sz w:val="32"/>
          <w:szCs w:val="32"/>
          <w:highlight w:val="none"/>
        </w:rPr>
        <w:t>。</w:t>
      </w:r>
    </w:p>
    <w:p>
      <w:pPr>
        <w:pageBreakBefore w:val="0"/>
        <w:kinsoku/>
        <w:wordWrap/>
        <w:overflowPunct/>
        <w:topLinePunct w:val="0"/>
        <w:bidi w:val="0"/>
        <w:spacing w:line="560" w:lineRule="exact"/>
        <w:ind w:firstLine="643" w:firstLineChars="200"/>
        <w:textAlignment w:val="auto"/>
        <w:rPr>
          <w:rStyle w:val="17"/>
          <w:rFonts w:hint="eastAsia" w:ascii="仿宋_GB2312" w:hAnsi="仿宋_GB2312" w:eastAsia="仿宋_GB2312" w:cs="仿宋_GB2312"/>
          <w:bCs/>
          <w:color w:val="auto"/>
          <w:sz w:val="32"/>
          <w:szCs w:val="32"/>
          <w:highlight w:val="none"/>
          <w:lang w:val="en-US" w:eastAsia="zh-CN"/>
        </w:rPr>
      </w:pPr>
      <w:r>
        <w:rPr>
          <w:rStyle w:val="17"/>
          <w:rFonts w:hint="eastAsia" w:ascii="仿宋_GB2312" w:hAnsi="仿宋_GB2312" w:eastAsia="仿宋_GB2312" w:cs="仿宋_GB2312"/>
          <w:bCs/>
          <w:color w:val="auto"/>
          <w:sz w:val="32"/>
          <w:szCs w:val="32"/>
          <w:highlight w:val="none"/>
          <w:lang w:val="en-US" w:eastAsia="zh-CN"/>
        </w:rPr>
        <w:t>2.</w:t>
      </w:r>
      <w:r>
        <w:rPr>
          <w:rStyle w:val="17"/>
          <w:rFonts w:hint="eastAsia" w:ascii="仿宋_GB2312" w:hAnsi="仿宋_GB2312" w:eastAsia="仿宋_GB2312" w:cs="仿宋_GB2312"/>
          <w:bCs/>
          <w:color w:val="auto"/>
          <w:sz w:val="32"/>
          <w:szCs w:val="32"/>
          <w:highlight w:val="none"/>
        </w:rPr>
        <w:t>文化旅游体育与传媒（类）</w:t>
      </w:r>
      <w:r>
        <w:rPr>
          <w:rStyle w:val="17"/>
          <w:rFonts w:hint="eastAsia" w:ascii="仿宋_GB2312" w:hAnsi="仿宋_GB2312" w:eastAsia="仿宋_GB2312" w:cs="仿宋_GB2312"/>
          <w:bCs/>
          <w:color w:val="auto"/>
          <w:sz w:val="32"/>
          <w:szCs w:val="32"/>
          <w:highlight w:val="none"/>
          <w:lang w:eastAsia="zh-CN"/>
        </w:rPr>
        <w:t>文化和旅游</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一般行政管理事务</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支出决算为0.93万元，完成预算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eastAsia="zh-CN"/>
        </w:rPr>
        <w:t>与预算数持平</w:t>
      </w:r>
      <w:r>
        <w:rPr>
          <w:rStyle w:val="17"/>
          <w:rFonts w:hint="eastAsia" w:ascii="仿宋_GB2312" w:hAnsi="仿宋_GB2312" w:eastAsia="仿宋_GB2312" w:cs="仿宋_GB2312"/>
          <w:b w:val="0"/>
          <w:bCs/>
          <w:color w:val="auto"/>
          <w:sz w:val="32"/>
          <w:szCs w:val="32"/>
          <w:highlight w:val="none"/>
        </w:rPr>
        <w:t>。</w:t>
      </w:r>
    </w:p>
    <w:p>
      <w:pPr>
        <w:pageBreakBefore w:val="0"/>
        <w:kinsoku/>
        <w:wordWrap/>
        <w:overflowPunct/>
        <w:topLinePunct w:val="0"/>
        <w:bidi w:val="0"/>
        <w:spacing w:line="560" w:lineRule="exact"/>
        <w:ind w:firstLine="643" w:firstLineChars="200"/>
        <w:textAlignment w:val="auto"/>
        <w:rPr>
          <w:rStyle w:val="17"/>
          <w:rFonts w:hint="eastAsia" w:ascii="仿宋_GB2312" w:hAnsi="仿宋_GB2312" w:eastAsia="仿宋_GB2312" w:cs="仿宋_GB2312"/>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3.</w:t>
      </w:r>
      <w:r>
        <w:rPr>
          <w:rStyle w:val="17"/>
          <w:rFonts w:hint="eastAsia" w:ascii="仿宋_GB2312" w:hAnsi="仿宋_GB2312" w:eastAsia="仿宋_GB2312" w:cs="仿宋_GB2312"/>
          <w:bCs/>
          <w:color w:val="auto"/>
          <w:sz w:val="32"/>
          <w:szCs w:val="32"/>
          <w:highlight w:val="none"/>
        </w:rPr>
        <w:t>文化旅游体育与传媒（类）</w:t>
      </w:r>
      <w:r>
        <w:rPr>
          <w:rStyle w:val="17"/>
          <w:rFonts w:hint="eastAsia" w:ascii="仿宋_GB2312" w:hAnsi="仿宋_GB2312" w:eastAsia="仿宋_GB2312" w:cs="仿宋_GB2312"/>
          <w:bCs/>
          <w:color w:val="auto"/>
          <w:sz w:val="32"/>
          <w:szCs w:val="32"/>
          <w:highlight w:val="none"/>
          <w:lang w:eastAsia="zh-CN"/>
        </w:rPr>
        <w:t>文化和旅游</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文化展示及纪念机构</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28</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eastAsia="zh-CN"/>
        </w:rPr>
        <w:t>与预算数持平</w:t>
      </w:r>
      <w:r>
        <w:rPr>
          <w:rStyle w:val="17"/>
          <w:rFonts w:hint="eastAsia" w:ascii="仿宋_GB2312" w:hAnsi="仿宋_GB2312" w:eastAsia="仿宋_GB2312" w:cs="仿宋_GB2312"/>
          <w:b w:val="0"/>
          <w:bCs/>
          <w:color w:val="auto"/>
          <w:sz w:val="32"/>
          <w:szCs w:val="32"/>
          <w:highlight w:val="none"/>
        </w:rPr>
        <w:t>。</w:t>
      </w:r>
    </w:p>
    <w:p>
      <w:pPr>
        <w:pageBreakBefore w:val="0"/>
        <w:kinsoku/>
        <w:wordWrap/>
        <w:overflowPunct/>
        <w:topLinePunct w:val="0"/>
        <w:bidi w:val="0"/>
        <w:spacing w:line="560" w:lineRule="exact"/>
        <w:ind w:firstLine="643" w:firstLineChars="200"/>
        <w:textAlignment w:val="auto"/>
        <w:rPr>
          <w:rStyle w:val="17"/>
          <w:rFonts w:hint="eastAsia" w:ascii="仿宋_GB2312" w:hAnsi="仿宋_GB2312" w:eastAsia="仿宋_GB2312" w:cs="仿宋_GB2312"/>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4.</w:t>
      </w:r>
      <w:r>
        <w:rPr>
          <w:rStyle w:val="17"/>
          <w:rFonts w:hint="eastAsia" w:ascii="仿宋_GB2312" w:hAnsi="仿宋_GB2312" w:eastAsia="仿宋_GB2312" w:cs="仿宋_GB2312"/>
          <w:bCs/>
          <w:color w:val="auto"/>
          <w:sz w:val="32"/>
          <w:szCs w:val="32"/>
          <w:highlight w:val="none"/>
        </w:rPr>
        <w:t>文化旅游体育与传媒（类）</w:t>
      </w:r>
      <w:r>
        <w:rPr>
          <w:rStyle w:val="17"/>
          <w:rFonts w:hint="eastAsia" w:ascii="仿宋_GB2312" w:hAnsi="仿宋_GB2312" w:eastAsia="仿宋_GB2312" w:cs="仿宋_GB2312"/>
          <w:bCs/>
          <w:color w:val="auto"/>
          <w:sz w:val="32"/>
          <w:szCs w:val="32"/>
          <w:highlight w:val="none"/>
          <w:lang w:eastAsia="zh-CN"/>
        </w:rPr>
        <w:t>文化和旅游</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文化活动</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50.16</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eastAsia="zh-CN"/>
        </w:rPr>
        <w:t>与预算数持平</w:t>
      </w:r>
      <w:r>
        <w:rPr>
          <w:rStyle w:val="17"/>
          <w:rFonts w:hint="eastAsia" w:ascii="仿宋_GB2312" w:hAnsi="仿宋_GB2312" w:eastAsia="仿宋_GB2312" w:cs="仿宋_GB2312"/>
          <w:b w:val="0"/>
          <w:bCs/>
          <w:color w:val="auto"/>
          <w:sz w:val="32"/>
          <w:szCs w:val="32"/>
          <w:highlight w:val="none"/>
        </w:rPr>
        <w:t>。</w:t>
      </w:r>
    </w:p>
    <w:p>
      <w:pPr>
        <w:pageBreakBefore w:val="0"/>
        <w:kinsoku/>
        <w:wordWrap/>
        <w:overflowPunct/>
        <w:topLinePunct w:val="0"/>
        <w:bidi w:val="0"/>
        <w:spacing w:line="560" w:lineRule="exact"/>
        <w:ind w:firstLine="643" w:firstLineChars="200"/>
        <w:textAlignment w:val="auto"/>
        <w:rPr>
          <w:rStyle w:val="17"/>
          <w:rFonts w:hint="eastAsia" w:ascii="仿宋_GB2312" w:hAnsi="仿宋_GB2312" w:eastAsia="仿宋_GB2312" w:cs="仿宋_GB2312"/>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5.</w:t>
      </w:r>
      <w:r>
        <w:rPr>
          <w:rStyle w:val="17"/>
          <w:rFonts w:hint="eastAsia" w:ascii="仿宋_GB2312" w:hAnsi="仿宋_GB2312" w:eastAsia="仿宋_GB2312" w:cs="仿宋_GB2312"/>
          <w:bCs/>
          <w:color w:val="auto"/>
          <w:sz w:val="32"/>
          <w:szCs w:val="32"/>
          <w:highlight w:val="none"/>
        </w:rPr>
        <w:t>文化旅游体育与传媒（类）</w:t>
      </w:r>
      <w:r>
        <w:rPr>
          <w:rStyle w:val="17"/>
          <w:rFonts w:hint="eastAsia" w:ascii="仿宋_GB2312" w:hAnsi="仿宋_GB2312" w:eastAsia="仿宋_GB2312" w:cs="仿宋_GB2312"/>
          <w:bCs/>
          <w:color w:val="auto"/>
          <w:sz w:val="32"/>
          <w:szCs w:val="32"/>
          <w:highlight w:val="none"/>
          <w:lang w:eastAsia="zh-CN"/>
        </w:rPr>
        <w:t>文化和旅游</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文化和旅游市场管理</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8.29</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eastAsia="zh-CN"/>
        </w:rPr>
        <w:t>与预算数持平</w:t>
      </w:r>
      <w:r>
        <w:rPr>
          <w:rStyle w:val="17"/>
          <w:rFonts w:hint="eastAsia" w:ascii="仿宋_GB2312" w:hAnsi="仿宋_GB2312" w:eastAsia="仿宋_GB2312" w:cs="仿宋_GB2312"/>
          <w:b w:val="0"/>
          <w:bCs/>
          <w:color w:val="auto"/>
          <w:sz w:val="32"/>
          <w:szCs w:val="32"/>
          <w:highlight w:val="none"/>
        </w:rPr>
        <w:t>。</w:t>
      </w:r>
    </w:p>
    <w:p>
      <w:pPr>
        <w:pageBreakBefore w:val="0"/>
        <w:kinsoku/>
        <w:wordWrap/>
        <w:overflowPunct/>
        <w:topLinePunct w:val="0"/>
        <w:bidi w:val="0"/>
        <w:spacing w:line="560" w:lineRule="exact"/>
        <w:ind w:firstLine="643" w:firstLineChars="200"/>
        <w:textAlignment w:val="auto"/>
        <w:rPr>
          <w:rStyle w:val="17"/>
          <w:rFonts w:hint="eastAsia" w:ascii="仿宋_GB2312" w:hAnsi="仿宋_GB2312" w:eastAsia="仿宋_GB2312" w:cs="仿宋_GB2312"/>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6.</w:t>
      </w:r>
      <w:r>
        <w:rPr>
          <w:rStyle w:val="17"/>
          <w:rFonts w:hint="eastAsia" w:ascii="仿宋_GB2312" w:hAnsi="仿宋_GB2312" w:eastAsia="仿宋_GB2312" w:cs="仿宋_GB2312"/>
          <w:bCs/>
          <w:color w:val="auto"/>
          <w:sz w:val="32"/>
          <w:szCs w:val="32"/>
          <w:highlight w:val="none"/>
        </w:rPr>
        <w:t>文化旅游体育与传媒（类）</w:t>
      </w:r>
      <w:r>
        <w:rPr>
          <w:rStyle w:val="17"/>
          <w:rFonts w:hint="eastAsia" w:ascii="仿宋_GB2312" w:hAnsi="仿宋_GB2312" w:eastAsia="仿宋_GB2312" w:cs="仿宋_GB2312"/>
          <w:bCs/>
          <w:color w:val="auto"/>
          <w:sz w:val="32"/>
          <w:szCs w:val="32"/>
          <w:highlight w:val="none"/>
          <w:lang w:eastAsia="zh-CN"/>
        </w:rPr>
        <w:t>文化和旅游</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旅游宣传</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9.03</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eastAsia="zh-CN"/>
        </w:rPr>
        <w:t>与预算数持平</w:t>
      </w:r>
      <w:r>
        <w:rPr>
          <w:rStyle w:val="17"/>
          <w:rFonts w:hint="eastAsia" w:ascii="仿宋_GB2312" w:hAnsi="仿宋_GB2312" w:eastAsia="仿宋_GB2312" w:cs="仿宋_GB2312"/>
          <w:b w:val="0"/>
          <w:bCs/>
          <w:color w:val="auto"/>
          <w:sz w:val="32"/>
          <w:szCs w:val="32"/>
          <w:highlight w:val="none"/>
        </w:rPr>
        <w:t>。</w:t>
      </w:r>
    </w:p>
    <w:p>
      <w:pPr>
        <w:pageBreakBefore w:val="0"/>
        <w:kinsoku/>
        <w:wordWrap/>
        <w:overflowPunct/>
        <w:topLinePunct w:val="0"/>
        <w:bidi w:val="0"/>
        <w:spacing w:line="560" w:lineRule="exact"/>
        <w:ind w:firstLine="643" w:firstLineChars="200"/>
        <w:textAlignment w:val="auto"/>
        <w:rPr>
          <w:rStyle w:val="17"/>
          <w:rFonts w:hint="eastAsia" w:ascii="仿宋_GB2312" w:hAnsi="仿宋_GB2312" w:eastAsia="仿宋_GB2312" w:cs="仿宋_GB2312"/>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7.</w:t>
      </w:r>
      <w:r>
        <w:rPr>
          <w:rStyle w:val="17"/>
          <w:rFonts w:hint="eastAsia" w:ascii="仿宋_GB2312" w:hAnsi="仿宋_GB2312" w:eastAsia="仿宋_GB2312" w:cs="仿宋_GB2312"/>
          <w:bCs/>
          <w:color w:val="auto"/>
          <w:sz w:val="32"/>
          <w:szCs w:val="32"/>
          <w:highlight w:val="none"/>
        </w:rPr>
        <w:t>文化旅游体育与传媒（类）</w:t>
      </w:r>
      <w:r>
        <w:rPr>
          <w:rStyle w:val="17"/>
          <w:rFonts w:hint="eastAsia" w:ascii="仿宋_GB2312" w:hAnsi="仿宋_GB2312" w:eastAsia="仿宋_GB2312" w:cs="仿宋_GB2312"/>
          <w:bCs/>
          <w:color w:val="auto"/>
          <w:sz w:val="32"/>
          <w:szCs w:val="32"/>
          <w:highlight w:val="none"/>
          <w:lang w:eastAsia="zh-CN"/>
        </w:rPr>
        <w:t>文化和旅游</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其他文化和旅游支出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375.20</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eastAsia="zh-CN"/>
        </w:rPr>
        <w:t>与预算数持平</w:t>
      </w:r>
      <w:r>
        <w:rPr>
          <w:rStyle w:val="17"/>
          <w:rFonts w:hint="eastAsia" w:ascii="仿宋_GB2312" w:hAnsi="仿宋_GB2312" w:eastAsia="仿宋_GB2312" w:cs="仿宋_GB2312"/>
          <w:b w:val="0"/>
          <w:bCs/>
          <w:color w:val="auto"/>
          <w:sz w:val="32"/>
          <w:szCs w:val="32"/>
          <w:highlight w:val="none"/>
        </w:rPr>
        <w:t>。</w:t>
      </w:r>
    </w:p>
    <w:p>
      <w:pPr>
        <w:pageBreakBefore w:val="0"/>
        <w:kinsoku/>
        <w:wordWrap/>
        <w:overflowPunct/>
        <w:topLinePunct w:val="0"/>
        <w:bidi w:val="0"/>
        <w:spacing w:line="560" w:lineRule="exact"/>
        <w:ind w:firstLine="643" w:firstLineChars="200"/>
        <w:textAlignment w:val="auto"/>
        <w:rPr>
          <w:rStyle w:val="17"/>
          <w:rFonts w:hint="eastAsia" w:ascii="仿宋_GB2312" w:hAnsi="仿宋_GB2312" w:eastAsia="仿宋_GB2312" w:cs="仿宋_GB2312"/>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8.</w:t>
      </w:r>
      <w:r>
        <w:rPr>
          <w:rStyle w:val="17"/>
          <w:rFonts w:hint="eastAsia" w:ascii="仿宋_GB2312" w:hAnsi="仿宋_GB2312" w:eastAsia="仿宋_GB2312" w:cs="仿宋_GB2312"/>
          <w:bCs/>
          <w:color w:val="auto"/>
          <w:sz w:val="32"/>
          <w:szCs w:val="32"/>
          <w:highlight w:val="none"/>
        </w:rPr>
        <w:t>文化旅游体育与传媒（类）</w:t>
      </w:r>
      <w:r>
        <w:rPr>
          <w:rStyle w:val="17"/>
          <w:rFonts w:hint="eastAsia" w:ascii="仿宋_GB2312" w:hAnsi="仿宋_GB2312" w:eastAsia="仿宋_GB2312" w:cs="仿宋_GB2312"/>
          <w:bCs/>
          <w:color w:val="auto"/>
          <w:sz w:val="32"/>
          <w:szCs w:val="32"/>
          <w:highlight w:val="none"/>
          <w:lang w:eastAsia="zh-CN"/>
        </w:rPr>
        <w:t>文物</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文物保护</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38.16</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eastAsia="zh-CN"/>
        </w:rPr>
        <w:t>与预算数持平</w:t>
      </w:r>
      <w:r>
        <w:rPr>
          <w:rStyle w:val="17"/>
          <w:rFonts w:hint="eastAsia" w:ascii="仿宋_GB2312" w:hAnsi="仿宋_GB2312" w:eastAsia="仿宋_GB2312" w:cs="仿宋_GB2312"/>
          <w:b w:val="0"/>
          <w:bCs/>
          <w:color w:val="auto"/>
          <w:sz w:val="32"/>
          <w:szCs w:val="32"/>
          <w:highlight w:val="none"/>
        </w:rPr>
        <w:t>。</w:t>
      </w:r>
    </w:p>
    <w:p>
      <w:pPr>
        <w:pStyle w:val="5"/>
        <w:ind w:firstLine="643" w:firstLineChars="200"/>
        <w:rPr>
          <w:rStyle w:val="17"/>
          <w:rFonts w:hint="eastAsia" w:ascii="仿宋_GB2312" w:hAnsi="仿宋_GB2312" w:eastAsia="仿宋_GB2312" w:cs="仿宋_GB2312"/>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9.</w:t>
      </w:r>
      <w:r>
        <w:rPr>
          <w:rStyle w:val="17"/>
          <w:rFonts w:hint="eastAsia" w:ascii="仿宋_GB2312" w:hAnsi="仿宋_GB2312" w:eastAsia="仿宋_GB2312" w:cs="仿宋_GB2312"/>
          <w:bCs/>
          <w:color w:val="auto"/>
          <w:sz w:val="32"/>
          <w:szCs w:val="32"/>
          <w:highlight w:val="none"/>
        </w:rPr>
        <w:t>文化旅游体育与传媒（类）</w:t>
      </w:r>
      <w:r>
        <w:rPr>
          <w:rStyle w:val="17"/>
          <w:rFonts w:hint="eastAsia" w:ascii="仿宋_GB2312" w:hAnsi="仿宋_GB2312" w:eastAsia="仿宋_GB2312" w:cs="仿宋_GB2312"/>
          <w:bCs/>
          <w:color w:val="auto"/>
          <w:sz w:val="32"/>
          <w:szCs w:val="32"/>
          <w:highlight w:val="none"/>
          <w:lang w:eastAsia="zh-CN"/>
        </w:rPr>
        <w:t>广播电视</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传输发射</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35.00</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eastAsia="zh-CN"/>
        </w:rPr>
        <w:t>与预算数持平</w:t>
      </w:r>
      <w:r>
        <w:rPr>
          <w:rStyle w:val="17"/>
          <w:rFonts w:hint="eastAsia" w:ascii="仿宋_GB2312" w:hAnsi="仿宋_GB2312" w:eastAsia="仿宋_GB2312" w:cs="仿宋_GB2312"/>
          <w:b w:val="0"/>
          <w:bCs/>
          <w:color w:val="auto"/>
          <w:sz w:val="32"/>
          <w:szCs w:val="32"/>
          <w:highlight w:val="none"/>
        </w:rPr>
        <w:t>。</w:t>
      </w:r>
    </w:p>
    <w:p>
      <w:pPr>
        <w:pStyle w:val="5"/>
        <w:ind w:firstLine="643"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10.</w:t>
      </w:r>
      <w:r>
        <w:rPr>
          <w:rStyle w:val="17"/>
          <w:rFonts w:hint="eastAsia" w:ascii="仿宋_GB2312" w:hAnsi="仿宋_GB2312" w:eastAsia="仿宋_GB2312" w:cs="仿宋_GB2312"/>
          <w:bCs/>
          <w:color w:val="auto"/>
          <w:sz w:val="32"/>
          <w:szCs w:val="32"/>
          <w:highlight w:val="none"/>
        </w:rPr>
        <w:t>文化旅游体育与传媒（类）</w:t>
      </w:r>
      <w:r>
        <w:rPr>
          <w:rStyle w:val="17"/>
          <w:rFonts w:hint="eastAsia" w:ascii="仿宋_GB2312" w:hAnsi="仿宋_GB2312" w:eastAsia="仿宋_GB2312" w:cs="仿宋_GB2312"/>
          <w:bCs/>
          <w:color w:val="auto"/>
          <w:sz w:val="32"/>
          <w:szCs w:val="32"/>
          <w:highlight w:val="none"/>
          <w:lang w:eastAsia="zh-CN"/>
        </w:rPr>
        <w:t>广播电视</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其他广播电视支出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377.36</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eastAsia="zh-CN"/>
        </w:rPr>
        <w:t>与预算数持平</w:t>
      </w:r>
      <w:r>
        <w:rPr>
          <w:rStyle w:val="17"/>
          <w:rFonts w:hint="eastAsia" w:ascii="仿宋_GB2312" w:hAnsi="仿宋_GB2312" w:eastAsia="仿宋_GB2312" w:cs="仿宋_GB2312"/>
          <w:b w:val="0"/>
          <w:bCs/>
          <w:color w:val="auto"/>
          <w:sz w:val="32"/>
          <w:szCs w:val="32"/>
          <w:highlight w:val="none"/>
        </w:rPr>
        <w:t>。</w:t>
      </w:r>
    </w:p>
    <w:p>
      <w:pPr>
        <w:pStyle w:val="5"/>
        <w:ind w:firstLine="643"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11.</w:t>
      </w:r>
      <w:r>
        <w:rPr>
          <w:rStyle w:val="17"/>
          <w:rFonts w:hint="eastAsia" w:ascii="仿宋_GB2312" w:hAnsi="仿宋_GB2312" w:eastAsia="仿宋_GB2312" w:cs="仿宋_GB2312"/>
          <w:bCs/>
          <w:color w:val="auto"/>
          <w:sz w:val="32"/>
          <w:szCs w:val="32"/>
          <w:highlight w:val="none"/>
        </w:rPr>
        <w:t>文化旅游体育与传媒（类）</w:t>
      </w:r>
      <w:r>
        <w:rPr>
          <w:rStyle w:val="17"/>
          <w:rFonts w:hint="eastAsia" w:ascii="仿宋_GB2312" w:hAnsi="仿宋_GB2312" w:eastAsia="仿宋_GB2312" w:cs="仿宋_GB2312"/>
          <w:bCs/>
          <w:color w:val="auto"/>
          <w:sz w:val="32"/>
          <w:szCs w:val="32"/>
          <w:highlight w:val="none"/>
          <w:lang w:eastAsia="zh-CN"/>
        </w:rPr>
        <w:t>其他文化旅游体育与传媒支出</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其他文化旅游体育与传媒支出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143.63</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eastAsia="zh-CN"/>
        </w:rPr>
        <w:t>与预算数持平</w:t>
      </w:r>
      <w:r>
        <w:rPr>
          <w:rStyle w:val="17"/>
          <w:rFonts w:hint="eastAsia" w:ascii="仿宋_GB2312" w:hAnsi="仿宋_GB2312" w:eastAsia="仿宋_GB2312" w:cs="仿宋_GB2312"/>
          <w:b w:val="0"/>
          <w:bCs/>
          <w:color w:val="auto"/>
          <w:sz w:val="32"/>
          <w:szCs w:val="32"/>
          <w:highlight w:val="none"/>
        </w:rPr>
        <w:t>。</w:t>
      </w:r>
    </w:p>
    <w:p>
      <w:pPr>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12</w:t>
      </w:r>
      <w:r>
        <w:rPr>
          <w:rStyle w:val="17"/>
          <w:rFonts w:hint="eastAsia" w:ascii="仿宋_GB2312" w:hAnsi="仿宋_GB2312" w:eastAsia="仿宋_GB2312" w:cs="仿宋_GB2312"/>
          <w:bCs/>
          <w:color w:val="auto"/>
          <w:sz w:val="32"/>
          <w:szCs w:val="32"/>
          <w:highlight w:val="none"/>
        </w:rPr>
        <w:t>.社会保障和就业（类）行政事业单位养老支出（款）机关事业单位基本养老保险缴费支出（项）:</w:t>
      </w:r>
      <w:r>
        <w:rPr>
          <w:rStyle w:val="17"/>
          <w:rFonts w:hint="eastAsia" w:ascii="仿宋_GB2312" w:hAnsi="仿宋_GB2312" w:eastAsia="仿宋_GB2312" w:cs="仿宋_GB2312"/>
          <w:b w:val="0"/>
          <w:bCs/>
          <w:color w:val="auto"/>
          <w:sz w:val="32"/>
          <w:szCs w:val="32"/>
          <w:highlight w:val="none"/>
        </w:rPr>
        <w:t xml:space="preserve"> 支出决算为46.66万元，完成预算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%，决算数与预算数持平。</w:t>
      </w:r>
    </w:p>
    <w:p>
      <w:pPr>
        <w:pageBreakBefore w:val="0"/>
        <w:kinsoku/>
        <w:wordWrap/>
        <w:overflowPunct/>
        <w:topLinePunct w:val="0"/>
        <w:bidi w:val="0"/>
        <w:spacing w:line="560" w:lineRule="exact"/>
        <w:ind w:firstLine="643" w:firstLineChars="200"/>
        <w:textAlignment w:val="auto"/>
        <w:rPr>
          <w:rStyle w:val="17"/>
          <w:rFonts w:hint="eastAsia" w:ascii="仿宋_GB2312" w:hAnsi="仿宋_GB2312" w:eastAsia="仿宋_GB2312" w:cs="仿宋_GB2312"/>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13</w:t>
      </w:r>
      <w:r>
        <w:rPr>
          <w:rStyle w:val="17"/>
          <w:rFonts w:hint="eastAsia" w:ascii="仿宋_GB2312" w:hAnsi="仿宋_GB2312" w:eastAsia="仿宋_GB2312" w:cs="仿宋_GB2312"/>
          <w:bCs/>
          <w:color w:val="auto"/>
          <w:sz w:val="32"/>
          <w:szCs w:val="32"/>
          <w:highlight w:val="none"/>
        </w:rPr>
        <w:t>.社会保障和就业（类）其他社会保障和就业支出（款）其他社会保障和就业支出（项）:</w:t>
      </w:r>
      <w:r>
        <w:rPr>
          <w:rStyle w:val="17"/>
          <w:rFonts w:hint="eastAsia" w:ascii="仿宋_GB2312" w:hAnsi="仿宋_GB2312" w:eastAsia="仿宋_GB2312" w:cs="仿宋_GB2312"/>
          <w:b w:val="0"/>
          <w:bCs/>
          <w:color w:val="auto"/>
          <w:sz w:val="32"/>
          <w:szCs w:val="32"/>
          <w:highlight w:val="none"/>
        </w:rPr>
        <w:t xml:space="preserve"> 支出决算为1.50万元，完成预算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%，决算数与预算数持平。</w:t>
      </w:r>
    </w:p>
    <w:p>
      <w:pPr>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14</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7"/>
          <w:rFonts w:hint="eastAsia" w:ascii="仿宋_GB2312" w:hAnsi="仿宋_GB2312" w:eastAsia="仿宋_GB2312" w:cs="仿宋_GB2312"/>
          <w:bCs/>
          <w:color w:val="auto"/>
          <w:sz w:val="32"/>
          <w:szCs w:val="32"/>
          <w:highlight w:val="none"/>
        </w:rPr>
        <w:t>（类）行政事业单位医疗（款）行政单位医疗（项）:</w:t>
      </w:r>
      <w:r>
        <w:rPr>
          <w:rStyle w:val="17"/>
          <w:rFonts w:hint="eastAsia" w:ascii="仿宋_GB2312" w:hAnsi="仿宋_GB2312" w:eastAsia="仿宋_GB2312" w:cs="仿宋_GB2312"/>
          <w:b w:val="0"/>
          <w:bCs/>
          <w:color w:val="auto"/>
          <w:sz w:val="32"/>
          <w:szCs w:val="32"/>
          <w:highlight w:val="none"/>
        </w:rPr>
        <w:t>支出决算为14.80万元，完成预算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%，决算数与预算数持平。</w:t>
      </w:r>
    </w:p>
    <w:p>
      <w:pPr>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15</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7"/>
          <w:rFonts w:hint="eastAsia" w:ascii="仿宋_GB2312" w:hAnsi="仿宋_GB2312" w:eastAsia="仿宋_GB2312" w:cs="仿宋_GB2312"/>
          <w:bCs/>
          <w:color w:val="auto"/>
          <w:sz w:val="32"/>
          <w:szCs w:val="32"/>
          <w:highlight w:val="none"/>
        </w:rPr>
        <w:t>（类）行政事业单位医疗（款）事业单位医疗（项）: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8.99</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%，决算数与预算数持平。</w:t>
      </w:r>
    </w:p>
    <w:p>
      <w:pPr>
        <w:pageBreakBefore w:val="0"/>
        <w:kinsoku/>
        <w:wordWrap/>
        <w:overflowPunct/>
        <w:topLinePunct w:val="0"/>
        <w:bidi w:val="0"/>
        <w:spacing w:line="560" w:lineRule="exact"/>
        <w:ind w:firstLine="643" w:firstLineChars="200"/>
        <w:textAlignment w:val="auto"/>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16</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7"/>
          <w:rFonts w:hint="eastAsia" w:ascii="仿宋_GB2312" w:hAnsi="仿宋_GB2312" w:eastAsia="仿宋_GB2312" w:cs="仿宋_GB2312"/>
          <w:bCs/>
          <w:color w:val="auto"/>
          <w:sz w:val="32"/>
          <w:szCs w:val="32"/>
          <w:highlight w:val="none"/>
        </w:rPr>
        <w:t>（类）行政事业单位医疗（款）公务员医疗补助（项）: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10.55</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%，决算数与预算数持平。</w:t>
      </w:r>
    </w:p>
    <w:p>
      <w:pPr>
        <w:pStyle w:val="5"/>
        <w:ind w:firstLine="643"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17</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农林水支出</w:t>
      </w:r>
      <w:r>
        <w:rPr>
          <w:rStyle w:val="17"/>
          <w:rFonts w:hint="eastAsia" w:ascii="仿宋_GB2312" w:hAnsi="仿宋_GB2312" w:eastAsia="仿宋_GB2312" w:cs="仿宋_GB2312"/>
          <w:bCs/>
          <w:color w:val="auto"/>
          <w:sz w:val="32"/>
          <w:szCs w:val="32"/>
          <w:highlight w:val="none"/>
        </w:rPr>
        <w:t>（类）巩固脱贫衔接乡村振兴（款）其他巩固脱贫衔接乡村振兴支出（项）: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893.14</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%，决算数与预算数持平。</w:t>
      </w:r>
    </w:p>
    <w:p>
      <w:pPr>
        <w:pStyle w:val="5"/>
        <w:ind w:firstLine="643"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18</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住房保障支出</w:t>
      </w:r>
      <w:r>
        <w:rPr>
          <w:rStyle w:val="17"/>
          <w:rFonts w:hint="eastAsia" w:ascii="仿宋_GB2312" w:hAnsi="仿宋_GB2312" w:eastAsia="仿宋_GB2312" w:cs="仿宋_GB2312"/>
          <w:bCs/>
          <w:color w:val="auto"/>
          <w:sz w:val="32"/>
          <w:szCs w:val="32"/>
          <w:highlight w:val="none"/>
        </w:rPr>
        <w:t>（类）住房改革支出（款）住房公积金（项）: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50.75</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%，决算数与预算数持平。</w:t>
      </w:r>
    </w:p>
    <w:p>
      <w:pPr>
        <w:pageBreakBefore w:val="0"/>
        <w:tabs>
          <w:tab w:val="right" w:pos="8306"/>
        </w:tabs>
        <w:kinsoku/>
        <w:wordWrap/>
        <w:overflowPunct/>
        <w:topLinePunct w:val="0"/>
        <w:bidi w:val="0"/>
        <w:spacing w:line="560" w:lineRule="exact"/>
        <w:ind w:firstLine="640"/>
        <w:textAlignment w:val="auto"/>
        <w:outlineLvl w:val="1"/>
        <w:rPr>
          <w:rStyle w:val="29"/>
          <w:color w:val="auto"/>
          <w:highlight w:val="none"/>
        </w:rPr>
      </w:pPr>
      <w:bookmarkStart w:id="40" w:name="_Toc15396608"/>
      <w:bookmarkStart w:id="41"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40"/>
      <w:bookmarkEnd w:id="41"/>
      <w:r>
        <w:rPr>
          <w:rStyle w:val="29"/>
          <w:rFonts w:ascii="黑体" w:hAnsi="黑体" w:eastAsia="黑体"/>
          <w:b w:val="0"/>
          <w:color w:val="auto"/>
          <w:highlight w:val="none"/>
        </w:rPr>
        <w:tab/>
      </w:r>
    </w:p>
    <w:p>
      <w:pPr>
        <w:pageBreakBefore w:val="0"/>
        <w:kinsoku/>
        <w:wordWrap/>
        <w:overflowPunct/>
        <w:topLinePunct w:val="0"/>
        <w:bidi w:val="0"/>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年一般公共预算财政拨款基本支出839.98万元，其中：</w:t>
      </w:r>
    </w:p>
    <w:p>
      <w:pPr>
        <w:pageBreakBefore w:val="0"/>
        <w:kinsoku/>
        <w:wordWrap/>
        <w:overflowPunct/>
        <w:topLinePunct w:val="0"/>
        <w:bidi w:val="0"/>
        <w:spacing w:line="560" w:lineRule="exact"/>
        <w:ind w:firstLine="645"/>
        <w:textAlignment w:val="auto"/>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人员经费752.93万元，主要包括：基本工资、津贴补贴、奖金、绩效工资、机关事业单位基本养老保险缴费、职工基本医疗保险缴费</w:t>
      </w:r>
      <w:r>
        <w:rPr>
          <w:rFonts w:hint="eastAsia" w:ascii="仿宋_GB2312" w:hAnsi="仿宋_GB2312" w:eastAsia="仿宋_GB2312" w:cs="仿宋_GB2312"/>
          <w:color w:val="auto"/>
          <w:sz w:val="32"/>
          <w:szCs w:val="32"/>
          <w:highlight w:val="none"/>
          <w:lang w:eastAsia="zh-CN"/>
        </w:rPr>
        <w:t>、公务员医疗补助缴费、</w:t>
      </w:r>
      <w:r>
        <w:rPr>
          <w:rFonts w:hint="eastAsia" w:ascii="仿宋_GB2312" w:hAnsi="仿宋_GB2312" w:eastAsia="仿宋_GB2312" w:cs="仿宋_GB2312"/>
          <w:color w:val="auto"/>
          <w:sz w:val="32"/>
          <w:szCs w:val="32"/>
          <w:highlight w:val="none"/>
        </w:rPr>
        <w:t>其他社会保障缴费、住房公积金</w:t>
      </w:r>
      <w:r>
        <w:rPr>
          <w:rFonts w:hint="eastAsia" w:ascii="仿宋_GB2312" w:hAnsi="仿宋_GB2312" w:eastAsia="仿宋_GB2312" w:cs="仿宋_GB2312"/>
          <w:color w:val="auto"/>
          <w:sz w:val="32"/>
          <w:szCs w:val="32"/>
          <w:highlight w:val="none"/>
          <w:lang w:eastAsia="zh-CN"/>
        </w:rPr>
        <w:t>、对个人和家庭的补助</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87.05</w:t>
      </w:r>
      <w:r>
        <w:rPr>
          <w:rFonts w:hint="eastAsia" w:ascii="仿宋_GB2312" w:hAnsi="仿宋_GB2312" w:eastAsia="仿宋_GB2312" w:cs="仿宋_GB2312"/>
          <w:color w:val="auto"/>
          <w:sz w:val="32"/>
          <w:szCs w:val="32"/>
          <w:highlight w:val="none"/>
        </w:rPr>
        <w:t>万元，主要包括：办公费、印刷费、咨询费、手续费、邮电费、差旅费、维修（护）费、公务接待费、劳务费、工会经费、福利费、其他交通费、其他商品和服务支出等。</w:t>
      </w:r>
    </w:p>
    <w:p>
      <w:pPr>
        <w:pageBreakBefore w:val="0"/>
        <w:kinsoku/>
        <w:wordWrap/>
        <w:overflowPunct/>
        <w:topLinePunct w:val="0"/>
        <w:bidi w:val="0"/>
        <w:spacing w:line="560" w:lineRule="exact"/>
        <w:ind w:firstLine="640"/>
        <w:textAlignment w:val="auto"/>
        <w:outlineLvl w:val="1"/>
        <w:rPr>
          <w:rStyle w:val="29"/>
          <w:rFonts w:ascii="黑体" w:hAnsi="黑体" w:eastAsia="黑体"/>
          <w:b w:val="0"/>
          <w:color w:val="auto"/>
          <w:highlight w:val="none"/>
        </w:rPr>
      </w:pPr>
      <w:bookmarkStart w:id="42" w:name="_Toc15396609"/>
      <w:bookmarkStart w:id="43" w:name="_Toc15377215"/>
      <w:r>
        <w:rPr>
          <w:rFonts w:hint="eastAsia" w:ascii="黑体" w:eastAsia="黑体"/>
          <w:color w:val="auto"/>
          <w:sz w:val="32"/>
          <w:szCs w:val="32"/>
          <w:highlight w:val="none"/>
        </w:rPr>
        <w:t>七、</w:t>
      </w:r>
      <w:r>
        <w:rPr>
          <w:rStyle w:val="29"/>
          <w:rFonts w:hint="eastAsia" w:ascii="黑体" w:hAnsi="黑体" w:eastAsia="黑体"/>
          <w:b w:val="0"/>
          <w:color w:val="auto"/>
          <w:highlight w:val="none"/>
        </w:rPr>
        <w:t>财政拨款</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三公”经费支出决算情况说明</w:t>
      </w:r>
      <w:bookmarkEnd w:id="42"/>
      <w:bookmarkEnd w:id="43"/>
    </w:p>
    <w:p>
      <w:pPr>
        <w:pageBreakBefore w:val="0"/>
        <w:kinsoku/>
        <w:wordWrap/>
        <w:overflowPunct/>
        <w:topLinePunct w:val="0"/>
        <w:bidi w:val="0"/>
        <w:spacing w:line="560" w:lineRule="exact"/>
        <w:ind w:firstLine="640"/>
        <w:textAlignment w:val="auto"/>
        <w:outlineLvl w:val="2"/>
        <w:rPr>
          <w:rFonts w:hint="eastAsia" w:ascii="楷体" w:hAnsi="楷体" w:eastAsia="楷体" w:cs="楷体"/>
          <w:b/>
          <w:color w:val="auto"/>
          <w:sz w:val="32"/>
          <w:szCs w:val="32"/>
          <w:highlight w:val="none"/>
        </w:rPr>
      </w:pPr>
      <w:bookmarkStart w:id="44" w:name="_Toc15377216"/>
      <w:r>
        <w:rPr>
          <w:rFonts w:hint="eastAsia" w:ascii="楷体" w:hAnsi="楷体" w:eastAsia="楷体" w:cs="楷体"/>
          <w:b/>
          <w:color w:val="auto"/>
          <w:sz w:val="32"/>
          <w:szCs w:val="32"/>
          <w:highlight w:val="none"/>
        </w:rPr>
        <w:t>（一）“三公”经费财政拨款支出决算总体情况说明</w:t>
      </w:r>
      <w:bookmarkEnd w:id="44"/>
    </w:p>
    <w:p>
      <w:pPr>
        <w:pageBreakBefore w:val="0"/>
        <w:kinsoku/>
        <w:wordWrap/>
        <w:overflowPunct/>
        <w:topLinePunct w:val="0"/>
        <w:bidi w:val="0"/>
        <w:spacing w:line="560" w:lineRule="exact"/>
        <w:ind w:firstLine="640"/>
        <w:textAlignment w:val="auto"/>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5.16</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较上年增加</w:t>
      </w:r>
      <w:r>
        <w:rPr>
          <w:rFonts w:hint="eastAsia" w:ascii="仿宋_GB2312" w:hAnsi="仿宋_GB2312" w:eastAsia="仿宋_GB2312" w:cs="仿宋_GB2312"/>
          <w:color w:val="auto"/>
          <w:sz w:val="32"/>
          <w:szCs w:val="32"/>
          <w:highlight w:val="none"/>
          <w:lang w:val="en-US" w:eastAsia="zh-CN"/>
        </w:rPr>
        <w:t>1.39万元，增长36.87%，主要原因是2022年开展重大活动较多，公务接待较上年增加1.39万元。</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eastAsia="zh-CN"/>
        </w:rPr>
        <w:t>与预算数持平</w:t>
      </w:r>
      <w:r>
        <w:rPr>
          <w:rFonts w:hint="eastAsia" w:ascii="仿宋_GB2312" w:hAnsi="仿宋_GB2312" w:eastAsia="仿宋_GB2312" w:cs="仿宋_GB2312"/>
          <w:color w:val="auto"/>
          <w:sz w:val="32"/>
          <w:szCs w:val="32"/>
          <w:highlight w:val="none"/>
        </w:rPr>
        <w:t>。</w:t>
      </w:r>
    </w:p>
    <w:p>
      <w:pPr>
        <w:pageBreakBefore w:val="0"/>
        <w:kinsoku/>
        <w:wordWrap/>
        <w:overflowPunct/>
        <w:topLinePunct w:val="0"/>
        <w:bidi w:val="0"/>
        <w:spacing w:line="560" w:lineRule="exact"/>
        <w:ind w:firstLine="640"/>
        <w:textAlignment w:val="auto"/>
        <w:outlineLvl w:val="2"/>
        <w:rPr>
          <w:rFonts w:hint="eastAsia" w:ascii="楷体" w:hAnsi="楷体" w:eastAsia="楷体" w:cs="楷体"/>
          <w:b/>
          <w:color w:val="auto"/>
          <w:sz w:val="32"/>
          <w:szCs w:val="32"/>
          <w:highlight w:val="none"/>
        </w:rPr>
      </w:pPr>
      <w:bookmarkStart w:id="45" w:name="_Toc15377217"/>
      <w:r>
        <w:rPr>
          <w:rFonts w:hint="eastAsia" w:ascii="楷体" w:hAnsi="楷体" w:eastAsia="楷体" w:cs="楷体"/>
          <w:b/>
          <w:color w:val="auto"/>
          <w:sz w:val="32"/>
          <w:szCs w:val="32"/>
          <w:highlight w:val="none"/>
        </w:rPr>
        <w:t>（二）“三公”经费财政拨款支出决算具体情况说明</w:t>
      </w:r>
      <w:bookmarkEnd w:id="45"/>
    </w:p>
    <w:p>
      <w:pPr>
        <w:pageBreakBefore w:val="0"/>
        <w:kinsoku/>
        <w:wordWrap/>
        <w:overflowPunct/>
        <w:topLinePunct w:val="0"/>
        <w:bidi w:val="0"/>
        <w:spacing w:line="560" w:lineRule="exact"/>
        <w:ind w:firstLine="640"/>
        <w:textAlignment w:val="auto"/>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5.16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%。具体情况如下：</w:t>
      </w:r>
    </w:p>
    <w:p>
      <w:pPr>
        <w:pageBreakBefore w:val="0"/>
        <w:kinsoku/>
        <w:wordWrap/>
        <w:overflowPunct/>
        <w:topLinePunct w:val="0"/>
        <w:bidi w:val="0"/>
        <w:spacing w:line="560" w:lineRule="exact"/>
        <w:ind w:firstLine="640"/>
        <w:textAlignment w:val="auto"/>
        <w:rPr>
          <w:rFonts w:ascii="仿宋_GB2312" w:eastAsia="仿宋_GB2312"/>
          <w:b/>
          <w:color w:val="auto"/>
          <w:sz w:val="32"/>
          <w:szCs w:val="32"/>
          <w:highlight w:val="none"/>
        </w:rPr>
      </w:pPr>
      <w:r>
        <w:drawing>
          <wp:anchor distT="0" distB="0" distL="114300" distR="114300" simplePos="0" relativeHeight="251665408" behindDoc="0" locked="0" layoutInCell="1" allowOverlap="1">
            <wp:simplePos x="0" y="0"/>
            <wp:positionH relativeFrom="column">
              <wp:posOffset>477520</wp:posOffset>
            </wp:positionH>
            <wp:positionV relativeFrom="paragraph">
              <wp:posOffset>127000</wp:posOffset>
            </wp:positionV>
            <wp:extent cx="4572000" cy="2743200"/>
            <wp:effectExtent l="4445" t="4445" r="14605" b="14605"/>
            <wp:wrapNone/>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ageBreakBefore w:val="0"/>
        <w:kinsoku/>
        <w:wordWrap/>
        <w:overflowPunct/>
        <w:topLinePunct w:val="0"/>
        <w:bidi w:val="0"/>
        <w:spacing w:line="560" w:lineRule="exact"/>
        <w:ind w:firstLine="640"/>
        <w:textAlignment w:val="auto"/>
        <w:rPr>
          <w:rFonts w:ascii="仿宋_GB2312" w:eastAsia="仿宋_GB2312"/>
          <w:b/>
          <w:color w:val="auto"/>
          <w:sz w:val="32"/>
          <w:szCs w:val="32"/>
          <w:highlight w:val="none"/>
        </w:rPr>
      </w:pPr>
    </w:p>
    <w:p>
      <w:pPr>
        <w:pageBreakBefore w:val="0"/>
        <w:kinsoku/>
        <w:wordWrap/>
        <w:overflowPunct/>
        <w:topLinePunct w:val="0"/>
        <w:bidi w:val="0"/>
        <w:spacing w:line="560" w:lineRule="exact"/>
        <w:ind w:firstLine="640"/>
        <w:textAlignment w:val="auto"/>
        <w:rPr>
          <w:rFonts w:ascii="仿宋_GB2312" w:eastAsia="仿宋_GB2312"/>
          <w:b/>
          <w:color w:val="auto"/>
          <w:sz w:val="32"/>
          <w:szCs w:val="32"/>
          <w:highlight w:val="none"/>
        </w:rPr>
      </w:pPr>
    </w:p>
    <w:p>
      <w:pPr>
        <w:pageBreakBefore w:val="0"/>
        <w:kinsoku/>
        <w:wordWrap/>
        <w:overflowPunct/>
        <w:topLinePunct w:val="0"/>
        <w:bidi w:val="0"/>
        <w:spacing w:line="560" w:lineRule="exact"/>
        <w:ind w:firstLine="640"/>
        <w:textAlignment w:val="auto"/>
        <w:rPr>
          <w:rFonts w:ascii="仿宋_GB2312" w:eastAsia="仿宋_GB2312"/>
          <w:b/>
          <w:color w:val="auto"/>
          <w:sz w:val="32"/>
          <w:szCs w:val="32"/>
          <w:highlight w:val="none"/>
        </w:rPr>
      </w:pPr>
    </w:p>
    <w:p>
      <w:pPr>
        <w:pageBreakBefore w:val="0"/>
        <w:kinsoku/>
        <w:wordWrap/>
        <w:overflowPunct/>
        <w:topLinePunct w:val="0"/>
        <w:bidi w:val="0"/>
        <w:spacing w:line="560" w:lineRule="exact"/>
        <w:ind w:firstLine="640"/>
        <w:textAlignment w:val="auto"/>
        <w:rPr>
          <w:rFonts w:ascii="仿宋_GB2312" w:eastAsia="仿宋_GB2312"/>
          <w:b/>
          <w:color w:val="auto"/>
          <w:sz w:val="32"/>
          <w:szCs w:val="32"/>
          <w:highlight w:val="none"/>
        </w:rPr>
      </w:pPr>
    </w:p>
    <w:p>
      <w:pPr>
        <w:pageBreakBefore w:val="0"/>
        <w:kinsoku/>
        <w:wordWrap/>
        <w:overflowPunct/>
        <w:topLinePunct w:val="0"/>
        <w:bidi w:val="0"/>
        <w:spacing w:line="560" w:lineRule="exact"/>
        <w:ind w:firstLine="640"/>
        <w:textAlignment w:val="auto"/>
        <w:rPr>
          <w:rFonts w:ascii="仿宋_GB2312" w:eastAsia="仿宋_GB2312"/>
          <w:b/>
          <w:color w:val="auto"/>
          <w:sz w:val="32"/>
          <w:szCs w:val="32"/>
          <w:highlight w:val="none"/>
        </w:rPr>
      </w:pPr>
    </w:p>
    <w:p>
      <w:pPr>
        <w:pageBreakBefore w:val="0"/>
        <w:kinsoku/>
        <w:wordWrap/>
        <w:overflowPunct/>
        <w:topLinePunct w:val="0"/>
        <w:bidi w:val="0"/>
        <w:spacing w:line="560" w:lineRule="exact"/>
        <w:ind w:firstLine="640"/>
        <w:textAlignment w:val="auto"/>
        <w:rPr>
          <w:rFonts w:ascii="仿宋_GB2312" w:eastAsia="仿宋_GB2312"/>
          <w:b/>
          <w:color w:val="auto"/>
          <w:sz w:val="32"/>
          <w:szCs w:val="32"/>
          <w:highlight w:val="none"/>
        </w:rPr>
      </w:pPr>
    </w:p>
    <w:p>
      <w:pPr>
        <w:pageBreakBefore w:val="0"/>
        <w:kinsoku/>
        <w:wordWrap/>
        <w:overflowPunct/>
        <w:topLinePunct w:val="0"/>
        <w:bidi w:val="0"/>
        <w:spacing w:line="560" w:lineRule="exact"/>
        <w:ind w:firstLine="640"/>
        <w:textAlignment w:val="auto"/>
        <w:rPr>
          <w:rFonts w:ascii="仿宋_GB2312" w:eastAsia="仿宋_GB2312"/>
          <w:b/>
          <w:color w:val="auto"/>
          <w:sz w:val="32"/>
          <w:szCs w:val="32"/>
          <w:highlight w:val="none"/>
        </w:rPr>
      </w:pPr>
    </w:p>
    <w:p>
      <w:pPr>
        <w:pageBreakBefore w:val="0"/>
        <w:kinsoku/>
        <w:wordWrap/>
        <w:overflowPunct/>
        <w:topLinePunct w:val="0"/>
        <w:bidi w:val="0"/>
        <w:spacing w:line="560" w:lineRule="exact"/>
        <w:ind w:firstLine="640"/>
        <w:textAlignment w:val="auto"/>
        <w:rPr>
          <w:rFonts w:hint="eastAsia" w:ascii="仿宋_GB2312" w:eastAsia="仿宋_GB2312"/>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pPr>
        <w:pageBreakBefore w:val="0"/>
        <w:kinsoku/>
        <w:wordWrap/>
        <w:overflowPunct/>
        <w:topLinePunct w:val="0"/>
        <w:bidi w:val="0"/>
        <w:spacing w:line="560"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pPr>
        <w:pageBreakBefore w:val="0"/>
        <w:kinsoku/>
        <w:wordWrap/>
        <w:overflowPunct/>
        <w:topLinePunct w:val="0"/>
        <w:bidi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pageBreakBefore w:val="0"/>
        <w:kinsoku/>
        <w:wordWrap/>
        <w:overflowPunct/>
        <w:topLinePunct w:val="0"/>
        <w:bidi w:val="0"/>
        <w:spacing w:line="560" w:lineRule="exact"/>
        <w:ind w:firstLine="640"/>
        <w:textAlignment w:val="auto"/>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bidi w:val="0"/>
        <w:spacing w:line="560" w:lineRule="exact"/>
        <w:ind w:firstLine="64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5.16</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1.39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36.87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2022年开展重大活动较多</w:t>
      </w:r>
      <w:r>
        <w:rPr>
          <w:rFonts w:hint="eastAsia" w:ascii="仿宋_GB2312" w:eastAsia="仿宋_GB2312"/>
          <w:color w:val="auto"/>
          <w:sz w:val="32"/>
          <w:szCs w:val="32"/>
          <w:highlight w:val="none"/>
        </w:rPr>
        <w:t>。其中：</w:t>
      </w:r>
    </w:p>
    <w:p>
      <w:pPr>
        <w:pageBreakBefore w:val="0"/>
        <w:kinsoku/>
        <w:wordWrap/>
        <w:overflowPunct/>
        <w:topLinePunct w:val="0"/>
        <w:bidi w:val="0"/>
        <w:spacing w:line="560" w:lineRule="exact"/>
        <w:ind w:firstLine="64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5.16</w:t>
      </w:r>
      <w:r>
        <w:rPr>
          <w:rFonts w:hint="eastAsia" w:ascii="仿宋_GB2312" w:eastAsia="仿宋_GB2312"/>
          <w:color w:val="auto"/>
          <w:sz w:val="32"/>
          <w:szCs w:val="32"/>
          <w:highlight w:val="none"/>
        </w:rPr>
        <w:t>万元，主要用于开展业务活动开支的用餐费等。国内公务接待</w:t>
      </w:r>
      <w:r>
        <w:rPr>
          <w:rFonts w:hint="eastAsia" w:ascii="仿宋_GB2312" w:eastAsia="仿宋_GB2312"/>
          <w:color w:val="auto"/>
          <w:sz w:val="32"/>
          <w:szCs w:val="32"/>
          <w:highlight w:val="none"/>
          <w:lang w:val="en-US" w:eastAsia="zh-CN"/>
        </w:rPr>
        <w:t>45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404</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5.16</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《凯歌记忆》剧本指导、市文物局指导安居文保工作、博物馆工作等项目公务接待费合计</w:t>
      </w:r>
      <w:r>
        <w:rPr>
          <w:rFonts w:hint="eastAsia" w:ascii="仿宋_GB2312" w:eastAsia="仿宋_GB2312"/>
          <w:color w:val="auto"/>
          <w:sz w:val="32"/>
          <w:szCs w:val="32"/>
          <w:highlight w:val="none"/>
          <w:lang w:val="en-US" w:eastAsia="zh-CN"/>
        </w:rPr>
        <w:t>5.16万元。</w:t>
      </w:r>
    </w:p>
    <w:p>
      <w:pPr>
        <w:pageBreakBefore w:val="0"/>
        <w:kinsoku/>
        <w:wordWrap/>
        <w:overflowPunct/>
        <w:topLinePunct w:val="0"/>
        <w:bidi w:val="0"/>
        <w:spacing w:line="560" w:lineRule="exact"/>
        <w:ind w:firstLine="643" w:firstLineChars="20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bidi w:val="0"/>
        <w:spacing w:line="560" w:lineRule="exact"/>
        <w:ind w:firstLine="640"/>
        <w:textAlignment w:val="auto"/>
        <w:outlineLvl w:val="1"/>
        <w:rPr>
          <w:rStyle w:val="29"/>
          <w:rFonts w:ascii="黑体" w:hAnsi="黑体" w:eastAsia="黑体"/>
          <w:color w:val="auto"/>
          <w:highlight w:val="none"/>
        </w:rPr>
      </w:pPr>
      <w:bookmarkStart w:id="46" w:name="_Toc15377218"/>
      <w:bookmarkStart w:id="47" w:name="_Toc15396610"/>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46"/>
      <w:bookmarkEnd w:id="47"/>
    </w:p>
    <w:p>
      <w:pPr>
        <w:pageBreakBefore w:val="0"/>
        <w:kinsoku/>
        <w:wordWrap/>
        <w:overflowPunct/>
        <w:topLinePunct w:val="0"/>
        <w:bidi w:val="0"/>
        <w:spacing w:line="560"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拨款支出1642.64万元。</w:t>
      </w:r>
    </w:p>
    <w:p>
      <w:pPr>
        <w:pageBreakBefore w:val="0"/>
        <w:numPr>
          <w:ilvl w:val="0"/>
          <w:numId w:val="2"/>
        </w:numPr>
        <w:kinsoku/>
        <w:wordWrap/>
        <w:overflowPunct/>
        <w:topLinePunct w:val="0"/>
        <w:bidi w:val="0"/>
        <w:spacing w:line="560" w:lineRule="exact"/>
        <w:ind w:firstLine="640"/>
        <w:textAlignment w:val="auto"/>
        <w:outlineLvl w:val="1"/>
        <w:rPr>
          <w:rStyle w:val="29"/>
          <w:rFonts w:ascii="黑体" w:hAnsi="黑体" w:eastAsia="黑体"/>
          <w:b w:val="0"/>
          <w:color w:val="auto"/>
          <w:highlight w:val="none"/>
        </w:rPr>
      </w:pPr>
      <w:bookmarkStart w:id="48" w:name="_Toc15396611"/>
      <w:bookmarkStart w:id="49" w:name="_Toc15377219"/>
      <w:r>
        <w:rPr>
          <w:rStyle w:val="29"/>
          <w:rFonts w:hint="eastAsia" w:ascii="黑体" w:hAnsi="黑体" w:eastAsia="黑体"/>
          <w:b w:val="0"/>
          <w:color w:val="auto"/>
          <w:highlight w:val="none"/>
        </w:rPr>
        <w:t>国有资本经营预算支出决算情况说明</w:t>
      </w:r>
      <w:bookmarkEnd w:id="48"/>
      <w:bookmarkEnd w:id="49"/>
    </w:p>
    <w:p>
      <w:pPr>
        <w:pageBreakBefore w:val="0"/>
        <w:kinsoku/>
        <w:wordWrap/>
        <w:overflowPunct/>
        <w:topLinePunct w:val="0"/>
        <w:bidi w:val="0"/>
        <w:spacing w:line="560"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numPr>
          <w:ilvl w:val="0"/>
          <w:numId w:val="2"/>
        </w:numPr>
        <w:kinsoku/>
        <w:wordWrap/>
        <w:overflowPunct/>
        <w:topLinePunct w:val="0"/>
        <w:bidi w:val="0"/>
        <w:spacing w:line="560" w:lineRule="exact"/>
        <w:ind w:firstLine="640"/>
        <w:textAlignment w:val="auto"/>
        <w:outlineLvl w:val="1"/>
        <w:rPr>
          <w:rStyle w:val="29"/>
          <w:rFonts w:hint="eastAsia" w:ascii="黑体" w:hAnsi="黑体" w:eastAsia="黑体"/>
          <w:b w:val="0"/>
          <w:color w:val="auto"/>
          <w:highlight w:val="none"/>
        </w:rPr>
      </w:pPr>
      <w:bookmarkStart w:id="50" w:name="_Toc15396612"/>
      <w:bookmarkStart w:id="51" w:name="_Toc15377221"/>
      <w:r>
        <w:rPr>
          <w:rStyle w:val="29"/>
          <w:rFonts w:hint="eastAsia" w:ascii="黑体" w:hAnsi="黑体" w:eastAsia="黑体"/>
          <w:b w:val="0"/>
          <w:color w:val="auto"/>
          <w:highlight w:val="none"/>
        </w:rPr>
        <w:t>其他重要事项的情况说明</w:t>
      </w:r>
      <w:bookmarkEnd w:id="50"/>
      <w:bookmarkEnd w:id="51"/>
    </w:p>
    <w:p>
      <w:pPr>
        <w:pageBreakBefore w:val="0"/>
        <w:kinsoku/>
        <w:wordWrap/>
        <w:overflowPunct/>
        <w:topLinePunct w:val="0"/>
        <w:bidi w:val="0"/>
        <w:spacing w:line="560" w:lineRule="exact"/>
        <w:ind w:firstLine="643" w:firstLineChars="200"/>
        <w:textAlignment w:val="auto"/>
        <w:outlineLvl w:val="2"/>
        <w:rPr>
          <w:rFonts w:hint="eastAsia" w:ascii="楷体" w:hAnsi="楷体" w:eastAsia="楷体" w:cs="楷体"/>
          <w:color w:val="auto"/>
          <w:sz w:val="32"/>
          <w:szCs w:val="32"/>
          <w:highlight w:val="none"/>
        </w:rPr>
      </w:pPr>
      <w:bookmarkStart w:id="52" w:name="_Toc15377222"/>
      <w:r>
        <w:rPr>
          <w:rFonts w:hint="eastAsia" w:ascii="楷体" w:hAnsi="楷体" w:eastAsia="楷体" w:cs="楷体"/>
          <w:b/>
          <w:color w:val="auto"/>
          <w:sz w:val="32"/>
          <w:szCs w:val="32"/>
          <w:highlight w:val="none"/>
        </w:rPr>
        <w:t>（一）机关运行经费支出情况</w:t>
      </w:r>
      <w:bookmarkEnd w:id="52"/>
    </w:p>
    <w:p>
      <w:pPr>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区文化广电旅游局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87.05</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10.34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10.62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是</w:t>
      </w:r>
      <w:r>
        <w:rPr>
          <w:rFonts w:hint="eastAsia" w:ascii="仿宋_GB2312" w:eastAsia="仿宋_GB2312"/>
          <w:color w:val="auto"/>
          <w:sz w:val="32"/>
          <w:szCs w:val="32"/>
          <w:highlight w:val="none"/>
          <w:lang w:val="en-US" w:eastAsia="zh-CN"/>
        </w:rPr>
        <w:t>2021年驻村工作队生活补助5.28万元下至其他商品和服务经济分类科目中，2022年驻村工作队生活补助2.64万下至其他对个人和家庭补助经济分类科目（人员经费）中，导致运行经费减少5.28万元；2022年离退休公用经费比2021年减少3.30万元；2022年基层党组织活动经费及老干部支部活动经费比2021年减少1.57万元；其他运行经费项比2021年减少0.19万元。</w:t>
      </w:r>
    </w:p>
    <w:p>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hint="eastAsia" w:ascii="楷体" w:hAnsi="楷体" w:eastAsia="楷体" w:cs="楷体"/>
          <w:b/>
          <w:color w:val="auto"/>
          <w:sz w:val="32"/>
          <w:szCs w:val="32"/>
          <w:highlight w:val="none"/>
        </w:rPr>
      </w:pPr>
      <w:bookmarkStart w:id="53" w:name="_Toc15377223"/>
      <w:r>
        <w:rPr>
          <w:rFonts w:hint="eastAsia" w:ascii="楷体" w:hAnsi="楷体" w:eastAsia="楷体" w:cs="楷体"/>
          <w:b/>
          <w:color w:val="auto"/>
          <w:sz w:val="32"/>
          <w:szCs w:val="32"/>
          <w:highlight w:val="none"/>
        </w:rPr>
        <w:t>（二）政府采购支出情况</w:t>
      </w:r>
      <w:bookmarkEnd w:id="53"/>
    </w:p>
    <w:p>
      <w:pPr>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区文化广电旅游局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hint="eastAsia" w:ascii="楷体" w:hAnsi="楷体" w:eastAsia="楷体" w:cs="楷体"/>
          <w:b/>
          <w:color w:val="auto"/>
          <w:sz w:val="32"/>
          <w:szCs w:val="32"/>
          <w:highlight w:val="none"/>
        </w:rPr>
      </w:pPr>
      <w:bookmarkStart w:id="54" w:name="_Toc15377224"/>
      <w:r>
        <w:rPr>
          <w:rFonts w:hint="eastAsia" w:ascii="楷体" w:hAnsi="楷体" w:eastAsia="楷体" w:cs="楷体"/>
          <w:b/>
          <w:color w:val="auto"/>
          <w:sz w:val="32"/>
          <w:szCs w:val="32"/>
          <w:highlight w:val="none"/>
        </w:rPr>
        <w:t>（三）国有资产占有使用情况</w:t>
      </w:r>
      <w:bookmarkEnd w:id="54"/>
    </w:p>
    <w:p>
      <w:pPr>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区文化广电旅游局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（四）预算绩效管理情况</w:t>
      </w:r>
    </w:p>
    <w:p>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图书馆购书经费、发射台站运维费、博物馆免费开放及文化遗产保护专项经费、广播电视户户通运行维护（民生工程）、旅游宣传营销、图书馆、文化馆（站）免费开放区级配套（民生工程）、文化旅游市场执法监管及法治宣传</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个项目开展绩效监控。</w:t>
      </w:r>
    </w:p>
    <w:p>
      <w:pPr>
        <w:pageBreakBefore w:val="0"/>
        <w:widowControl/>
        <w:kinsoku/>
        <w:wordWrap/>
        <w:overflowPunct/>
        <w:topLinePunct w:val="0"/>
        <w:bidi w:val="0"/>
        <w:spacing w:line="560" w:lineRule="exact"/>
        <w:ind w:firstLine="640" w:firstLineChars="200"/>
        <w:jc w:val="left"/>
        <w:textAlignment w:val="auto"/>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部门整体（含部门预算项目）绩效自评报告、图书馆购书经费、发射台站运维费、博物馆免费开放及文化遗产保护专项经费、广播电视户户通运行维护（民生工程）、旅游宣传营销、图书馆、文化馆（站）免费开放区级配套（民生工程）、文化旅游市场执法监管及法治宣传等</w:t>
      </w:r>
      <w:r>
        <w:rPr>
          <w:rFonts w:hint="eastAsia" w:ascii="仿宋_GB2312" w:hAnsi="仿宋_GB2312" w:eastAsia="仿宋_GB2312" w:cs="仿宋_GB2312"/>
          <w:color w:val="auto"/>
          <w:sz w:val="32"/>
          <w:szCs w:val="32"/>
          <w:highlight w:val="none"/>
          <w:lang w:eastAsia="zh-CN"/>
        </w:rPr>
        <w:t>部门预算项目</w:t>
      </w:r>
      <w:r>
        <w:rPr>
          <w:rFonts w:hint="eastAsia" w:ascii="仿宋_GB2312" w:hAnsi="仿宋_GB2312" w:eastAsia="仿宋_GB2312" w:cs="仿宋_GB2312"/>
          <w:color w:val="auto"/>
          <w:sz w:val="32"/>
          <w:szCs w:val="32"/>
          <w:highlight w:val="none"/>
        </w:rPr>
        <w:t>绩效自评报告，其中，</w:t>
      </w:r>
      <w:r>
        <w:rPr>
          <w:rFonts w:hint="eastAsia" w:ascii="仿宋_GB2312" w:hAnsi="仿宋_GB2312" w:eastAsia="仿宋_GB2312" w:cs="仿宋_GB2312"/>
          <w:color w:val="auto"/>
          <w:sz w:val="32"/>
          <w:szCs w:val="32"/>
          <w:highlight w:val="none"/>
          <w:lang w:eastAsia="zh-CN"/>
        </w:rPr>
        <w:t>区文化广电旅游局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97.8</w:t>
      </w:r>
      <w:r>
        <w:rPr>
          <w:rFonts w:hint="eastAsia" w:ascii="仿宋_GB2312" w:hAnsi="仿宋_GB2312" w:eastAsia="仿宋_GB2312" w:cs="仿宋_GB2312"/>
          <w:color w:val="auto"/>
          <w:sz w:val="32"/>
          <w:szCs w:val="32"/>
          <w:highlight w:val="none"/>
        </w:rPr>
        <w:t>分，绩效自评综述：2022年预算执行情况良好，无不良记录及违规违纪行为</w:t>
      </w:r>
      <w:r>
        <w:rPr>
          <w:rFonts w:hint="eastAsia" w:ascii="仿宋_GB2312" w:hAnsi="仿宋_GB2312" w:eastAsia="仿宋_GB2312" w:cs="仿宋_GB2312"/>
          <w:color w:val="auto"/>
          <w:sz w:val="32"/>
          <w:szCs w:val="32"/>
          <w:highlight w:val="none"/>
          <w:lang w:eastAsia="zh-CN"/>
        </w:rPr>
        <w:t>。</w:t>
      </w:r>
      <w:r>
        <w:rPr>
          <w:rFonts w:ascii="仿宋_GB2312" w:eastAsia="仿宋_GB2312"/>
          <w:b/>
          <w:color w:val="auto"/>
          <w:sz w:val="32"/>
          <w:szCs w:val="32"/>
          <w:highlight w:val="none"/>
        </w:rPr>
        <w:br w:type="page"/>
      </w:r>
    </w:p>
    <w:p>
      <w:pPr>
        <w:pageBreakBefore w:val="0"/>
        <w:numPr>
          <w:ilvl w:val="0"/>
          <w:numId w:val="3"/>
        </w:numPr>
        <w:kinsoku/>
        <w:wordWrap/>
        <w:overflowPunct/>
        <w:topLinePunct w:val="0"/>
        <w:bidi w:val="0"/>
        <w:spacing w:line="560" w:lineRule="exact"/>
        <w:ind w:firstLine="660" w:firstLineChars="150"/>
        <w:jc w:val="center"/>
        <w:textAlignment w:val="auto"/>
        <w:outlineLvl w:val="0"/>
        <w:rPr>
          <w:rStyle w:val="28"/>
          <w:rFonts w:ascii="黑体" w:hAnsi="黑体" w:eastAsia="黑体"/>
          <w:b w:val="0"/>
          <w:color w:val="auto"/>
          <w:highlight w:val="none"/>
        </w:rPr>
      </w:pPr>
      <w:bookmarkStart w:id="55" w:name="_Toc15396613"/>
      <w:bookmarkStart w:id="56" w:name="_Toc15377225"/>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55"/>
      <w:bookmarkEnd w:id="56"/>
    </w:p>
    <w:p>
      <w:pPr>
        <w:pageBreakBefore w:val="0"/>
        <w:kinsoku/>
        <w:wordWrap/>
        <w:overflowPunct/>
        <w:topLinePunct w:val="0"/>
        <w:bidi w:val="0"/>
        <w:spacing w:line="560" w:lineRule="exact"/>
        <w:jc w:val="left"/>
        <w:textAlignment w:val="auto"/>
        <w:rPr>
          <w:rFonts w:ascii="宋体"/>
          <w:b/>
          <w:color w:val="auto"/>
          <w:sz w:val="44"/>
          <w:szCs w:val="44"/>
          <w:highlight w:val="none"/>
        </w:rPr>
      </w:pPr>
    </w:p>
    <w:p>
      <w:pPr>
        <w:pStyle w:val="26"/>
        <w:pageBreakBefore w:val="0"/>
        <w:kinsoku/>
        <w:wordWrap/>
        <w:overflowPunct/>
        <w:topLinePunct w:val="0"/>
        <w:bidi w:val="0"/>
        <w:adjustRightInd/>
        <w:snapToGrid/>
        <w:spacing w:line="560" w:lineRule="exact"/>
        <w:ind w:left="0" w:leftChars="0" w:right="0" w:firstLine="640" w:firstLineChars="200"/>
        <w:jc w:val="both"/>
        <w:outlineLvl w:val="9"/>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6"/>
        <w:pageBreakBefore w:val="0"/>
        <w:kinsoku/>
        <w:wordWrap/>
        <w:overflowPunct/>
        <w:topLinePunct w:val="0"/>
        <w:bidi w:val="0"/>
        <w:adjustRightInd/>
        <w:snapToGrid/>
        <w:spacing w:line="560" w:lineRule="exact"/>
        <w:ind w:left="0" w:leftChars="0" w:right="0" w:firstLine="640" w:firstLineChars="200"/>
        <w:jc w:val="both"/>
        <w:outlineLvl w:val="9"/>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无法退还的保证金及代缴个人所得税返还的手续费等。</w:t>
      </w:r>
      <w:r>
        <w:rPr>
          <w:rFonts w:ascii="仿宋_GB2312" w:eastAsia="仿宋_GB2312"/>
          <w:color w:val="auto"/>
          <w:sz w:val="32"/>
          <w:szCs w:val="32"/>
          <w:highlight w:val="none"/>
        </w:rPr>
        <w:t xml:space="preserve"> </w:t>
      </w:r>
    </w:p>
    <w:p>
      <w:pPr>
        <w:pStyle w:val="26"/>
        <w:pageBreakBefore w:val="0"/>
        <w:kinsoku/>
        <w:wordWrap/>
        <w:overflowPunct/>
        <w:topLinePunct w:val="0"/>
        <w:bidi w:val="0"/>
        <w:adjustRightInd/>
        <w:snapToGrid/>
        <w:spacing w:line="560" w:lineRule="exact"/>
        <w:ind w:left="0" w:leftChars="0" w:right="0" w:firstLine="640" w:firstLineChars="200"/>
        <w:jc w:val="both"/>
        <w:outlineLvl w:val="9"/>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6"/>
        <w:pageBreakBefore w:val="0"/>
        <w:kinsoku/>
        <w:wordWrap/>
        <w:overflowPunct/>
        <w:topLinePunct w:val="0"/>
        <w:bidi w:val="0"/>
        <w:adjustRightInd/>
        <w:snapToGrid/>
        <w:spacing w:line="560" w:lineRule="exact"/>
        <w:ind w:left="0" w:leftChars="0" w:right="0" w:firstLine="640" w:firstLineChars="200"/>
        <w:jc w:val="both"/>
        <w:outlineLvl w:val="9"/>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6"/>
        <w:pageBreakBefore w:val="0"/>
        <w:kinsoku/>
        <w:wordWrap/>
        <w:overflowPunct/>
        <w:topLinePunct w:val="0"/>
        <w:bidi w:val="0"/>
        <w:adjustRightInd/>
        <w:snapToGrid/>
        <w:spacing w:line="560" w:lineRule="exact"/>
        <w:ind w:left="0" w:leftChars="0" w:right="0" w:firstLine="640" w:firstLineChars="200"/>
        <w:jc w:val="both"/>
        <w:outlineLvl w:val="9"/>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.文化旅游体育与传媒支出（207）文化和旅游（01）行政运行（01）</w:t>
      </w:r>
      <w:r>
        <w:rPr>
          <w:rFonts w:hint="eastAsia" w:ascii="仿宋_GB2312" w:eastAsia="仿宋_GB2312"/>
          <w:sz w:val="32"/>
          <w:szCs w:val="32"/>
          <w:lang w:eastAsia="zh-CN"/>
        </w:rPr>
        <w:t>：反映</w:t>
      </w:r>
      <w:r>
        <w:rPr>
          <w:rFonts w:hint="eastAsia" w:ascii="仿宋_GB2312" w:eastAsia="仿宋_GB2312"/>
          <w:sz w:val="32"/>
          <w:szCs w:val="32"/>
        </w:rPr>
        <w:t>行政单位（包括参照公务员管理的事业单位）的基本支出。</w:t>
      </w:r>
    </w:p>
    <w:p>
      <w:pPr>
        <w:spacing w:line="600" w:lineRule="exact"/>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文化旅游体育与传媒支出（207）文化和旅游（01）一般行政管理事务（0</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：反映行政单位（包括实行公务员管理的事业单位）未单独设置项级科目的其他项目支出。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rPr>
        <w:t>文化旅游体育与传媒支出（207）文化和旅游（01）</w:t>
      </w:r>
      <w:r>
        <w:rPr>
          <w:rFonts w:hint="eastAsia" w:ascii="仿宋_GB2312" w:eastAsia="仿宋_GB2312"/>
          <w:sz w:val="32"/>
          <w:szCs w:val="32"/>
          <w:lang w:eastAsia="zh-CN"/>
        </w:rPr>
        <w:t>文化展示及纪念机构</w:t>
      </w:r>
      <w:r>
        <w:rPr>
          <w:rFonts w:hint="eastAsia" w:ascii="仿宋_GB2312" w:eastAsia="仿宋_GB2312"/>
          <w:sz w:val="32"/>
          <w:szCs w:val="32"/>
        </w:rPr>
        <w:t>（0</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eastAsia="zh-CN"/>
        </w:rPr>
        <w:t>：反映各类艺术展览馆、文化名人纪念馆（碑）的支出。</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 xml:space="preserve">.文化旅游体育与传媒支出（207）文化和旅游（01）文化活动（08）: </w:t>
      </w:r>
      <w:r>
        <w:rPr>
          <w:rFonts w:hint="eastAsia" w:ascii="仿宋_GB2312" w:eastAsia="仿宋_GB2312"/>
          <w:sz w:val="32"/>
          <w:szCs w:val="32"/>
          <w:lang w:eastAsia="zh-CN"/>
        </w:rPr>
        <w:t>反映</w:t>
      </w:r>
      <w:r>
        <w:rPr>
          <w:rFonts w:hint="eastAsia" w:ascii="仿宋_GB2312" w:eastAsia="仿宋_GB2312"/>
          <w:sz w:val="32"/>
          <w:szCs w:val="32"/>
        </w:rPr>
        <w:t>举办大型文化艺术活动的支出。</w:t>
      </w:r>
    </w:p>
    <w:p>
      <w:pPr>
        <w:spacing w:line="600" w:lineRule="exact"/>
        <w:ind w:firstLine="640"/>
        <w:rPr>
          <w:rFonts w:hint="eastAsia" w:ascii="仿宋_GB2312" w:eastAsia="仿宋_GB2312"/>
          <w:sz w:val="32"/>
          <w:szCs w:val="32"/>
          <w:lang w:eastAsia="zh-CN"/>
        </w:rPr>
      </w:pPr>
      <w:r>
        <w:rPr>
          <w:rFonts w:hint="eastAsia" w:ascii="仿宋_GB2312" w:eastAsia="仿宋_GB2312"/>
          <w:sz w:val="32"/>
          <w:szCs w:val="32"/>
          <w:lang w:val="en-US" w:eastAsia="zh-CN"/>
        </w:rPr>
        <w:t>10.</w:t>
      </w:r>
      <w:r>
        <w:rPr>
          <w:rFonts w:hint="eastAsia" w:ascii="仿宋_GB2312" w:eastAsia="仿宋_GB2312"/>
          <w:sz w:val="32"/>
          <w:szCs w:val="32"/>
        </w:rPr>
        <w:t>文化旅游体育与传媒支出（207）文化和旅游（01）文化和旅游市场管理（1</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：反映文化和旅游执法检查等文化旅游市场管理方面的支出。</w:t>
      </w:r>
    </w:p>
    <w:p>
      <w:pPr>
        <w:spacing w:line="600" w:lineRule="exact"/>
        <w:ind w:firstLine="64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.文化旅游体育与传媒支出（207）文化和旅游（01）旅游宣传（13）：反映在境内外开展各类旅游宣传促销活动的支出。</w:t>
      </w:r>
    </w:p>
    <w:p>
      <w:pPr>
        <w:spacing w:line="600" w:lineRule="exact"/>
        <w:ind w:firstLine="64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.文化旅游体育与传媒支出（207）文化和旅游（01）其他文化和旅游支出（99）</w:t>
      </w:r>
      <w:r>
        <w:rPr>
          <w:rFonts w:hint="eastAsia" w:ascii="仿宋_GB2312" w:eastAsia="仿宋_GB2312"/>
          <w:sz w:val="32"/>
          <w:szCs w:val="32"/>
          <w:lang w:eastAsia="zh-CN"/>
        </w:rPr>
        <w:t>：</w:t>
      </w:r>
      <w:r>
        <w:rPr>
          <w:rFonts w:hint="eastAsia" w:ascii="仿宋_GB2312" w:eastAsia="仿宋_GB2312"/>
          <w:sz w:val="32"/>
          <w:szCs w:val="32"/>
        </w:rPr>
        <w:t>反映除上述项目以外的其他用于文化和旅游方面的支出。</w:t>
      </w:r>
    </w:p>
    <w:p>
      <w:pPr>
        <w:spacing w:line="600" w:lineRule="exact"/>
        <w:ind w:firstLine="64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.文化旅游体育与传媒支出（207）文物（02）文物保护（04）</w:t>
      </w:r>
      <w:r>
        <w:rPr>
          <w:rFonts w:hint="eastAsia" w:ascii="仿宋_GB2312" w:eastAsia="仿宋_GB2312"/>
          <w:sz w:val="32"/>
          <w:szCs w:val="32"/>
          <w:lang w:eastAsia="zh-CN"/>
        </w:rPr>
        <w:t>：反映</w:t>
      </w:r>
      <w:r>
        <w:rPr>
          <w:rFonts w:hint="eastAsia" w:ascii="仿宋_GB2312" w:eastAsia="仿宋_GB2312"/>
          <w:sz w:val="32"/>
          <w:szCs w:val="32"/>
        </w:rPr>
        <w:t>考古发掘及文化保护方面的支出。</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.文化旅游体育与传媒支出（207）广播电视（08）</w:t>
      </w:r>
      <w:r>
        <w:rPr>
          <w:rFonts w:hint="eastAsia" w:ascii="仿宋_GB2312" w:eastAsia="仿宋_GB2312"/>
          <w:sz w:val="32"/>
          <w:szCs w:val="32"/>
          <w:lang w:eastAsia="zh-CN"/>
        </w:rPr>
        <w:t>传输发射</w:t>
      </w:r>
      <w:r>
        <w:rPr>
          <w:rFonts w:hint="eastAsia" w:ascii="仿宋_GB2312" w:eastAsia="仿宋_GB2312"/>
          <w:sz w:val="32"/>
          <w:szCs w:val="32"/>
        </w:rPr>
        <w:t>（0</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eastAsia="zh-CN"/>
        </w:rPr>
        <w:t>反映</w:t>
      </w:r>
      <w:r>
        <w:rPr>
          <w:rFonts w:hint="eastAsia" w:ascii="仿宋_GB2312" w:eastAsia="仿宋_GB2312"/>
          <w:sz w:val="32"/>
          <w:szCs w:val="32"/>
        </w:rPr>
        <w:t>广播</w:t>
      </w:r>
      <w:r>
        <w:rPr>
          <w:rFonts w:hint="eastAsia" w:ascii="仿宋_GB2312" w:eastAsia="仿宋_GB2312"/>
          <w:sz w:val="32"/>
          <w:szCs w:val="32"/>
          <w:lang w:eastAsia="zh-CN"/>
        </w:rPr>
        <w:t>电视发射</w:t>
      </w:r>
      <w:r>
        <w:rPr>
          <w:rFonts w:hint="eastAsia" w:ascii="仿宋_GB2312" w:eastAsia="仿宋_GB2312"/>
          <w:sz w:val="32"/>
          <w:szCs w:val="32"/>
        </w:rPr>
        <w:t>、</w:t>
      </w:r>
      <w:r>
        <w:rPr>
          <w:rFonts w:hint="eastAsia" w:ascii="仿宋_GB2312" w:eastAsia="仿宋_GB2312"/>
          <w:sz w:val="32"/>
          <w:szCs w:val="32"/>
          <w:lang w:eastAsia="zh-CN"/>
        </w:rPr>
        <w:t>转播台站的支出。</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.文化旅游体育与传媒支出（207）广播电视（08）其他广播电视支出（99）</w:t>
      </w:r>
      <w:r>
        <w:rPr>
          <w:rFonts w:hint="eastAsia" w:ascii="仿宋_GB2312" w:eastAsia="仿宋_GB2312"/>
          <w:sz w:val="32"/>
          <w:szCs w:val="32"/>
          <w:lang w:eastAsia="zh-CN"/>
        </w:rPr>
        <w:t>：反映</w:t>
      </w:r>
      <w:r>
        <w:rPr>
          <w:rFonts w:hint="eastAsia" w:ascii="仿宋_GB2312" w:eastAsia="仿宋_GB2312"/>
          <w:sz w:val="32"/>
          <w:szCs w:val="32"/>
        </w:rPr>
        <w:t>除上述</w:t>
      </w:r>
      <w:r>
        <w:rPr>
          <w:rFonts w:hint="eastAsia" w:ascii="仿宋_GB2312" w:eastAsia="仿宋_GB2312"/>
          <w:sz w:val="32"/>
          <w:szCs w:val="32"/>
          <w:lang w:eastAsia="zh-CN"/>
        </w:rPr>
        <w:t>项目以</w:t>
      </w:r>
      <w:r>
        <w:rPr>
          <w:rFonts w:hint="eastAsia" w:ascii="仿宋_GB2312" w:eastAsia="仿宋_GB2312"/>
          <w:sz w:val="32"/>
          <w:szCs w:val="32"/>
        </w:rPr>
        <w:t>外的其他用于广播电视方面的支出。</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.文化旅游体育与传媒支出（207）其他文化体育与传媒支出（99）其他文化体育与传媒支出（99）：除上述文化体育与传媒支出外的其他文化体育与传媒方面的支出。</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.社会保障和就业支出（208）行政事业单位离退休（05）机关事业单位基本养老保险缴费支出（05）：指机关事业单位实施养老保险制度由单位缴纳的基本养老保险费支出。</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.社会保障和就业支出（208）其他社会保障和就业支出（99）其他社会保障和就业支出（01）：指除上述项目以外其他用于社会保障和就业方面的支出。</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卫生健康支出（210）行政事业单位医疗（11）行政单位医疗（01）：指财政部门集中安排的行政单位基本医疗保险缴费经费，未参加医疗保险的行政单位的公费医疗经费，按国家规定享受离休人员、红军老战士待遇人员的医疗经费。</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卫生健康支出（210）行政事业单位医疗（11）事业单位医疗支出（02）：反映财政部门安排的事业单位基本医疗保险缴费经费，未参加医疗保险的事业单位的公费医疗缴费经费，按国家规定享受离休人员待遇的医疗经费。</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.卫生健康支出（210）行政事业单位医疗（11）公务员医疗补助（03）：指财政部门集中安排的公务员医疗补助经费。</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城乡社区支出（21</w:t>
      </w:r>
      <w:r>
        <w:rPr>
          <w:rFonts w:hint="eastAsia" w:ascii="仿宋_GB2312" w:eastAsia="仿宋_GB2312"/>
          <w:sz w:val="32"/>
          <w:szCs w:val="32"/>
          <w:lang w:val="en-US" w:eastAsia="zh-CN"/>
        </w:rPr>
        <w:t>2</w:t>
      </w:r>
      <w:r>
        <w:rPr>
          <w:rFonts w:hint="eastAsia" w:ascii="仿宋_GB2312" w:eastAsia="仿宋_GB2312"/>
          <w:sz w:val="32"/>
          <w:szCs w:val="32"/>
        </w:rPr>
        <w:t>）国有土地使用权出让收入安排的支出（</w:t>
      </w:r>
      <w:r>
        <w:rPr>
          <w:rFonts w:hint="eastAsia" w:ascii="仿宋_GB2312" w:eastAsia="仿宋_GB2312"/>
          <w:sz w:val="32"/>
          <w:szCs w:val="32"/>
          <w:lang w:val="en-US" w:eastAsia="zh-CN"/>
        </w:rPr>
        <w:t>08</w:t>
      </w:r>
      <w:r>
        <w:rPr>
          <w:rFonts w:hint="eastAsia" w:ascii="仿宋_GB2312" w:eastAsia="仿宋_GB2312"/>
          <w:sz w:val="32"/>
          <w:szCs w:val="32"/>
        </w:rPr>
        <w:t>）其他国有土地使用权出让收入安排的支出（</w:t>
      </w:r>
      <w:r>
        <w:rPr>
          <w:rFonts w:hint="eastAsia" w:ascii="仿宋_GB2312" w:eastAsia="仿宋_GB2312"/>
          <w:sz w:val="32"/>
          <w:szCs w:val="32"/>
          <w:lang w:val="en-US" w:eastAsia="zh-CN"/>
        </w:rPr>
        <w:t>99</w:t>
      </w:r>
      <w:r>
        <w:rPr>
          <w:rFonts w:hint="eastAsia" w:ascii="仿宋_GB2312" w:eastAsia="仿宋_GB2312"/>
          <w:sz w:val="32"/>
          <w:szCs w:val="32"/>
        </w:rPr>
        <w:t>）：</w:t>
      </w:r>
    </w:p>
    <w:p>
      <w:pPr>
        <w:spacing w:line="600" w:lineRule="exact"/>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23.</w:t>
      </w:r>
      <w:r>
        <w:rPr>
          <w:rFonts w:hint="eastAsia" w:ascii="仿宋_GB2312" w:eastAsia="仿宋_GB2312"/>
          <w:sz w:val="32"/>
          <w:szCs w:val="32"/>
        </w:rPr>
        <w:t>农林水支出</w:t>
      </w:r>
      <w:r>
        <w:rPr>
          <w:rFonts w:hint="eastAsia" w:ascii="仿宋_GB2312" w:eastAsia="仿宋_GB2312"/>
          <w:sz w:val="32"/>
          <w:szCs w:val="32"/>
          <w:lang w:eastAsia="zh-CN"/>
        </w:rPr>
        <w:t>（</w:t>
      </w:r>
      <w:r>
        <w:rPr>
          <w:rFonts w:hint="eastAsia" w:ascii="仿宋_GB2312" w:eastAsia="仿宋_GB2312"/>
          <w:sz w:val="32"/>
          <w:szCs w:val="32"/>
          <w:lang w:val="en-US" w:eastAsia="zh-CN"/>
        </w:rPr>
        <w:t>213）扶贫（05）其他扶贫支出（99)：反映其他用于扶贫方面的支出。</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24</w:t>
      </w:r>
      <w:r>
        <w:rPr>
          <w:rFonts w:hint="eastAsia" w:ascii="仿宋_GB2312" w:eastAsia="仿宋_GB2312"/>
          <w:sz w:val="32"/>
          <w:szCs w:val="32"/>
        </w:rPr>
        <w:t>.住房保障支出（221）住房改革支出（02）住房公积金（01）：反映行政事业单位按人力资源和社会保障部、财政部规定的基本工资和津贴补贴以及规定比例为职工缴纳的住房公积金。</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25</w:t>
      </w:r>
      <w:r>
        <w:rPr>
          <w:rFonts w:hint="eastAsia" w:ascii="仿宋_GB2312" w:eastAsia="仿宋_GB2312"/>
          <w:sz w:val="32"/>
          <w:szCs w:val="32"/>
        </w:rPr>
        <w:t>.基本支出：指为保障机构正常运转、完成日常工作任务而发生的人员支出和公用支出。</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26</w:t>
      </w:r>
      <w:r>
        <w:rPr>
          <w:rFonts w:hint="eastAsia" w:ascii="仿宋_GB2312" w:eastAsia="仿宋_GB2312"/>
          <w:sz w:val="32"/>
          <w:szCs w:val="32"/>
        </w:rPr>
        <w:t xml:space="preserve">.项目支出：指在基本支出之外为完成特定行政任务和事业发展目标所发生的支出。 </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sz w:val="32"/>
          <w:szCs w:val="32"/>
          <w:lang w:val="en-US" w:eastAsia="zh-CN"/>
        </w:rPr>
        <w:t>28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pageBreakBefore w:val="0"/>
        <w:kinsoku/>
        <w:wordWrap/>
        <w:overflowPunct/>
        <w:topLinePunct w:val="0"/>
        <w:bidi w:val="0"/>
        <w:spacing w:line="560" w:lineRule="exact"/>
        <w:ind w:firstLine="640" w:firstLineChars="200"/>
        <w:textAlignment w:val="auto"/>
        <w:rPr>
          <w:rFonts w:ascii="仿宋_GB2312" w:eastAsia="仿宋_GB2312" w:cs="黑体"/>
          <w:color w:val="auto"/>
          <w:sz w:val="32"/>
          <w:szCs w:val="32"/>
          <w:highlight w:val="none"/>
        </w:rPr>
      </w:pPr>
    </w:p>
    <w:p>
      <w:pPr>
        <w:pageBreakBefore w:val="0"/>
        <w:kinsoku/>
        <w:wordWrap/>
        <w:overflowPunct/>
        <w:topLinePunct w:val="0"/>
        <w:bidi w:val="0"/>
        <w:spacing w:line="560" w:lineRule="exact"/>
        <w:ind w:firstLine="643" w:firstLineChars="200"/>
        <w:textAlignment w:val="auto"/>
        <w:rPr>
          <w:rFonts w:ascii="仿宋" w:hAnsi="仿宋" w:eastAsia="仿宋"/>
          <w:b/>
          <w:color w:val="auto"/>
          <w:sz w:val="32"/>
          <w:szCs w:val="32"/>
          <w:highlight w:val="none"/>
        </w:rPr>
      </w:pPr>
    </w:p>
    <w:p>
      <w:pPr>
        <w:pageBreakBefore w:val="0"/>
        <w:kinsoku/>
        <w:wordWrap/>
        <w:overflowPunct/>
        <w:topLinePunct w:val="0"/>
        <w:bidi w:val="0"/>
        <w:spacing w:line="560" w:lineRule="exact"/>
        <w:jc w:val="center"/>
        <w:textAlignment w:val="auto"/>
        <w:outlineLvl w:val="0"/>
        <w:rPr>
          <w:rStyle w:val="28"/>
          <w:rFonts w:hint="eastAsia" w:ascii="黑体" w:hAnsi="黑体" w:eastAsia="黑体"/>
          <w:b w:val="0"/>
          <w:color w:val="auto"/>
          <w:highlight w:val="none"/>
          <w:lang w:eastAsia="zh-CN"/>
        </w:rPr>
      </w:pPr>
      <w:bookmarkStart w:id="57" w:name="_Toc15377226"/>
      <w:r>
        <w:rPr>
          <w:rFonts w:ascii="宋体"/>
          <w:b/>
          <w:color w:val="auto"/>
          <w:sz w:val="44"/>
          <w:szCs w:val="44"/>
          <w:highlight w:val="none"/>
        </w:rPr>
        <w:br w:type="page"/>
      </w:r>
      <w:bookmarkStart w:id="58" w:name="_Toc15396614"/>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58"/>
    </w:p>
    <w:p>
      <w:pPr>
        <w:keepNext w:val="0"/>
        <w:keepLines w:val="0"/>
        <w:pageBreakBefore w:val="0"/>
        <w:kinsoku/>
        <w:wordWrap/>
        <w:overflowPunct/>
        <w:topLinePunct w:val="0"/>
        <w:autoSpaceDE/>
        <w:autoSpaceDN/>
        <w:bidi w:val="0"/>
        <w:spacing w:line="560" w:lineRule="exact"/>
        <w:jc w:val="center"/>
        <w:textAlignment w:val="auto"/>
        <w:rPr>
          <w:rFonts w:hint="eastAsia" w:eastAsia="方正小标宋简体" w:cs="方正小标宋简体"/>
          <w:sz w:val="44"/>
          <w:szCs w:val="44"/>
          <w:shd w:val="clear" w:color="auto" w:fill="FFFFFF"/>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eastAsia="方正小标宋简体" w:cs="方正小标宋简体"/>
          <w:sz w:val="44"/>
          <w:szCs w:val="44"/>
          <w:shd w:val="clear" w:color="auto" w:fill="FFFFFF"/>
          <w:lang w:eastAsia="zh-CN"/>
        </w:rPr>
      </w:pPr>
      <w:r>
        <w:rPr>
          <w:rFonts w:hint="eastAsia" w:eastAsia="方正小标宋简体" w:cs="方正小标宋简体"/>
          <w:sz w:val="44"/>
          <w:szCs w:val="44"/>
          <w:shd w:val="clear" w:color="auto" w:fill="FFFFFF"/>
          <w:lang w:eastAsia="zh-CN"/>
        </w:rPr>
        <w:t>遂宁市安居区文化广播电视和旅游局</w:t>
      </w:r>
    </w:p>
    <w:p>
      <w:pPr>
        <w:keepNext w:val="0"/>
        <w:keepLines w:val="0"/>
        <w:pageBreakBefore w:val="0"/>
        <w:kinsoku/>
        <w:wordWrap/>
        <w:overflowPunct/>
        <w:topLinePunct w:val="0"/>
        <w:autoSpaceDE/>
        <w:autoSpaceDN/>
        <w:bidi w:val="0"/>
        <w:spacing w:line="560" w:lineRule="exact"/>
        <w:jc w:val="center"/>
        <w:textAlignment w:val="auto"/>
        <w:rPr>
          <w:rFonts w:eastAsia="方正小标宋简体"/>
          <w:sz w:val="44"/>
          <w:szCs w:val="44"/>
          <w:shd w:val="clear" w:color="auto" w:fill="FFFFFF"/>
        </w:rPr>
      </w:pPr>
      <w:r>
        <w:rPr>
          <w:rFonts w:hint="eastAsia" w:eastAsia="方正小标宋简体" w:cs="方正小标宋简体"/>
          <w:sz w:val="44"/>
          <w:szCs w:val="44"/>
          <w:shd w:val="clear" w:color="auto" w:fill="FFFFFF"/>
          <w:lang w:eastAsia="zh-CN"/>
        </w:rPr>
        <w:t>关于</w:t>
      </w:r>
      <w:r>
        <w:rPr>
          <w:rFonts w:hint="eastAsia" w:eastAsia="方正小标宋简体" w:cs="方正小标宋简体"/>
          <w:sz w:val="44"/>
          <w:szCs w:val="44"/>
          <w:shd w:val="clear" w:color="auto" w:fill="FFFFFF"/>
        </w:rPr>
        <w:t>202</w:t>
      </w:r>
      <w:r>
        <w:rPr>
          <w:rFonts w:hint="eastAsia" w:eastAsia="方正小标宋简体" w:cs="方正小标宋简体"/>
          <w:sz w:val="44"/>
          <w:szCs w:val="44"/>
          <w:shd w:val="clear" w:color="auto" w:fill="FFFFFF"/>
          <w:lang w:val="en-US" w:eastAsia="zh-CN"/>
        </w:rPr>
        <w:t>2</w:t>
      </w:r>
      <w:r>
        <w:rPr>
          <w:rFonts w:hint="eastAsia" w:eastAsia="方正小标宋简体" w:cs="方正小标宋简体"/>
          <w:sz w:val="44"/>
          <w:szCs w:val="44"/>
          <w:shd w:val="clear" w:color="auto" w:fill="FFFFFF"/>
        </w:rPr>
        <w:t>年区级部门整体支出绩效</w:t>
      </w:r>
      <w:r>
        <w:rPr>
          <w:rFonts w:hint="eastAsia" w:eastAsia="方正小标宋简体" w:cs="方正小标宋简体"/>
          <w:sz w:val="44"/>
          <w:szCs w:val="44"/>
          <w:shd w:val="clear" w:color="auto" w:fill="FFFFFF"/>
          <w:lang w:eastAsia="zh-CN"/>
        </w:rPr>
        <w:t>的</w:t>
      </w:r>
      <w:r>
        <w:rPr>
          <w:rFonts w:hint="eastAsia" w:eastAsia="方正小标宋简体" w:cs="方正小标宋简体"/>
          <w:sz w:val="44"/>
          <w:szCs w:val="44"/>
          <w:shd w:val="clear" w:color="auto" w:fill="FFFFFF"/>
        </w:rPr>
        <w:t>报告</w:t>
      </w:r>
    </w:p>
    <w:p>
      <w:pPr>
        <w:keepNext w:val="0"/>
        <w:keepLines w:val="0"/>
        <w:pageBreakBefore w:val="0"/>
        <w:kinsoku/>
        <w:wordWrap/>
        <w:overflowPunct/>
        <w:topLinePunct w:val="0"/>
        <w:autoSpaceDE/>
        <w:autoSpaceDN/>
        <w:bidi w:val="0"/>
        <w:spacing w:line="560" w:lineRule="exact"/>
        <w:jc w:val="center"/>
        <w:textAlignment w:val="auto"/>
        <w:rPr>
          <w:rFonts w:eastAsia="楷体_GB2312"/>
          <w:shd w:val="clear" w:color="auto" w:fill="FFFFFF"/>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区委编办核定区文化广电旅游局机关内设机构4个，分别为办公室、文化旅游股、广电事业股、市场管理股（安全监督股）。下属事业单位</w:t>
      </w:r>
      <w:r>
        <w:rPr>
          <w:rFonts w:hint="eastAsia" w:ascii="仿宋_GB2312" w:hAnsi="仿宋_GB2312" w:eastAsia="仿宋_GB2312" w:cs="仿宋_GB2312"/>
          <w:color w:val="000000"/>
          <w:kern w:val="0"/>
          <w:sz w:val="32"/>
          <w:szCs w:val="32"/>
          <w:shd w:val="clear" w:color="auto" w:fill="FFFFFF"/>
          <w:lang w:val="en-US" w:eastAsia="zh-CN"/>
        </w:rPr>
        <w:t>8</w:t>
      </w:r>
      <w:r>
        <w:rPr>
          <w:rFonts w:hint="eastAsia" w:ascii="仿宋_GB2312" w:hAnsi="仿宋_GB2312" w:eastAsia="仿宋_GB2312" w:cs="仿宋_GB2312"/>
          <w:color w:val="000000"/>
          <w:kern w:val="0"/>
          <w:sz w:val="32"/>
          <w:szCs w:val="32"/>
          <w:shd w:val="clear" w:color="auto" w:fill="FFFFFF"/>
          <w:lang w:val="zh-CN"/>
        </w:rPr>
        <w:t>个，分别为区文化市场综合行政执法大队、区文化艺术发展中心、区文化馆、区图书馆、区博物馆（文物管理所）、区广播电视发射台、区少儿图书馆和区美术馆。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（二）机构职能</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1.拟定文化、文物和博物馆、广播电视、旅游相关的政策措施和规范性文件并组织实施，负责本部门依法行政工作。</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2.组织推动全区文化、文物和博物馆、广播电视事业、文化产业和旅游业发展，拟定发展规划并组织实施，推进文化、文物和博物馆、广播电视和旅游体制机制改革, 推进文化和旅游融合发展。</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3.管理全区重大文化、文物和博物馆、广播电视和旅游活动，指导全区重点文化、文物和博物馆、广播电视和旅游设施建设，组织全区文化旅游整体形象推广，拟定旅游市场开发战略并组织实施，推进全域旅游。</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4.指导管理文艺事业，推动艺术创作生产，扶持体现社会主义核心价值观、具有导向性代表性示范性的文艺作品，推动各门类艺术、各艺术品种发展，推动中华优秀传统文化和巴蜀文化传承发展。</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5.负责公共文化事业发展，推进全区公共文化服务体系建设和旅游公共服务建设，深入实施文化惠民工程，统筹推进基本公共服务标准化、均等化。</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6.推进文化广播电视和旅游科技创新发展，推进文化广播电视和旅游行业信息化、标准化建设。</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7.负责非物质文化遗产保护，推动非物质文化遗产的保护、传承、普及、弘扬和振兴。</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8.组织实施文化文物广播电视和旅游资源普查、挖掘、保护与利用工作，促进文化产业和旅游业发展。</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9.指导文化旅游、广播电视市场发展，对文化旅游、广播电视市场经营进行行业监管，推进文化旅游、广播电视行业信用体系建设，依法规范文化旅游、广播电视市场。指导和监督社会文物管理工作。</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10.统筹全区文化市场综合执法，组织查处全区性、跨区域文化、文物、广播电视、旅游等市场的违法行为，督查督办大案要案，维护市场秩序。</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11.负责管理文化广播电视和旅游对外交流合作与宣传推广工作，代表安居区签订对外文化、旅游合作协定，组织文化广播电视和旅游对外及对港澳台交流活动，推动安居区文化旅游品牌建设。</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12.监督管理、审核广播电视和网络视听节目的内容及质量。指导、监督广播电视广告播放。指导、监督实施行业技术标准。负责广播电视节目传输覆盖、监测和安全播出的监督管理。负责对各类广播电视机构进行业务指导和行业监管，会同有关部门对网络视听节目服务机构进行管理。负责推进广播电视与新媒体新技术新业态融合发展，推进广电网与电信网、互联网三网融合。</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13.负责职责范围内的安全生产和职业健康、生态环境保护、审批服务便民化、市场监管、依法治理等工作。</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14.完成区委和区政府交办的其他任务。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（三）人员概况</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202</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rPr>
        <w:t>年底，区文化广电旅游局在职职工4</w:t>
      </w:r>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lang w:val="zh-CN"/>
        </w:rPr>
        <w:t>人，退休职工3</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zh-CN"/>
        </w:rPr>
        <w:t>人。</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（一）部门财政资金收入情况</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区文化广电旅游局202</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rPr>
        <w:t>年本年收入合计4318.83万元。其中,一般公共预算财政拨款收入2669.99万元，占总收入的</w:t>
      </w:r>
      <w:r>
        <w:rPr>
          <w:rFonts w:hint="eastAsia" w:ascii="仿宋_GB2312" w:hAnsi="仿宋_GB2312" w:eastAsia="仿宋_GB2312" w:cs="仿宋_GB2312"/>
          <w:color w:val="000000"/>
          <w:kern w:val="0"/>
          <w:sz w:val="32"/>
          <w:szCs w:val="32"/>
          <w:shd w:val="clear" w:color="auto" w:fill="FFFFFF"/>
          <w:lang w:val="en-US" w:eastAsia="zh-CN"/>
        </w:rPr>
        <w:t>61.83</w:t>
      </w:r>
      <w:r>
        <w:rPr>
          <w:rFonts w:hint="eastAsia" w:ascii="仿宋_GB2312" w:hAnsi="仿宋_GB2312" w:eastAsia="仿宋_GB2312" w:cs="仿宋_GB2312"/>
          <w:color w:val="000000"/>
          <w:kern w:val="0"/>
          <w:sz w:val="32"/>
          <w:szCs w:val="32"/>
          <w:shd w:val="clear" w:color="auto" w:fill="FFFFFF"/>
          <w:lang w:val="zh-CN"/>
        </w:rPr>
        <w:t>%；政府性基金预算财政拨款收入1642.64万元，占总收入的</w:t>
      </w:r>
      <w:r>
        <w:rPr>
          <w:rFonts w:hint="eastAsia" w:ascii="仿宋_GB2312" w:hAnsi="仿宋_GB2312" w:eastAsia="仿宋_GB2312" w:cs="仿宋_GB2312"/>
          <w:color w:val="000000"/>
          <w:kern w:val="0"/>
          <w:sz w:val="32"/>
          <w:szCs w:val="32"/>
          <w:shd w:val="clear" w:color="auto" w:fill="FFFFFF"/>
          <w:lang w:val="en-US" w:eastAsia="zh-CN"/>
        </w:rPr>
        <w:t>38.03</w:t>
      </w:r>
      <w:r>
        <w:rPr>
          <w:rFonts w:hint="eastAsia" w:ascii="仿宋_GB2312" w:hAnsi="仿宋_GB2312" w:eastAsia="仿宋_GB2312" w:cs="仿宋_GB2312"/>
          <w:color w:val="000000"/>
          <w:kern w:val="0"/>
          <w:sz w:val="32"/>
          <w:szCs w:val="32"/>
          <w:shd w:val="clear" w:color="auto" w:fill="FFFFFF"/>
          <w:lang w:val="zh-CN"/>
        </w:rPr>
        <w:t>%；国有资本经营预算财政拨款收入0万元，占总收入的0%；上级补助收入0万元，占总收入的0%；事业收入0万元，占总收入的0%；经营收入0万元，占总收入的0%；经营收入0万元，占总收入的0%；附属单位上缴收入0万元，占总收入的0%；其他收入</w:t>
      </w:r>
      <w:r>
        <w:rPr>
          <w:rFonts w:hint="eastAsia" w:ascii="仿宋_GB2312" w:hAnsi="仿宋_GB2312" w:eastAsia="仿宋_GB2312" w:cs="仿宋_GB2312"/>
          <w:color w:val="000000"/>
          <w:kern w:val="0"/>
          <w:sz w:val="32"/>
          <w:szCs w:val="32"/>
          <w:shd w:val="clear" w:color="auto" w:fill="FFFFFF"/>
          <w:lang w:val="en-US" w:eastAsia="zh-CN"/>
        </w:rPr>
        <w:t>6.2</w:t>
      </w:r>
      <w:r>
        <w:rPr>
          <w:rFonts w:hint="eastAsia" w:ascii="仿宋_GB2312" w:hAnsi="仿宋_GB2312" w:eastAsia="仿宋_GB2312" w:cs="仿宋_GB2312"/>
          <w:color w:val="000000"/>
          <w:kern w:val="0"/>
          <w:sz w:val="32"/>
          <w:szCs w:val="32"/>
          <w:shd w:val="clear" w:color="auto" w:fill="FFFFFF"/>
          <w:lang w:val="zh-CN"/>
        </w:rPr>
        <w:t>万元，占总收入的0.</w:t>
      </w:r>
      <w:r>
        <w:rPr>
          <w:rFonts w:hint="eastAsia" w:ascii="仿宋_GB2312" w:hAnsi="仿宋_GB2312" w:eastAsia="仿宋_GB2312" w:cs="仿宋_GB2312"/>
          <w:color w:val="000000"/>
          <w:kern w:val="0"/>
          <w:sz w:val="32"/>
          <w:szCs w:val="32"/>
          <w:shd w:val="clear" w:color="auto" w:fill="FFFFFF"/>
          <w:lang w:val="en-US" w:eastAsia="zh-CN"/>
        </w:rPr>
        <w:t>14</w:t>
      </w:r>
      <w:r>
        <w:rPr>
          <w:rFonts w:hint="eastAsia" w:ascii="仿宋_GB2312" w:hAnsi="仿宋_GB2312" w:eastAsia="仿宋_GB2312" w:cs="仿宋_GB2312"/>
          <w:color w:val="000000"/>
          <w:kern w:val="0"/>
          <w:sz w:val="32"/>
          <w:szCs w:val="32"/>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（二）部门财政资金支出情况</w:t>
      </w:r>
    </w:p>
    <w:p>
      <w:pPr>
        <w:keepNext w:val="0"/>
        <w:keepLines w:val="0"/>
        <w:pageBreakBefore w:val="0"/>
        <w:widowControl w:val="0"/>
        <w:numPr>
          <w:ilvl w:val="0"/>
          <w:numId w:val="0"/>
        </w:numPr>
        <w:kinsoku/>
        <w:wordWrap w:val="0"/>
        <w:overflowPunct/>
        <w:topLinePunct/>
        <w:autoSpaceDE/>
        <w:autoSpaceDN/>
        <w:bidi w:val="0"/>
        <w:adjustRightInd w:val="0"/>
        <w:snapToGrid/>
        <w:spacing w:line="560"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2022年本年支出合计4318.83万元。其中，基本支出839.98万元，占19.45%；项目支出3478.85万元，占80.55%；上缴上级支出0万元，占0%；经营支出0万元，占0%；对附属单位补助支出0万元，占0%。</w:t>
      </w:r>
    </w:p>
    <w:p>
      <w:pPr>
        <w:keepNext w:val="0"/>
        <w:keepLines w:val="0"/>
        <w:pageBreakBefore w:val="0"/>
        <w:widowControl w:val="0"/>
        <w:numPr>
          <w:ilvl w:val="0"/>
          <w:numId w:val="0"/>
        </w:numPr>
        <w:kinsoku/>
        <w:wordWrap w:val="0"/>
        <w:overflowPunct/>
        <w:topLinePunct/>
        <w:autoSpaceDE/>
        <w:autoSpaceDN/>
        <w:bidi w:val="0"/>
        <w:adjustRightInd w:val="0"/>
        <w:snapToGrid/>
        <w:spacing w:line="560"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2022年基本支出839.98万元。其中，人员经费752.93万元，主要用于基本工资、津贴补贴、绩效工资、奖金、伙食补助费、机关事业单位基本养老保险缴费、职业年金缴费、住房公积金等方面支出；公用经费87.05万元，主要用于办公费、差旅费、三公经费、维修（护）费、其他商品和服务支出等方面的支出。</w:t>
      </w:r>
    </w:p>
    <w:p>
      <w:pPr>
        <w:keepNext w:val="0"/>
        <w:keepLines w:val="0"/>
        <w:pageBreakBefore w:val="0"/>
        <w:widowControl w:val="0"/>
        <w:kinsoku/>
        <w:wordWrap w:val="0"/>
        <w:overflowPunct/>
        <w:topLinePunct/>
        <w:autoSpaceDE/>
        <w:autoSpaceDN/>
        <w:bidi w:val="0"/>
        <w:adjustRightInd w:val="0"/>
        <w:snapToGrid/>
        <w:spacing w:line="560"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en-US" w:eastAsia="zh-CN"/>
        </w:rPr>
        <w:t>2022年度项目支出3478.85万元，主要用于文化旅游市场执法监管及法治宣传、图书馆、文化馆（站）免费开放、群众文化活动、广播电视运行维护、乡村振兴、文化旅游发展等专项资金支出。</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（一）部门预算管理</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是严格按照区财政的要求及时组织财务人员进行预算的编制和公开，及时对本年度相应用款进行清理和处理，做到账账相符、账实相符、账证相符。二是按照先有预算再有支出的原则，及时处理相关事务；同时，对项目绩效目标及时进行梳理、分析，按时上报相关报表，也随时将资料备齐做好迎检准备。三是做好项目资金结余结转备案，加强项目推进的督促力度。</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1.预算编制及绩效目标制定</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区文化广电旅游局全面贯彻区财政局关于编制2022年部门预算的通知精神，将过更加艰苦的日子作为部门预算管理长期坚持的基本方针，厉行节约办一切事业。按照“能省则省、能简则简”的原则，在确保部门正常运转需要的基础上，从严从紧编制支出预算，对非重点、非刚性的一般性支出项目可压尽压、应压尽压，对可干可不干的项目，一律未安排；严格支出管理，从严控制一般性支出规模，从紧核定“三公”经费预算，加强对相关支出事项必要性、合理性的审核，对无实质内容的公务活动一律未安排预算。对每个预算项目编制详细、合理、可行的绩效目标，不浪费一分钱。</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2.预算执行情况</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2022年区文化广电旅游局严格按照年初预算执行支出控制，并对收到的无偿资金及临时增加项目预算进行了预算调整，调整的预算项目预算管理标准不变，仍按年初预算项目管理要求执行。  </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3.预算完成情况</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2022年区文化广电旅游局预算完成情况良好，严格按照预算项目资金控制支出，无违规记录。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（二）结果应用情况</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我单位绩效管理严格按照上级部门要求，开展自评工作，对评价结果及时反馈上报并按要求进行公开。</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（一）评价结论</w:t>
      </w:r>
      <w:r>
        <w:rPr>
          <w:rFonts w:hint="eastAsia" w:ascii="楷体" w:hAnsi="楷体" w:eastAsia="楷体" w:cs="楷体"/>
          <w:color w:val="000000"/>
          <w:kern w:val="0"/>
          <w:sz w:val="32"/>
          <w:szCs w:val="32"/>
          <w:shd w:val="clear" w:color="auto" w:fill="FFFFFF"/>
          <w:lang w:val="en-US" w:eastAsia="zh-CN"/>
        </w:rPr>
        <w:t>（附自评表）</w:t>
      </w:r>
    </w:p>
    <w:p>
      <w:pPr>
        <w:keepNext w:val="0"/>
        <w:keepLines w:val="0"/>
        <w:pageBreakBefore w:val="0"/>
        <w:widowControl/>
        <w:kinsoku/>
        <w:overflowPunct/>
        <w:autoSpaceDE/>
        <w:autoSpaceDN/>
        <w:bidi w:val="0"/>
        <w:adjustRightInd w:val="0"/>
        <w:snapToGrid w:val="0"/>
        <w:spacing w:line="560" w:lineRule="exact"/>
        <w:ind w:firstLine="560" w:firstLineChars="200"/>
        <w:contextualSpacing/>
        <w:jc w:val="left"/>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zh-CN"/>
        </w:rPr>
        <w:t>我单位202</w:t>
      </w:r>
      <w:r>
        <w:rPr>
          <w:rFonts w:hint="eastAsia" w:ascii="仿宋_GB2312" w:hAnsi="仿宋_GB2312" w:eastAsia="仿宋_GB2312" w:cs="仿宋_GB2312"/>
          <w:color w:val="000000"/>
          <w:kern w:val="0"/>
          <w:sz w:val="28"/>
          <w:szCs w:val="28"/>
          <w:shd w:val="clear" w:color="auto" w:fill="FFFFFF"/>
          <w:lang w:val="en-US" w:eastAsia="zh-CN"/>
        </w:rPr>
        <w:t>2</w:t>
      </w:r>
      <w:r>
        <w:rPr>
          <w:rFonts w:hint="eastAsia" w:ascii="仿宋_GB2312" w:hAnsi="仿宋_GB2312" w:eastAsia="仿宋_GB2312" w:cs="仿宋_GB2312"/>
          <w:color w:val="000000"/>
          <w:kern w:val="0"/>
          <w:sz w:val="28"/>
          <w:szCs w:val="28"/>
          <w:shd w:val="clear" w:color="auto" w:fill="FFFFFF"/>
          <w:lang w:val="zh-CN"/>
        </w:rPr>
        <w:t>年区级部门整体支出绩效自评得分</w:t>
      </w:r>
      <w:r>
        <w:rPr>
          <w:rFonts w:hint="eastAsia" w:ascii="仿宋_GB2312" w:hAnsi="仿宋_GB2312" w:eastAsia="仿宋_GB2312" w:cs="仿宋_GB2312"/>
          <w:color w:val="000000"/>
          <w:kern w:val="0"/>
          <w:sz w:val="28"/>
          <w:szCs w:val="28"/>
          <w:shd w:val="clear" w:color="auto" w:fill="FFFFFF"/>
          <w:lang w:val="en-US" w:eastAsia="zh-CN"/>
        </w:rPr>
        <w:t>97.8分，2022年预算</w:t>
      </w:r>
      <w:r>
        <w:rPr>
          <w:rFonts w:hint="eastAsia" w:ascii="仿宋_GB2312" w:hAnsi="仿宋_GB2312" w:eastAsia="仿宋_GB2312" w:cs="仿宋_GB2312"/>
          <w:color w:val="000000"/>
          <w:kern w:val="0"/>
          <w:sz w:val="28"/>
          <w:szCs w:val="28"/>
          <w:shd w:val="clear" w:color="auto" w:fill="FFFFFF"/>
          <w:lang w:val="zh-CN"/>
        </w:rPr>
        <w:t>执行情况良好，无不良记录及违规违纪行为。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 w:val="32"/>
          <w:szCs w:val="32"/>
          <w:shd w:val="clear" w:color="auto" w:fill="FFFFFF"/>
          <w:lang w:val="zh-CN"/>
        </w:rPr>
        <w:t>（二）存在问题</w:t>
      </w:r>
    </w:p>
    <w:p>
      <w:pPr>
        <w:keepNext w:val="0"/>
        <w:keepLines w:val="0"/>
        <w:pageBreakBefore w:val="0"/>
        <w:widowControl/>
        <w:kinsoku/>
        <w:overflowPunct/>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无。</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（三）改进建议</w:t>
      </w:r>
    </w:p>
    <w:p>
      <w:pPr>
        <w:pStyle w:val="5"/>
        <w:keepNext w:val="0"/>
        <w:keepLines w:val="0"/>
        <w:pageBreakBefore w:val="0"/>
        <w:widowControl w:val="0"/>
        <w:kinsoku/>
        <w:wordWrap w:val="0"/>
        <w:overflowPunct/>
        <w:topLinePunct/>
        <w:autoSpaceDE/>
        <w:autoSpaceDN/>
        <w:bidi w:val="0"/>
        <w:adjustRightInd w:val="0"/>
        <w:snapToGrid/>
        <w:spacing w:before="0" w:line="560" w:lineRule="exact"/>
        <w:ind w:left="0" w:leftChars="0" w:firstLine="640" w:firstLineChars="200"/>
        <w:jc w:val="both"/>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无。</w:t>
      </w:r>
    </w:p>
    <w:p>
      <w:pPr>
        <w:pStyle w:val="5"/>
        <w:keepNext w:val="0"/>
        <w:keepLines w:val="0"/>
        <w:pageBreakBefore w:val="0"/>
        <w:widowControl w:val="0"/>
        <w:kinsoku/>
        <w:wordWrap w:val="0"/>
        <w:overflowPunct/>
        <w:topLinePunct/>
        <w:autoSpaceDE/>
        <w:autoSpaceDN/>
        <w:bidi w:val="0"/>
        <w:adjustRightInd w:val="0"/>
        <w:snapToGrid/>
        <w:spacing w:before="0" w:line="560" w:lineRule="exact"/>
        <w:ind w:left="0" w:leftChars="0" w:firstLine="640" w:firstLineChars="200"/>
        <w:jc w:val="both"/>
        <w:textAlignment w:val="auto"/>
        <w:rPr>
          <w:rFonts w:hint="eastAsia" w:ascii="仿宋_GB2312" w:hAnsi="宋体" w:eastAsia="仿宋_GB2312" w:cs="宋体"/>
          <w:color w:val="000000"/>
          <w:kern w:val="0"/>
          <w:sz w:val="32"/>
          <w:szCs w:val="32"/>
          <w:shd w:val="clear" w:color="auto" w:fill="FFFFFF"/>
          <w:lang w:val="en-US" w:eastAsia="zh-CN" w:bidi="ar-SA"/>
        </w:rPr>
      </w:pPr>
    </w:p>
    <w:p>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hint="eastAsia" w:ascii="仿宋" w:hAnsi="仿宋" w:eastAsia="仿宋"/>
          <w:b/>
          <w:color w:val="auto"/>
          <w:sz w:val="32"/>
          <w:szCs w:val="32"/>
          <w:highlight w:val="none"/>
          <w:lang w:val="zh-CN" w:eastAsia="zh-CN"/>
        </w:rPr>
      </w:pPr>
    </w:p>
    <w:p>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hint="eastAsia" w:ascii="仿宋" w:hAnsi="仿宋" w:eastAsia="仿宋"/>
          <w:b/>
          <w:color w:val="auto"/>
          <w:sz w:val="32"/>
          <w:szCs w:val="32"/>
          <w:highlight w:val="none"/>
          <w:lang w:val="zh-CN" w:eastAsia="zh-CN"/>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sectPr>
          <w:footerReference r:id="rId6" w:type="first"/>
          <w:footerReference r:id="rId5" w:type="default"/>
          <w:pgSz w:w="11906" w:h="16838"/>
          <w:pgMar w:top="1440" w:right="1474" w:bottom="1440" w:left="1587" w:header="851" w:footer="992" w:gutter="0"/>
          <w:pgNumType w:fmt="decimal" w:start="1"/>
          <w:cols w:space="0" w:num="1"/>
          <w:rtlGutter w:val="0"/>
          <w:docGrid w:type="lines" w:linePitch="312" w:charSpace="0"/>
        </w:sectPr>
      </w:pPr>
    </w:p>
    <w:tbl>
      <w:tblPr>
        <w:tblStyle w:val="15"/>
        <w:tblW w:w="139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5"/>
        <w:gridCol w:w="925"/>
        <w:gridCol w:w="1239"/>
        <w:gridCol w:w="751"/>
        <w:gridCol w:w="3489"/>
        <w:gridCol w:w="5211"/>
        <w:gridCol w:w="750"/>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935" w:type="dxa"/>
            <w:gridSpan w:val="8"/>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绩效指标</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指标分值</w:t>
            </w:r>
          </w:p>
        </w:tc>
        <w:tc>
          <w:tcPr>
            <w:tcW w:w="3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指标解释</w:t>
            </w:r>
          </w:p>
        </w:tc>
        <w:tc>
          <w:tcPr>
            <w:tcW w:w="521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计分标准</w:t>
            </w:r>
          </w:p>
        </w:tc>
        <w:tc>
          <w:tcPr>
            <w:tcW w:w="7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自评得分</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一级指标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二级</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三级指标</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21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部门预算管理（80分）</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预算编制（30分）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评价部门绩效目标是否要素完整、细化量化。</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目标实现</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评价部门绩效目标实际实现程度与预期目标的偏离度。</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以项目完成数量为核心，评价项目实际完成情况</w:t>
            </w:r>
            <w:r>
              <w:rPr>
                <w:rFonts w:hint="eastAsia" w:ascii="宋体" w:hAnsi="宋体" w:cs="宋体"/>
                <w:i w:val="0"/>
                <w:iCs w:val="0"/>
                <w:color w:val="000000"/>
                <w:kern w:val="0"/>
                <w:sz w:val="18"/>
                <w:szCs w:val="18"/>
                <w:u w:val="none"/>
                <w:lang w:val="en-US" w:eastAsia="zh-CN" w:bidi="ar"/>
              </w:rPr>
              <w:t>与</w:t>
            </w:r>
            <w:r>
              <w:rPr>
                <w:rFonts w:hint="eastAsia" w:ascii="宋体" w:hAnsi="宋体" w:eastAsia="宋体" w:cs="宋体"/>
                <w:i w:val="0"/>
                <w:iCs w:val="0"/>
                <w:color w:val="000000"/>
                <w:kern w:val="0"/>
                <w:sz w:val="18"/>
                <w:szCs w:val="18"/>
                <w:u w:val="none"/>
                <w:lang w:val="en-US" w:eastAsia="zh-CN" w:bidi="ar"/>
              </w:rPr>
              <w:t>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编制准确</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评价部门年初预算编制是否科学准确。</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指标得分=（1-（10×部门全年预算调剂金额/年初部门预算数））*指标分值。其中：若部门全年预算调剂金额/年初部门预算数&gt;0.1，此项得0分。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预算执行（30分）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支出控制</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部门公用经费及非定额公用支出控制情况。</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动态调整</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评价部门开展绩效运行监控后，将绩效监控结果应用到预算调整的情况。</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评价部门在6、9、11月的预算执行情况。</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部门预算执行进度在6、9、11月应达到序时进度的80%、90%、90%，即实际支出进度分别达到40%、67.5%、82.5%。                                                     6、9、11月部门预算执行进度达到量化指标的分别得3、4、3分，未达到目标进度</w:t>
            </w:r>
            <w:r>
              <w:rPr>
                <w:rFonts w:hint="eastAsia" w:ascii="宋体" w:hAnsi="宋体" w:cs="宋体"/>
                <w:i w:val="0"/>
                <w:iCs w:val="0"/>
                <w:color w:val="000000"/>
                <w:kern w:val="0"/>
                <w:sz w:val="18"/>
                <w:szCs w:val="18"/>
                <w:u w:val="none"/>
                <w:lang w:val="en-US" w:eastAsia="zh-CN" w:bidi="ar"/>
              </w:rPr>
              <w:t>的</w:t>
            </w:r>
            <w:r>
              <w:rPr>
                <w:rFonts w:hint="eastAsia" w:ascii="宋体" w:hAnsi="宋体" w:eastAsia="宋体" w:cs="宋体"/>
                <w:i w:val="0"/>
                <w:iCs w:val="0"/>
                <w:color w:val="000000"/>
                <w:kern w:val="0"/>
                <w:sz w:val="18"/>
                <w:szCs w:val="18"/>
                <w:u w:val="none"/>
                <w:lang w:val="en-US" w:eastAsia="zh-CN" w:bidi="ar"/>
              </w:rPr>
              <w:t xml:space="preserve">按其实际进度占目标进度的比重计算得分。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完成结果（20分）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评价部门预算项目年终预算执行情况。</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部门预算项目12月预算执行进度达到100%的，得10分，未达100%的，按照实际进度量化计算得分。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违规记录</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根据审计监督、财政检查结果反映部门上一年度部门预算管理是否合规。</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依据评价年度审计监督、财政检查结果，出现部门预算管理方面违纪违规问题的，每个问题扣0.5分，直至扣完。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绩效结果应用（10分）</w:t>
            </w:r>
          </w:p>
        </w:tc>
        <w:tc>
          <w:tcPr>
            <w:tcW w:w="9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信息公开（2分)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自评公开</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评价部门是否按要求将部门整体绩效自评情况和自行组织的评价情况向社会公开。</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按要求将相关绩效信息随同决算公开的，得2分，否则不得分。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整改反馈（8分）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结果整改</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评价部门根据绩效管理结果整改问题、完善政策、改进管理的情况。</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应用反馈</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评价部门按要求及时向财政部门反馈结果应用情况。</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部门在规定时间内向财政部门反馈应用绩效结果报告的，得满分，否则不得分。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9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12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自评准确</w:t>
            </w:r>
          </w:p>
        </w:tc>
        <w:tc>
          <w:tcPr>
            <w:tcW w:w="7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评价部门整体支出自评准确率。</w:t>
            </w:r>
          </w:p>
        </w:tc>
        <w:tc>
          <w:tcPr>
            <w:tcW w:w="521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7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45"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sectPr>
          <w:pgSz w:w="16838" w:h="11906" w:orient="landscape"/>
          <w:pgMar w:top="1587" w:right="1440" w:bottom="1474" w:left="1440" w:header="851" w:footer="992" w:gutter="0"/>
          <w:pgNumType w:fmt="decimal"/>
          <w:cols w:space="0" w:num="1"/>
          <w:rtlGutter w:val="0"/>
          <w:docGrid w:type="lines" w:linePitch="312" w:charSpace="0"/>
        </w:sectPr>
      </w:pPr>
    </w:p>
    <w:p>
      <w:pPr>
        <w:spacing w:line="7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遂宁市安居区文化广播电视和旅游局</w:t>
      </w:r>
    </w:p>
    <w:p>
      <w:pPr>
        <w:spacing w:line="7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关于2022年图书馆、文化馆（站）免费开放区级配套（民生工程）</w:t>
      </w:r>
      <w:r>
        <w:rPr>
          <w:rFonts w:hint="eastAsia" w:ascii="方正小标宋简体" w:eastAsia="方正小标宋简体"/>
          <w:sz w:val="44"/>
          <w:szCs w:val="44"/>
          <w:lang w:eastAsia="zh-CN"/>
        </w:rPr>
        <w:t>项目支出绩效自评的报告</w:t>
      </w:r>
    </w:p>
    <w:p>
      <w:pPr>
        <w:pStyle w:val="35"/>
      </w:pPr>
    </w:p>
    <w:p>
      <w:pPr>
        <w:numPr>
          <w:ilvl w:val="0"/>
          <w:numId w:val="4"/>
        </w:numPr>
        <w:tabs>
          <w:tab w:val="left" w:pos="3885"/>
        </w:tabs>
        <w:snapToGrid w:val="0"/>
        <w:spacing w:line="600" w:lineRule="exact"/>
        <w:ind w:firstLine="640" w:firstLineChars="200"/>
        <w:jc w:val="left"/>
        <w:rPr>
          <w:rFonts w:hint="eastAsia" w:ascii="黑体" w:hAnsi="宋体" w:eastAsia="黑体"/>
          <w:sz w:val="32"/>
          <w:szCs w:val="32"/>
        </w:rPr>
      </w:pPr>
      <w:r>
        <w:rPr>
          <w:rFonts w:hint="eastAsia" w:ascii="黑体" w:hAnsi="宋体" w:eastAsia="黑体"/>
          <w:sz w:val="32"/>
          <w:szCs w:val="32"/>
        </w:rPr>
        <w:t>基本情况</w:t>
      </w:r>
    </w:p>
    <w:p>
      <w:pPr>
        <w:pStyle w:val="35"/>
        <w:ind w:left="0" w:leftChars="0" w:firstLine="640" w:firstLineChars="200"/>
        <w:rPr>
          <w:rFonts w:hint="eastAsia" w:ascii="仿宋_GB2312" w:hAnsi="宋体" w:eastAsia="仿宋_GB2312"/>
          <w:b w:val="0"/>
          <w:bCs w:val="0"/>
          <w:sz w:val="32"/>
          <w:szCs w:val="32"/>
          <w:lang w:val="zh-CN"/>
        </w:rPr>
      </w:pPr>
      <w:r>
        <w:rPr>
          <w:rFonts w:hint="eastAsia" w:ascii="楷体" w:hAnsi="楷体" w:eastAsia="楷体" w:cs="楷体"/>
          <w:b w:val="0"/>
          <w:bCs w:val="0"/>
          <w:color w:val="auto"/>
          <w:szCs w:val="21"/>
          <w:lang w:eastAsia="zh-CN"/>
        </w:rPr>
        <w:t>（一）</w:t>
      </w:r>
      <w:r>
        <w:rPr>
          <w:rFonts w:hint="eastAsia" w:ascii="楷体" w:hAnsi="楷体" w:eastAsia="楷体" w:cs="楷体"/>
          <w:b w:val="0"/>
          <w:bCs w:val="0"/>
          <w:color w:val="auto"/>
          <w:szCs w:val="21"/>
        </w:rPr>
        <w:t>项目概况</w:t>
      </w:r>
    </w:p>
    <w:p>
      <w:pPr>
        <w:pStyle w:val="35"/>
        <w:rPr>
          <w:rFonts w:hint="eastAsia" w:ascii="仿宋_GB2312" w:hAnsi="宋体" w:eastAsia="仿宋_GB2312"/>
          <w:sz w:val="32"/>
          <w:szCs w:val="32"/>
          <w:lang w:val="zh-CN"/>
        </w:rPr>
      </w:pPr>
      <w:r>
        <w:rPr>
          <w:rFonts w:hint="eastAsia" w:ascii="仿宋_GB2312" w:hAnsi="宋体" w:eastAsia="仿宋_GB2312"/>
          <w:sz w:val="32"/>
          <w:szCs w:val="32"/>
          <w:lang w:val="zh-CN"/>
        </w:rPr>
        <w:t>安居区</w:t>
      </w:r>
      <w:r>
        <w:rPr>
          <w:rFonts w:hint="eastAsia" w:ascii="仿宋_GB2312" w:hAnsi="宋体" w:eastAsia="仿宋_GB2312"/>
          <w:sz w:val="32"/>
          <w:szCs w:val="32"/>
          <w:lang w:val="zh-CN" w:eastAsia="zh-CN"/>
        </w:rPr>
        <w:t>图书馆、文化馆、</w:t>
      </w:r>
      <w:r>
        <w:rPr>
          <w:rFonts w:hint="eastAsia" w:ascii="仿宋_GB2312" w:hAnsi="宋体" w:eastAsia="仿宋_GB2312"/>
          <w:sz w:val="32"/>
          <w:szCs w:val="32"/>
          <w:lang w:val="zh-CN"/>
        </w:rPr>
        <w:t>1</w:t>
      </w:r>
      <w:r>
        <w:rPr>
          <w:rFonts w:hint="eastAsia" w:ascii="仿宋_GB2312" w:hAnsi="宋体" w:eastAsia="仿宋_GB2312"/>
          <w:sz w:val="32"/>
          <w:szCs w:val="32"/>
          <w:lang w:val="en-US" w:eastAsia="zh-CN"/>
        </w:rPr>
        <w:t>8</w:t>
      </w:r>
      <w:r>
        <w:rPr>
          <w:rFonts w:hint="eastAsia" w:ascii="仿宋_GB2312" w:hAnsi="宋体" w:eastAsia="仿宋_GB2312"/>
          <w:sz w:val="32"/>
          <w:szCs w:val="32"/>
          <w:lang w:val="zh-CN"/>
        </w:rPr>
        <w:t>个镇</w:t>
      </w:r>
      <w:r>
        <w:rPr>
          <w:rFonts w:hint="eastAsia" w:ascii="仿宋_GB2312" w:hAnsi="宋体" w:eastAsia="仿宋_GB2312"/>
          <w:sz w:val="32"/>
          <w:szCs w:val="32"/>
          <w:lang w:val="zh-CN" w:eastAsia="zh-CN"/>
        </w:rPr>
        <w:t>（街道）</w:t>
      </w:r>
      <w:r>
        <w:rPr>
          <w:rFonts w:hint="eastAsia" w:ascii="仿宋_GB2312" w:hAnsi="宋体" w:eastAsia="仿宋_GB2312"/>
          <w:sz w:val="32"/>
          <w:szCs w:val="32"/>
          <w:lang w:val="zh-CN"/>
        </w:rPr>
        <w:t>文化站是保障群众基本公共文化权益的重要场所，其免费对外开放是政府一项重要文化民生项目。自20</w:t>
      </w:r>
      <w:r>
        <w:rPr>
          <w:rFonts w:hint="eastAsia" w:ascii="仿宋_GB2312" w:hAnsi="宋体" w:eastAsia="仿宋_GB2312"/>
          <w:sz w:val="32"/>
          <w:szCs w:val="32"/>
          <w:lang w:val="en-US" w:eastAsia="zh-CN"/>
        </w:rPr>
        <w:t>22</w:t>
      </w:r>
      <w:r>
        <w:rPr>
          <w:rFonts w:hint="eastAsia" w:ascii="仿宋_GB2312" w:hAnsi="宋体" w:eastAsia="仿宋_GB2312"/>
          <w:sz w:val="32"/>
          <w:szCs w:val="32"/>
          <w:lang w:val="zh-CN"/>
        </w:rPr>
        <w:t>年</w:t>
      </w:r>
      <w:r>
        <w:rPr>
          <w:rFonts w:hint="eastAsia" w:ascii="仿宋_GB2312" w:hAnsi="宋体" w:eastAsia="仿宋_GB2312"/>
          <w:sz w:val="32"/>
          <w:szCs w:val="32"/>
          <w:highlight w:val="none"/>
          <w:lang w:val="zh-CN"/>
        </w:rPr>
        <w:t>实施</w:t>
      </w:r>
      <w:r>
        <w:rPr>
          <w:rFonts w:hint="eastAsia" w:ascii="仿宋_GB2312" w:hAnsi="宋体" w:eastAsia="仿宋_GB2312"/>
          <w:sz w:val="32"/>
          <w:szCs w:val="32"/>
          <w:lang w:val="zh-CN"/>
        </w:rPr>
        <w:t>免费开放以来，根据《中央补助地方美术馆、公共图书馆、文化馆(站)免费开放专项资金管理暂行办法》等文件精神，按照《省文化厅、省财政厅关于推进全省美术馆、公共图书馆、文化馆(站)免费开放工作的意见》等文件要求，结合我区实际情况，我局与区财政局联合制定了《两馆一站免费开放专项资金使用管理办法》《镇（街道）综合文化站免费开放资金使用管理整改实施方案》等。各级财政部门在不减少本级财政预算的情况下，保障了资金的落实到位。</w:t>
      </w:r>
    </w:p>
    <w:p>
      <w:pPr>
        <w:pStyle w:val="35"/>
        <w:rPr>
          <w:rFonts w:hint="eastAsia" w:ascii="仿宋_GB2312" w:hAnsi="宋体" w:eastAsia="仿宋_GB2312"/>
          <w:sz w:val="32"/>
          <w:szCs w:val="32"/>
          <w:lang w:val="zh-CN"/>
        </w:rPr>
      </w:pPr>
      <w:r>
        <w:rPr>
          <w:rFonts w:hint="eastAsia" w:ascii="仿宋_GB2312" w:hAnsi="宋体" w:eastAsia="仿宋_GB2312"/>
          <w:sz w:val="32"/>
          <w:szCs w:val="32"/>
          <w:lang w:val="zh-CN"/>
        </w:rPr>
        <w:t>我局作为项目主管部门,</w:t>
      </w:r>
      <w:r>
        <w:rPr>
          <w:rFonts w:hint="eastAsia" w:ascii="仿宋_GB2312" w:hAnsi="宋体" w:eastAsia="仿宋_GB2312"/>
          <w:sz w:val="32"/>
          <w:szCs w:val="32"/>
          <w:lang w:val="en-US" w:eastAsia="zh-CN"/>
        </w:rPr>
        <w:t>负责指导全区镇（街道）</w:t>
      </w:r>
      <w:r>
        <w:rPr>
          <w:rFonts w:hint="eastAsia" w:ascii="仿宋_GB2312" w:hAnsi="仿宋_GB2312" w:eastAsia="仿宋_GB2312" w:cs="仿宋_GB2312"/>
          <w:sz w:val="32"/>
          <w:szCs w:val="32"/>
        </w:rPr>
        <w:t>公共图书馆、文化馆（站）</w:t>
      </w:r>
      <w:r>
        <w:rPr>
          <w:rFonts w:hint="eastAsia" w:ascii="仿宋_GB2312" w:hAnsi="宋体" w:eastAsia="仿宋_GB2312"/>
          <w:sz w:val="32"/>
          <w:szCs w:val="32"/>
          <w:lang w:val="en-US" w:eastAsia="zh-CN"/>
        </w:rPr>
        <w:t>等公共文化设施免费开放工作，</w:t>
      </w:r>
      <w:r>
        <w:rPr>
          <w:rFonts w:hint="eastAsia" w:ascii="仿宋_GB2312" w:hAnsi="宋体" w:eastAsia="仿宋_GB2312"/>
          <w:sz w:val="32"/>
          <w:szCs w:val="32"/>
          <w:lang w:val="zh-CN"/>
        </w:rPr>
        <w:t>严格行使项目资金使用监督管理职能，使专项资金管理使用的各个环节严格按照制度执行，确保两馆一站免费开放工作落到实处、发挥作用。</w:t>
      </w:r>
    </w:p>
    <w:p>
      <w:pPr>
        <w:pStyle w:val="35"/>
        <w:ind w:left="0" w:leftChars="0" w:firstLine="640" w:firstLineChars="200"/>
        <w:rPr>
          <w:rFonts w:hint="eastAsia" w:ascii="楷体" w:hAnsi="楷体" w:eastAsia="楷体" w:cs="楷体"/>
          <w:b w:val="0"/>
          <w:bCs w:val="0"/>
          <w:color w:val="auto"/>
          <w:szCs w:val="21"/>
          <w:lang w:eastAsia="zh-CN"/>
        </w:rPr>
      </w:pPr>
      <w:r>
        <w:rPr>
          <w:rFonts w:hint="eastAsia" w:ascii="楷体" w:hAnsi="楷体" w:eastAsia="楷体" w:cs="楷体"/>
          <w:b w:val="0"/>
          <w:bCs w:val="0"/>
          <w:color w:val="auto"/>
          <w:szCs w:val="21"/>
          <w:lang w:eastAsia="zh-CN"/>
        </w:rPr>
        <w:t>（二）</w:t>
      </w:r>
      <w:r>
        <w:rPr>
          <w:rFonts w:hint="eastAsia" w:ascii="楷体" w:hAnsi="楷体" w:eastAsia="楷体" w:cs="楷体"/>
          <w:b w:val="0"/>
          <w:bCs w:val="0"/>
          <w:color w:val="auto"/>
          <w:szCs w:val="21"/>
        </w:rPr>
        <w:t>项目实施情况</w:t>
      </w:r>
      <w:r>
        <w:rPr>
          <w:rFonts w:hint="eastAsia" w:ascii="楷体" w:hAnsi="楷体" w:eastAsia="楷体" w:cs="楷体"/>
          <w:b w:val="0"/>
          <w:bCs w:val="0"/>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2"/>
        <w:textAlignment w:val="auto"/>
        <w:rPr>
          <w:rFonts w:hint="eastAsia" w:ascii="仿宋_GB2312" w:hAnsi="宋体" w:eastAsia="仿宋_GB2312"/>
          <w:sz w:val="32"/>
          <w:szCs w:val="32"/>
          <w:lang w:val="zh-CN" w:eastAsia="zh-CN"/>
        </w:rPr>
      </w:pPr>
      <w:r>
        <w:rPr>
          <w:rFonts w:hint="eastAsia" w:ascii="仿宋_GB2312" w:hAnsi="仿宋_GB2312" w:cs="仿宋_GB2312"/>
          <w:color w:val="000000"/>
          <w:sz w:val="32"/>
          <w:szCs w:val="32"/>
          <w:lang w:val="en-US" w:eastAsia="zh-CN"/>
        </w:rPr>
        <w:t>1.</w:t>
      </w:r>
      <w:r>
        <w:rPr>
          <w:rFonts w:hint="eastAsia" w:ascii="仿宋_GB2312" w:hAnsi="仿宋_GB2312" w:eastAsia="仿宋_GB2312" w:cs="仿宋_GB2312"/>
          <w:color w:val="000000"/>
          <w:sz w:val="32"/>
          <w:szCs w:val="32"/>
        </w:rPr>
        <w:t>根据《遂宁市财政局</w:t>
      </w:r>
      <w:r>
        <w:rPr>
          <w:rFonts w:hint="eastAsia" w:ascii="仿宋_GB2312" w:hAnsi="宋体" w:eastAsia="仿宋_GB2312"/>
          <w:sz w:val="32"/>
          <w:szCs w:val="32"/>
          <w:lang w:val="en-US" w:eastAsia="zh-CN"/>
        </w:rPr>
        <w:t>关于下达202</w:t>
      </w:r>
      <w:r>
        <w:rPr>
          <w:rFonts w:hint="eastAsia" w:ascii="仿宋_GB2312" w:hAnsi="宋体"/>
          <w:sz w:val="32"/>
          <w:szCs w:val="32"/>
          <w:lang w:val="en-US" w:eastAsia="zh-CN"/>
        </w:rPr>
        <w:t>2</w:t>
      </w:r>
      <w:r>
        <w:rPr>
          <w:rFonts w:hint="eastAsia" w:ascii="仿宋_GB2312" w:hAnsi="宋体" w:eastAsia="仿宋_GB2312"/>
          <w:sz w:val="32"/>
          <w:szCs w:val="32"/>
          <w:lang w:val="en-US" w:eastAsia="zh-CN"/>
        </w:rPr>
        <w:t>年美术馆、公共图书馆、文化馆（站）免费开放中省市级专项补助资金的通知》（遂财教</w:t>
      </w:r>
      <w:r>
        <w:rPr>
          <w:rFonts w:hint="eastAsia" w:ascii="仿宋_GB2312" w:hAnsi="宋体" w:eastAsia="仿宋_GB2312"/>
          <w:color w:val="auto"/>
          <w:sz w:val="32"/>
          <w:szCs w:val="32"/>
          <w:lang w:val="en-US" w:eastAsia="zh-CN"/>
        </w:rPr>
        <w:t>〔202</w:t>
      </w:r>
      <w:r>
        <w:rPr>
          <w:rFonts w:hint="eastAsia" w:ascii="仿宋_GB2312" w:hAnsi="宋体"/>
          <w:color w:val="auto"/>
          <w:sz w:val="32"/>
          <w:szCs w:val="32"/>
          <w:lang w:val="en-US" w:eastAsia="zh-CN"/>
        </w:rPr>
        <w:t>2</w:t>
      </w:r>
      <w:r>
        <w:rPr>
          <w:rFonts w:hint="eastAsia" w:ascii="仿宋_GB2312" w:hAnsi="宋体" w:eastAsia="仿宋_GB2312"/>
          <w:color w:val="auto"/>
          <w:sz w:val="32"/>
          <w:szCs w:val="32"/>
          <w:lang w:val="en-US" w:eastAsia="zh-CN"/>
        </w:rPr>
        <w:t>〕</w:t>
      </w:r>
      <w:r>
        <w:rPr>
          <w:rFonts w:hint="eastAsia" w:ascii="仿宋_GB2312" w:hAnsi="宋体"/>
          <w:color w:val="auto"/>
          <w:sz w:val="32"/>
          <w:szCs w:val="32"/>
          <w:lang w:val="en-US" w:eastAsia="zh-CN"/>
        </w:rPr>
        <w:t>2</w:t>
      </w:r>
      <w:r>
        <w:rPr>
          <w:rFonts w:hint="eastAsia" w:ascii="仿宋_GB2312" w:hAnsi="宋体" w:eastAsia="仿宋_GB2312"/>
          <w:color w:val="auto"/>
          <w:sz w:val="32"/>
          <w:szCs w:val="32"/>
          <w:lang w:val="en-US" w:eastAsia="zh-CN"/>
        </w:rPr>
        <w:t>1号）</w:t>
      </w:r>
      <w:r>
        <w:rPr>
          <w:rFonts w:hint="eastAsia" w:ascii="仿宋_GB2312" w:hAnsi="宋体" w:eastAsia="仿宋_GB2312"/>
          <w:sz w:val="32"/>
          <w:szCs w:val="32"/>
          <w:lang w:val="en-US" w:eastAsia="zh-CN"/>
        </w:rPr>
        <w:t>和区委办、区府办关于印发《202</w:t>
      </w:r>
      <w:r>
        <w:rPr>
          <w:rFonts w:hint="eastAsia" w:ascii="仿宋_GB2312" w:hAnsi="宋体"/>
          <w:sz w:val="32"/>
          <w:szCs w:val="32"/>
          <w:lang w:val="en-US" w:eastAsia="zh-CN"/>
        </w:rPr>
        <w:t>2</w:t>
      </w:r>
      <w:r>
        <w:rPr>
          <w:rFonts w:hint="eastAsia" w:ascii="仿宋_GB2312" w:hAnsi="宋体" w:eastAsia="仿宋_GB2312"/>
          <w:sz w:val="32"/>
          <w:szCs w:val="32"/>
          <w:lang w:val="en-US" w:eastAsia="zh-CN"/>
        </w:rPr>
        <w:t>年安居区30件民生实事实施方案》的通知要求，专项用于公共图书馆、文化馆（站）免费开放正常运转及提供基本公共文化服务。</w:t>
      </w:r>
    </w:p>
    <w:p>
      <w:pPr>
        <w:pStyle w:val="35"/>
        <w:ind w:left="0" w:leftChars="0"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2.严格按照安居区</w:t>
      </w:r>
      <w:r>
        <w:rPr>
          <w:rFonts w:hint="eastAsia" w:ascii="仿宋_GB2312" w:hAnsi="仿宋_GB2312" w:eastAsia="仿宋_GB2312" w:cs="仿宋_GB2312"/>
          <w:sz w:val="32"/>
          <w:szCs w:val="32"/>
        </w:rPr>
        <w:t>公共图书馆、文化馆（站）</w:t>
      </w:r>
      <w:r>
        <w:rPr>
          <w:rFonts w:hint="eastAsia" w:ascii="仿宋_GB2312" w:hAnsi="宋体" w:eastAsia="仿宋_GB2312"/>
          <w:sz w:val="32"/>
          <w:szCs w:val="32"/>
          <w:lang w:val="en-US" w:eastAsia="zh-CN"/>
        </w:rPr>
        <w:t>免费开放实施方案进行资金管理。</w:t>
      </w:r>
    </w:p>
    <w:p>
      <w:pPr>
        <w:pStyle w:val="35"/>
        <w:ind w:left="0" w:leftChars="0"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资金分配</w:t>
      </w:r>
      <w:r>
        <w:rPr>
          <w:rFonts w:hint="eastAsia" w:ascii="仿宋_GB2312" w:hAnsi="宋体" w:eastAsia="仿宋_GB2312"/>
          <w:sz w:val="32"/>
          <w:szCs w:val="32"/>
          <w:lang w:val="en-US" w:eastAsia="zh-CN"/>
        </w:rPr>
        <w:t>按照安居区</w:t>
      </w:r>
      <w:r>
        <w:rPr>
          <w:rFonts w:hint="eastAsia" w:ascii="仿宋_GB2312" w:hAnsi="仿宋_GB2312" w:eastAsia="仿宋_GB2312" w:cs="仿宋_GB2312"/>
          <w:sz w:val="32"/>
          <w:szCs w:val="32"/>
        </w:rPr>
        <w:t>公共图书馆、文化馆（站）</w:t>
      </w:r>
      <w:r>
        <w:rPr>
          <w:rFonts w:hint="eastAsia" w:ascii="仿宋_GB2312" w:hAnsi="宋体" w:eastAsia="仿宋_GB2312"/>
          <w:sz w:val="32"/>
          <w:szCs w:val="32"/>
          <w:lang w:val="en-US" w:eastAsia="zh-CN"/>
        </w:rPr>
        <w:t>免费开放专项补助资金的通知文件进行</w:t>
      </w:r>
      <w:r>
        <w:rPr>
          <w:rFonts w:hint="eastAsia" w:ascii="仿宋_GB2312" w:hAnsi="宋体" w:eastAsia="仿宋_GB2312"/>
          <w:sz w:val="32"/>
          <w:szCs w:val="32"/>
          <w:lang w:val="zh-CN"/>
        </w:rPr>
        <w:t>。</w:t>
      </w:r>
    </w:p>
    <w:p>
      <w:pPr>
        <w:pStyle w:val="35"/>
        <w:ind w:left="0" w:leftChars="0" w:firstLine="640" w:firstLineChars="200"/>
        <w:rPr>
          <w:rFonts w:hint="eastAsia" w:ascii="楷体" w:hAnsi="楷体" w:eastAsia="楷体" w:cs="楷体"/>
          <w:b w:val="0"/>
          <w:bCs w:val="0"/>
          <w:color w:val="auto"/>
          <w:szCs w:val="21"/>
          <w:lang w:val="zh-CN" w:eastAsia="zh-CN"/>
        </w:rPr>
      </w:pPr>
      <w:r>
        <w:rPr>
          <w:rFonts w:hint="eastAsia" w:ascii="楷体" w:hAnsi="楷体" w:eastAsia="楷体" w:cs="楷体"/>
          <w:b w:val="0"/>
          <w:bCs w:val="0"/>
          <w:color w:val="auto"/>
          <w:szCs w:val="21"/>
          <w:lang w:eastAsia="zh-CN"/>
        </w:rPr>
        <w:t>（三）</w:t>
      </w:r>
      <w:r>
        <w:rPr>
          <w:rFonts w:hint="eastAsia" w:ascii="楷体" w:hAnsi="楷体" w:eastAsia="楷体" w:cs="楷体"/>
          <w:b w:val="0"/>
          <w:bCs w:val="0"/>
          <w:color w:val="auto"/>
          <w:szCs w:val="21"/>
        </w:rPr>
        <w:t>资金投入使用情况</w:t>
      </w:r>
    </w:p>
    <w:p>
      <w:pPr>
        <w:pStyle w:val="35"/>
        <w:ind w:left="0" w:leftChars="0" w:firstLine="640" w:firstLineChars="200"/>
        <w:rPr>
          <w:rFonts w:hint="eastAsia" w:ascii="仿宋_GB2312" w:hAnsi="仿宋_GB2312" w:eastAsia="仿宋_GB2312" w:cs="仿宋_GB2312"/>
          <w:color w:val="FF0000"/>
          <w:sz w:val="32"/>
          <w:szCs w:val="32"/>
        </w:rPr>
      </w:pPr>
      <w:r>
        <w:rPr>
          <w:rFonts w:hint="eastAsia" w:ascii="仿宋_GB2312" w:hAnsi="仿宋_GB2312" w:cs="仿宋_GB2312"/>
          <w:sz w:val="32"/>
          <w:szCs w:val="32"/>
          <w:lang w:val="en-US" w:eastAsia="zh-CN"/>
        </w:rPr>
        <w:t>2022</w:t>
      </w:r>
      <w:r>
        <w:rPr>
          <w:rFonts w:hint="eastAsia" w:ascii="仿宋_GB2312" w:hAnsi="仿宋_GB2312" w:eastAsia="仿宋_GB2312" w:cs="仿宋_GB2312"/>
          <w:sz w:val="32"/>
          <w:szCs w:val="32"/>
        </w:rPr>
        <w:t>年公共图书馆、文化馆（站）免费开放专项资金</w:t>
      </w:r>
      <w:r>
        <w:rPr>
          <w:rFonts w:hint="eastAsia" w:ascii="仿宋_GB2312" w:hAnsi="仿宋_GB2312" w:cs="仿宋_GB2312"/>
          <w:color w:val="auto"/>
          <w:sz w:val="32"/>
          <w:szCs w:val="32"/>
          <w:lang w:val="en-US" w:eastAsia="zh-CN"/>
        </w:rPr>
        <w:t>15.5</w:t>
      </w:r>
      <w:r>
        <w:rPr>
          <w:rFonts w:hint="eastAsia" w:ascii="仿宋_GB2312" w:hAnsi="仿宋_GB2312" w:eastAsia="仿宋_GB2312" w:cs="仿宋_GB2312"/>
          <w:color w:val="auto"/>
          <w:sz w:val="32"/>
          <w:szCs w:val="32"/>
        </w:rPr>
        <w:t>万元，区级配套</w:t>
      </w:r>
      <w:r>
        <w:rPr>
          <w:rFonts w:hint="eastAsia" w:ascii="仿宋_GB2312" w:hAnsi="仿宋_GB2312" w:cs="仿宋_GB2312"/>
          <w:color w:val="auto"/>
          <w:sz w:val="32"/>
          <w:szCs w:val="32"/>
          <w:lang w:val="en-US" w:eastAsia="zh-CN"/>
        </w:rPr>
        <w:t>15.5</w:t>
      </w:r>
      <w:r>
        <w:rPr>
          <w:rFonts w:hint="eastAsia" w:ascii="仿宋_GB2312" w:hAnsi="仿宋_GB2312" w:eastAsia="仿宋_GB2312" w:cs="仿宋_GB2312"/>
          <w:color w:val="auto"/>
          <w:sz w:val="32"/>
          <w:szCs w:val="32"/>
        </w:rPr>
        <w:t>万元。</w:t>
      </w:r>
    </w:p>
    <w:p>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（四）项目绩效目标。</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eastAsia="zh-CN"/>
        </w:rPr>
        <w:t>公共图书馆、文化馆（站）</w:t>
      </w:r>
      <w:r>
        <w:rPr>
          <w:rFonts w:hint="eastAsia" w:ascii="仿宋_GB2312" w:hAnsi="仿宋_GB2312" w:eastAsia="仿宋_GB2312" w:cs="仿宋_GB2312"/>
          <w:color w:val="000000"/>
          <w:kern w:val="0"/>
          <w:sz w:val="32"/>
          <w:szCs w:val="32"/>
          <w:lang w:val="en-US" w:eastAsia="zh-CN" w:bidi="ar"/>
        </w:rPr>
        <w:t>免费开放经费主要用于馆（站）正常运行费用（水电气、文印等）；宣传和文化活动，包括图书阅览、数字文化服务、文艺演出、展览、讲座等；基层队伍和文艺骨干辅导培训，文艺队伍建设（一镇一品）；文化遗产保护，包括：文物保护、非物 质文化遗产挖掘；文化站设施设备购置、维修维护；聘请文化志愿者；上级主管部门安排的重大文化活动。</w:t>
      </w:r>
    </w:p>
    <w:p>
      <w:pPr>
        <w:adjustRightInd w:val="0"/>
        <w:snapToGrid w:val="0"/>
        <w:spacing w:line="600" w:lineRule="exact"/>
        <w:ind w:firstLine="72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w:t>
      </w:r>
      <w:r>
        <w:rPr>
          <w:rFonts w:hint="eastAsia" w:ascii="仿宋_GB2312" w:hAnsi="仿宋_GB2312" w:eastAsia="仿宋_GB2312" w:cs="仿宋_GB2312"/>
          <w:color w:val="000000"/>
          <w:sz w:val="32"/>
          <w:szCs w:val="32"/>
          <w:lang w:val="en-US" w:eastAsia="zh-CN"/>
        </w:rPr>
        <w:t>根据文件要求，项目资金已专项用于</w:t>
      </w:r>
      <w:r>
        <w:rPr>
          <w:rFonts w:hint="eastAsia" w:ascii="仿宋_GB2312" w:hAnsi="仿宋_GB2312" w:eastAsia="仿宋_GB2312" w:cs="仿宋_GB2312"/>
          <w:sz w:val="32"/>
          <w:szCs w:val="32"/>
          <w:lang w:eastAsia="zh-CN"/>
        </w:rPr>
        <w:t>公共图书馆、文化馆（站）</w:t>
      </w:r>
      <w:r>
        <w:rPr>
          <w:rFonts w:hint="eastAsia" w:ascii="仿宋_GB2312" w:hAnsi="仿宋_GB2312" w:eastAsia="仿宋_GB2312" w:cs="仿宋_GB2312"/>
          <w:color w:val="000000"/>
          <w:sz w:val="32"/>
          <w:szCs w:val="32"/>
          <w:lang w:val="en-US" w:eastAsia="zh-CN"/>
        </w:rPr>
        <w:t>免费开放正常运转，有效保障了人民群众享有免费公共文化服务权益。</w:t>
      </w:r>
    </w:p>
    <w:p>
      <w:pPr>
        <w:snapToGrid w:val="0"/>
        <w:spacing w:line="600" w:lineRule="exact"/>
        <w:ind w:firstLine="640" w:firstLineChars="200"/>
        <w:rPr>
          <w:rFonts w:hint="eastAsia" w:ascii="宋体" w:hAnsi="宋体"/>
          <w:sz w:val="32"/>
          <w:szCs w:val="32"/>
        </w:rPr>
      </w:pPr>
      <w:r>
        <w:rPr>
          <w:rFonts w:hint="eastAsia" w:ascii="黑体" w:hAnsi="黑体" w:eastAsia="黑体" w:cs="黑体"/>
          <w:sz w:val="32"/>
          <w:szCs w:val="32"/>
        </w:rPr>
        <w:t>二、评价工作开展情况</w:t>
      </w:r>
    </w:p>
    <w:p>
      <w:pPr>
        <w:snapToGrid w:val="0"/>
        <w:spacing w:line="600" w:lineRule="exact"/>
        <w:ind w:firstLine="640" w:firstLineChars="200"/>
        <w:rPr>
          <w:rFonts w:hint="eastAsia" w:ascii="仿宋_GB2312" w:hAnsi="仿宋_GB2312" w:cs="仿宋_GB2312"/>
          <w:color w:val="FF0000"/>
          <w:szCs w:val="21"/>
        </w:rPr>
      </w:pPr>
      <w:r>
        <w:rPr>
          <w:rFonts w:hint="eastAsia" w:ascii="仿宋_GB2312" w:hAnsi="仿宋_GB2312" w:eastAsia="仿宋_GB2312" w:cs="仿宋_GB2312"/>
          <w:color w:val="000000"/>
          <w:sz w:val="32"/>
          <w:szCs w:val="32"/>
          <w:lang w:val="en-US" w:eastAsia="zh-CN"/>
        </w:rPr>
        <w:t>按照财政部、文化和旅游部《关于中央对地方美术馆、公共图书馆、文化馆（站）免费开放补助资金管理办法的通知》（财教</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color w:val="000000"/>
          <w:sz w:val="32"/>
          <w:szCs w:val="32"/>
          <w:lang w:val="en-US" w:eastAsia="zh-CN"/>
        </w:rPr>
        <w:t>156号）要求，坚持民生优先和专款专用的原则，快速建立民生实事资金保障机制，规范项目资金支出，优化资金拨付，确保民生项目资金及时到位，合规使用。从而大力提升了安居区农村公共文化服务水平，最大限度满足群众就近、快捷的基本文化需求。</w:t>
      </w:r>
    </w:p>
    <w:p>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综合评价结论（附自评表）</w:t>
      </w:r>
    </w:p>
    <w:p>
      <w:pPr>
        <w:snapToGrid w:val="0"/>
        <w:spacing w:line="60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2022年图书馆、文化馆（站）免费开放项目实施情况良好，严格按照项目实施进度要求执行，保障了全区图书馆、文化馆（站）全年正常免费开放。</w:t>
      </w:r>
    </w:p>
    <w:p>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pPr>
        <w:snapToGrid w:val="0"/>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（一）项目决策情况</w:t>
      </w:r>
    </w:p>
    <w:p>
      <w:pPr>
        <w:snapToGrid w:val="0"/>
        <w:spacing w:line="60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按照省市民生实事实施方案要求，根据我区实际，制定202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年安居区民生实事实施方案，成立以局长为组长，分管领导、相关股室为成员的专项工作小组。</w:t>
      </w:r>
    </w:p>
    <w:p>
      <w:pPr>
        <w:snapToGrid w:val="0"/>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（二）项目管理情况</w:t>
      </w:r>
    </w:p>
    <w:p>
      <w:pPr>
        <w:snapToGrid w:val="0"/>
        <w:spacing w:line="60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项目资金严格按照政府采购流程执行，招标结束及时进行建设、验收和货款支付，</w:t>
      </w:r>
      <w:r>
        <w:rPr>
          <w:rFonts w:hint="eastAsia" w:ascii="仿宋_GB2312" w:hAnsi="仿宋_GB2312" w:eastAsia="仿宋_GB2312" w:cs="仿宋_GB2312"/>
          <w:sz w:val="32"/>
          <w:szCs w:val="32"/>
          <w:lang w:eastAsia="zh-CN"/>
        </w:rPr>
        <w:t>对镇（街道）下达资金进行票据审查，明确用于公共图书馆、文化馆（站）免费开放，对</w:t>
      </w:r>
      <w:r>
        <w:rPr>
          <w:rFonts w:hint="eastAsia" w:ascii="仿宋_GB2312" w:hAnsi="仿宋_GB2312" w:eastAsia="仿宋_GB2312" w:cs="仿宋_GB2312"/>
          <w:sz w:val="32"/>
          <w:szCs w:val="32"/>
        </w:rPr>
        <w:t>项目规范管理。</w:t>
      </w:r>
    </w:p>
    <w:p>
      <w:pPr>
        <w:snapToGrid w:val="0"/>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（三）项目产出情况</w:t>
      </w:r>
    </w:p>
    <w:p>
      <w:pPr>
        <w:snapToGrid w:val="0"/>
        <w:spacing w:line="60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eastAsia="zh-CN"/>
        </w:rPr>
        <w:t>已全年实现安居区公共图书馆、文化馆（站）免费开放。</w:t>
      </w:r>
    </w:p>
    <w:p>
      <w:pPr>
        <w:snapToGrid w:val="0"/>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（四）项目效益情况</w:t>
      </w:r>
    </w:p>
    <w:p>
      <w:pPr>
        <w:snapToGrid w:val="0"/>
        <w:spacing w:line="600" w:lineRule="exact"/>
        <w:ind w:firstLine="640" w:firstLineChars="200"/>
        <w:rPr>
          <w:rFonts w:hint="eastAsia" w:ascii="楷体_GB2312" w:hAnsi="宋体" w:eastAsia="楷体_GB2312"/>
          <w:b/>
          <w:szCs w:val="21"/>
        </w:rPr>
      </w:pPr>
      <w:r>
        <w:rPr>
          <w:rFonts w:hint="eastAsia" w:ascii="仿宋_GB2312" w:hAnsi="仿宋_GB2312" w:eastAsia="仿宋_GB2312" w:cs="仿宋_GB2312"/>
          <w:color w:val="000000"/>
          <w:sz w:val="32"/>
          <w:szCs w:val="32"/>
        </w:rPr>
        <w:t>通过本项目的实施，</w:t>
      </w:r>
      <w:r>
        <w:rPr>
          <w:rFonts w:hint="eastAsia" w:ascii="仿宋_GB2312" w:hAnsi="仿宋_GB2312" w:eastAsia="仿宋_GB2312" w:cs="仿宋_GB2312"/>
          <w:color w:val="000000"/>
          <w:sz w:val="32"/>
          <w:szCs w:val="32"/>
          <w:lang w:eastAsia="zh-CN"/>
        </w:rPr>
        <w:t>丰富了公共图书馆、文化馆、镇（街道）文化站、</w:t>
      </w:r>
      <w:r>
        <w:rPr>
          <w:rFonts w:hint="eastAsia" w:ascii="仿宋_GB2312" w:hAnsi="仿宋_GB2312" w:eastAsia="仿宋_GB2312" w:cs="仿宋_GB2312"/>
          <w:color w:val="000000"/>
          <w:sz w:val="32"/>
          <w:szCs w:val="32"/>
        </w:rPr>
        <w:t>村</w:t>
      </w:r>
      <w:r>
        <w:rPr>
          <w:rFonts w:hint="eastAsia" w:ascii="仿宋_GB2312" w:hAnsi="仿宋_GB2312" w:eastAsia="仿宋_GB2312" w:cs="仿宋_GB2312"/>
          <w:color w:val="000000"/>
          <w:sz w:val="32"/>
          <w:szCs w:val="32"/>
          <w:lang w:eastAsia="zh-CN"/>
        </w:rPr>
        <w:t>文化室功能，基本实现</w:t>
      </w:r>
      <w:r>
        <w:rPr>
          <w:rFonts w:hint="eastAsia" w:ascii="仿宋_GB2312" w:hAnsi="仿宋_GB2312" w:eastAsia="仿宋_GB2312" w:cs="仿宋_GB2312"/>
          <w:color w:val="000000"/>
          <w:sz w:val="32"/>
          <w:szCs w:val="32"/>
        </w:rPr>
        <w:t>多功能室、文化广场、阅报栏、体育设施和文化活动</w:t>
      </w:r>
      <w:r>
        <w:rPr>
          <w:rFonts w:hint="eastAsia" w:ascii="仿宋_GB2312" w:hAnsi="仿宋_GB2312" w:eastAsia="仿宋_GB2312" w:cs="仿宋_GB2312"/>
          <w:color w:val="000000"/>
          <w:sz w:val="32"/>
          <w:szCs w:val="32"/>
          <w:lang w:eastAsia="zh-CN"/>
        </w:rPr>
        <w:t>全覆盖</w:t>
      </w:r>
      <w:r>
        <w:rPr>
          <w:rFonts w:hint="eastAsia" w:ascii="仿宋_GB2312" w:hAnsi="仿宋_GB2312" w:eastAsia="仿宋_GB2312" w:cs="仿宋_GB2312"/>
          <w:color w:val="000000"/>
          <w:sz w:val="32"/>
          <w:szCs w:val="32"/>
        </w:rPr>
        <w:t>。引导群众养成好习惯、形成好风气，丰富群众精神文化生活</w:t>
      </w:r>
      <w:r>
        <w:rPr>
          <w:rFonts w:hint="eastAsia" w:ascii="仿宋_GB2312" w:hAnsi="仿宋_GB2312" w:eastAsia="仿宋_GB2312" w:cs="仿宋_GB2312"/>
          <w:color w:val="000000"/>
          <w:sz w:val="32"/>
          <w:szCs w:val="32"/>
          <w:lang w:eastAsia="zh-CN"/>
        </w:rPr>
        <w:t>，获得了群众满意度</w:t>
      </w:r>
      <w:r>
        <w:rPr>
          <w:rFonts w:hint="eastAsia" w:ascii="仿宋_GB2312" w:hAnsi="仿宋_GB2312" w:eastAsia="仿宋_GB2312" w:cs="仿宋_GB2312"/>
          <w:color w:val="000000"/>
          <w:sz w:val="32"/>
          <w:szCs w:val="32"/>
        </w:rPr>
        <w:t>。</w:t>
      </w:r>
    </w:p>
    <w:p>
      <w:pPr>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五、存在主要问题</w:t>
      </w:r>
    </w:p>
    <w:p>
      <w:pPr>
        <w:snapToGrid w:val="0"/>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专业人员缺乏、活动设备单一、文艺器材短缺和群众文化队伍人员不足等原因，导致免费开放工作活动不够活跃，内容不够丰富。</w:t>
      </w:r>
    </w:p>
    <w:p>
      <w:pPr>
        <w:snapToGrid w:val="0"/>
        <w:spacing w:line="600" w:lineRule="exact"/>
        <w:ind w:firstLine="640" w:firstLineChars="200"/>
        <w:rPr>
          <w:rFonts w:hint="eastAsia"/>
          <w:b/>
          <w:sz w:val="32"/>
          <w:szCs w:val="32"/>
          <w:lang w:eastAsia="zh-CN"/>
        </w:rPr>
      </w:pPr>
      <w:r>
        <w:rPr>
          <w:rFonts w:hint="eastAsia" w:ascii="黑体" w:hAnsi="宋体" w:eastAsia="黑体"/>
          <w:sz w:val="32"/>
          <w:szCs w:val="32"/>
        </w:rPr>
        <w:t>六、相关措施建议</w:t>
      </w: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仿宋_GB2312" w:eastAsia="仿宋_GB2312" w:cs="仿宋_GB2312"/>
          <w:color w:val="000000"/>
          <w:sz w:val="32"/>
          <w:szCs w:val="32"/>
        </w:rPr>
        <w:t>加大对于群众文化工作基础设施建设的投入，抓好人才队伍建设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注重发挥村</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rPr>
        <w:t>文化建设的长效机制，通过整合资金、强化管理、督导落实等措施，尽量弥补薄弱环节，满足农民群众的需求。</w:t>
      </w: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sectPr>
          <w:pgSz w:w="11906" w:h="16838"/>
          <w:pgMar w:top="1440" w:right="1474" w:bottom="1440" w:left="1587" w:header="851" w:footer="992" w:gutter="0"/>
          <w:pgNumType w:fmt="decimal"/>
          <w:cols w:space="0" w:num="1"/>
          <w:titlePg/>
          <w:rtlGutter w:val="0"/>
          <w:docGrid w:type="lines" w:linePitch="312" w:charSpace="0"/>
        </w:sectPr>
      </w:pPr>
    </w:p>
    <w:tbl>
      <w:tblPr>
        <w:tblStyle w:val="15"/>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4"/>
        <w:gridCol w:w="1771"/>
        <w:gridCol w:w="2257"/>
        <w:gridCol w:w="521"/>
        <w:gridCol w:w="1673"/>
        <w:gridCol w:w="521"/>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图书馆、文化馆（站）免费开放区级配套（民生工程）项目支出绩效自评表（2022年度）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51090422T000000396625-图书馆、文化馆（站）免费开放区级配套（民生工程）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遂宁市安居区文化广播电视和旅游局部门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遂宁市安居区文化广播电视和旅游局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大力做好文化馆（站）、图书馆免费开放民生工程，开展，开展文化培训、展览、演出等活动，满足群众文化生活需要。</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完成免费开放任务的100%，完成区图书馆、文化馆、文化站免费开放资金拨付155万元，完成文化艺术展演(线上、线下）138场，送文化下乡100场。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完成免费开放任务的100%，完成区图书馆、文化馆、文化站免费开放资金拨付155万元，完成文化艺术展演(线上、线下）138场，送文化下乡100场，文化馆、图书馆和乡镇综合文化站公共服务效能进一步提升。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155.00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155.00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2022年预算</w:t>
            </w:r>
            <w:r>
              <w:rPr>
                <w:rFonts w:hint="eastAsia" w:ascii="宋体" w:hAnsi="宋体" w:cs="宋体"/>
                <w:i w:val="0"/>
                <w:iCs w:val="0"/>
                <w:color w:val="000000"/>
                <w:kern w:val="0"/>
                <w:sz w:val="18"/>
                <w:szCs w:val="18"/>
                <w:u w:val="none"/>
                <w:lang w:val="en-US" w:eastAsia="zh-CN" w:bidi="ar"/>
              </w:rPr>
              <w:t>追加</w:t>
            </w:r>
            <w:r>
              <w:rPr>
                <w:rFonts w:hint="eastAsia" w:ascii="宋体" w:hAnsi="宋体" w:eastAsia="宋体" w:cs="宋体"/>
                <w:i w:val="0"/>
                <w:iCs w:val="0"/>
                <w:color w:val="000000"/>
                <w:kern w:val="0"/>
                <w:sz w:val="18"/>
                <w:szCs w:val="18"/>
                <w:u w:val="none"/>
                <w:lang w:val="en-US" w:eastAsia="zh-CN" w:bidi="ar"/>
              </w:rPr>
              <w:t>140.5万元，具体为2022年追加本级预算1万元</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中央补助124万元</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省级补助9.3万元</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市级补助6.2万元。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155.00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155.00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区级文化馆免费开放场馆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区级图书馆免费开放场馆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乡镇文化站（含涉改乡镇）免费开放</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免费开放率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长期免费开放</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365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14.5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满足群众文化需求</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长期进行免费开放</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365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用户满意度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完成免费开放任务的100%，完成区图书馆、文化馆、文化站免费开放资金拨付155万元，完成文化艺术展演(线上、线下）138场，送文化下乡100场，文化馆、图书馆和乡镇综合文化站公共服务效能进一步提升。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项目负责人：刘阳铭</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财务负责人：罗春梅</w:t>
            </w:r>
          </w:p>
        </w:tc>
      </w:tr>
    </w:tbl>
    <w:p>
      <w:pPr>
        <w:pStyle w:val="35"/>
        <w:rPr>
          <w:rFonts w:hint="eastAsia"/>
          <w:lang w:val="zh-CN" w:eastAsia="zh-CN"/>
        </w:rPr>
        <w:sectPr>
          <w:pgSz w:w="16838" w:h="11906" w:orient="landscape"/>
          <w:pgMar w:top="1587" w:right="1440" w:bottom="1474" w:left="1440" w:header="851" w:footer="992" w:gutter="0"/>
          <w:pgNumType w:fmt="decimal"/>
          <w:cols w:space="0" w:num="1"/>
          <w:titlePg/>
          <w:rtlGutter w:val="0"/>
          <w:docGrid w:type="lines" w:linePitch="312" w:charSpace="0"/>
        </w:sectPr>
      </w:pPr>
    </w:p>
    <w:p>
      <w:pPr>
        <w:tabs>
          <w:tab w:val="left" w:pos="3885"/>
        </w:tabs>
        <w:snapToGrid w:val="0"/>
        <w:spacing w:beforeLines="0" w:afterLines="0" w:line="560" w:lineRule="exact"/>
        <w:jc w:val="center"/>
        <w:rPr>
          <w:rFonts w:hint="eastAsia" w:ascii="方正小标宋简体" w:hAnsi="宋体" w:eastAsia="方正小标宋简体"/>
          <w:sz w:val="44"/>
          <w:szCs w:val="24"/>
        </w:rPr>
      </w:pPr>
      <w:r>
        <w:rPr>
          <w:rFonts w:hint="eastAsia" w:ascii="方正小标宋简体" w:hAnsi="宋体" w:eastAsia="方正小标宋简体"/>
          <w:sz w:val="44"/>
          <w:szCs w:val="24"/>
        </w:rPr>
        <w:t>遂宁市安居区文化广播电视和旅游局</w:t>
      </w:r>
    </w:p>
    <w:p>
      <w:pPr>
        <w:tabs>
          <w:tab w:val="left" w:pos="3885"/>
        </w:tabs>
        <w:snapToGrid w:val="0"/>
        <w:spacing w:beforeLines="0" w:afterLines="0" w:line="560" w:lineRule="exact"/>
        <w:jc w:val="center"/>
        <w:rPr>
          <w:rFonts w:hint="eastAsia" w:ascii="方正小标宋简体" w:hAnsi="宋体" w:eastAsia="方正小标宋简体"/>
          <w:sz w:val="44"/>
          <w:szCs w:val="24"/>
        </w:rPr>
      </w:pPr>
      <w:r>
        <w:rPr>
          <w:rFonts w:hint="eastAsia" w:ascii="方正小标宋简体" w:hAnsi="宋体" w:eastAsia="方正小标宋简体"/>
          <w:sz w:val="44"/>
          <w:szCs w:val="24"/>
        </w:rPr>
        <w:t>关于2022年博物馆免费开放及文化遗产保护专项经费项目支出绩效自评的报告</w:t>
      </w:r>
    </w:p>
    <w:p>
      <w:pPr>
        <w:tabs>
          <w:tab w:val="left" w:pos="3885"/>
        </w:tabs>
        <w:snapToGrid w:val="0"/>
        <w:spacing w:beforeLines="0" w:afterLines="0" w:line="560" w:lineRule="exact"/>
        <w:ind w:firstLine="643" w:firstLineChars="200"/>
        <w:rPr>
          <w:rFonts w:hint="eastAsia" w:ascii="宋体" w:hAnsi="宋体" w:eastAsia="宋体"/>
          <w:b/>
          <w:sz w:val="32"/>
          <w:szCs w:val="24"/>
        </w:rPr>
      </w:pPr>
    </w:p>
    <w:p>
      <w:pPr>
        <w:numPr>
          <w:ilvl w:val="0"/>
          <w:numId w:val="4"/>
        </w:numPr>
        <w:tabs>
          <w:tab w:val="left" w:pos="3885"/>
        </w:tabs>
        <w:snapToGrid w:val="0"/>
        <w:spacing w:beforeLines="0" w:afterLines="0" w:line="560" w:lineRule="exact"/>
        <w:ind w:firstLine="640" w:firstLineChars="200"/>
        <w:rPr>
          <w:rFonts w:hint="eastAsia" w:ascii="黑体" w:hAnsi="宋体" w:eastAsia="黑体"/>
          <w:sz w:val="32"/>
          <w:szCs w:val="24"/>
        </w:rPr>
      </w:pPr>
      <w:r>
        <w:rPr>
          <w:rFonts w:hint="eastAsia" w:ascii="黑体" w:hAnsi="宋体" w:eastAsia="黑体"/>
          <w:sz w:val="32"/>
          <w:szCs w:val="24"/>
        </w:rPr>
        <w:t>基本情况</w:t>
      </w:r>
    </w:p>
    <w:p>
      <w:pPr>
        <w:snapToGrid w:val="0"/>
        <w:spacing w:beforeLines="0" w:afterLines="0" w:line="560" w:lineRule="exact"/>
        <w:ind w:firstLine="640" w:firstLineChars="200"/>
        <w:rPr>
          <w:rFonts w:hint="eastAsia" w:ascii="仿宋_GB2312" w:hAnsi="仿宋_GB2312" w:cs="仿宋_GB2312"/>
          <w:sz w:val="32"/>
          <w:szCs w:val="21"/>
        </w:rPr>
      </w:pPr>
      <w:r>
        <w:rPr>
          <w:rFonts w:hint="eastAsia" w:ascii="仿宋_GB2312" w:hAnsi="仿宋_GB2312" w:eastAsia="仿宋_GB2312" w:cs="仿宋_GB2312"/>
          <w:sz w:val="32"/>
          <w:szCs w:val="21"/>
        </w:rPr>
        <w:t>安居石刻博物馆位于遂宁市安居区凤凰文化中心，于 2013 年 7 月建成，建筑面积 5476 ㎡，是一所综合性博物馆，设地域文化展厅、石刻艺术展厅、临时布展厅，馆藏文物 105 件，其中三级文物 2 件。根据2022年区级财政资金安排，2022年区博物馆免费开放及文化遗产保护项目经费为10万元，资金主要用于区博物馆聘用人员工资和馆舍维修、活动开展、广告制作及其他文化遗产保护相关工作支出。</w:t>
      </w:r>
    </w:p>
    <w:p>
      <w:pPr>
        <w:snapToGrid w:val="0"/>
        <w:spacing w:beforeLines="0" w:afterLines="0" w:line="560" w:lineRule="exact"/>
        <w:ind w:firstLine="640" w:firstLineChars="200"/>
        <w:rPr>
          <w:rFonts w:hint="eastAsia" w:ascii="宋体" w:hAnsi="宋体"/>
          <w:sz w:val="32"/>
          <w:szCs w:val="24"/>
        </w:rPr>
      </w:pPr>
      <w:r>
        <w:rPr>
          <w:rFonts w:hint="eastAsia" w:ascii="黑体" w:hAnsi="黑体" w:eastAsia="黑体" w:cs="黑体"/>
          <w:sz w:val="32"/>
          <w:szCs w:val="21"/>
        </w:rPr>
        <w:t>二、评价工作开展情况</w:t>
      </w:r>
    </w:p>
    <w:p>
      <w:pPr>
        <w:snapToGrid w:val="0"/>
        <w:spacing w:beforeLines="0" w:afterLines="0" w:line="560" w:lineRule="exact"/>
        <w:ind w:firstLine="640" w:firstLineChars="200"/>
        <w:rPr>
          <w:rFonts w:hint="eastAsia" w:ascii="楷体" w:hAnsi="楷体" w:eastAsia="楷体" w:cs="楷体"/>
          <w:b w:val="0"/>
          <w:bCs/>
          <w:sz w:val="32"/>
          <w:szCs w:val="21"/>
        </w:rPr>
      </w:pPr>
      <w:r>
        <w:rPr>
          <w:rFonts w:hint="eastAsia" w:ascii="楷体" w:hAnsi="楷体" w:eastAsia="楷体" w:cs="楷体"/>
          <w:b w:val="0"/>
          <w:bCs/>
          <w:sz w:val="32"/>
          <w:szCs w:val="21"/>
        </w:rPr>
        <w:t>(一)绩效评价工作方案制定过程</w:t>
      </w:r>
    </w:p>
    <w:p>
      <w:pPr>
        <w:snapToGrid w:val="0"/>
        <w:spacing w:beforeLines="0" w:afterLines="0" w:line="56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1.前期调研。</w:t>
      </w:r>
    </w:p>
    <w:p>
      <w:pPr>
        <w:snapToGrid w:val="0"/>
        <w:spacing w:beforeLines="0" w:afterLines="0" w:line="56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2.研究文件。</w:t>
      </w:r>
    </w:p>
    <w:p>
      <w:pPr>
        <w:snapToGrid w:val="0"/>
        <w:spacing w:beforeLines="0" w:afterLines="0" w:line="56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3.绩效评价指标体系及工作方案的设计。</w:t>
      </w:r>
    </w:p>
    <w:p>
      <w:pPr>
        <w:snapToGrid w:val="0"/>
        <w:spacing w:beforeLines="0" w:afterLines="0" w:line="560" w:lineRule="exact"/>
        <w:ind w:firstLine="640" w:firstLineChars="200"/>
        <w:rPr>
          <w:rFonts w:hint="eastAsia" w:ascii="楷体" w:hAnsi="楷体" w:eastAsia="楷体" w:cs="楷体"/>
          <w:b w:val="0"/>
          <w:bCs/>
          <w:sz w:val="32"/>
          <w:szCs w:val="21"/>
        </w:rPr>
      </w:pPr>
      <w:r>
        <w:rPr>
          <w:rFonts w:hint="eastAsia" w:ascii="楷体" w:hAnsi="楷体" w:eastAsia="楷体" w:cs="楷体"/>
          <w:b w:val="0"/>
          <w:bCs/>
          <w:sz w:val="32"/>
          <w:szCs w:val="21"/>
        </w:rPr>
        <w:t>(二)绩效评价原则、评价方法</w:t>
      </w:r>
    </w:p>
    <w:p>
      <w:pPr>
        <w:snapToGrid w:val="0"/>
        <w:spacing w:beforeLines="0" w:afterLines="0" w:line="56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1.绩效评价原则。</w:t>
      </w:r>
    </w:p>
    <w:p>
      <w:pPr>
        <w:snapToGrid w:val="0"/>
        <w:spacing w:beforeLines="0" w:afterLines="0" w:line="56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项目绩效评价遵循科学规范、公开公正、绩效相关等原则。</w:t>
      </w:r>
    </w:p>
    <w:p>
      <w:pPr>
        <w:snapToGrid w:val="0"/>
        <w:spacing w:beforeLines="0" w:afterLines="0" w:line="56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2.绩效评价方法。</w:t>
      </w:r>
    </w:p>
    <w:p>
      <w:pPr>
        <w:snapToGrid w:val="0"/>
        <w:spacing w:beforeLines="0" w:afterLines="0" w:line="560" w:lineRule="exact"/>
        <w:ind w:firstLine="640" w:firstLineChars="200"/>
        <w:rPr>
          <w:rFonts w:hint="eastAsia" w:ascii="仿宋_GB2312" w:hAnsi="仿宋_GB2312" w:cs="仿宋_GB2312"/>
          <w:sz w:val="32"/>
          <w:szCs w:val="21"/>
        </w:rPr>
      </w:pPr>
      <w:r>
        <w:rPr>
          <w:rFonts w:hint="eastAsia" w:ascii="仿宋_GB2312" w:hAnsi="仿宋_GB2312" w:eastAsia="仿宋_GB2312" w:cs="仿宋_GB2312"/>
          <w:sz w:val="32"/>
          <w:szCs w:val="21"/>
        </w:rPr>
        <w:t>采用指标评价、数据采集和社会调查方法。</w:t>
      </w:r>
    </w:p>
    <w:p>
      <w:pPr>
        <w:snapToGrid w:val="0"/>
        <w:spacing w:beforeLines="0" w:afterLines="0" w:line="560" w:lineRule="exact"/>
        <w:ind w:firstLine="640" w:firstLineChars="200"/>
        <w:rPr>
          <w:rFonts w:hint="eastAsia" w:ascii="楷体" w:hAnsi="楷体" w:eastAsia="楷体" w:cs="楷体"/>
          <w:b w:val="0"/>
          <w:bCs/>
          <w:sz w:val="32"/>
          <w:szCs w:val="21"/>
        </w:rPr>
      </w:pPr>
      <w:r>
        <w:rPr>
          <w:rFonts w:hint="eastAsia" w:ascii="楷体" w:hAnsi="楷体" w:eastAsia="楷体" w:cs="楷体"/>
          <w:b w:val="0"/>
          <w:bCs/>
          <w:sz w:val="32"/>
          <w:szCs w:val="21"/>
        </w:rPr>
        <w:t>(三)绩效评价实施过程</w:t>
      </w:r>
    </w:p>
    <w:p>
      <w:pPr>
        <w:snapToGrid w:val="0"/>
        <w:spacing w:beforeLines="0" w:afterLines="0" w:line="56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1.数据填报和采集。</w:t>
      </w:r>
    </w:p>
    <w:p>
      <w:pPr>
        <w:snapToGrid w:val="0"/>
        <w:spacing w:beforeLines="0" w:afterLines="0" w:line="56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2.社会调查。</w:t>
      </w:r>
    </w:p>
    <w:p>
      <w:pPr>
        <w:snapToGrid w:val="0"/>
        <w:spacing w:beforeLines="0" w:afterLines="0" w:line="56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3.数据分析和撰写报告。</w:t>
      </w:r>
    </w:p>
    <w:p>
      <w:pPr>
        <w:snapToGrid w:val="0"/>
        <w:spacing w:beforeLines="0" w:afterLines="0" w:line="560" w:lineRule="exact"/>
        <w:ind w:firstLine="640" w:firstLineChars="200"/>
        <w:rPr>
          <w:rFonts w:hint="eastAsia" w:ascii="黑体" w:hAnsi="宋体" w:eastAsia="黑体"/>
          <w:sz w:val="32"/>
          <w:szCs w:val="24"/>
        </w:rPr>
      </w:pPr>
      <w:r>
        <w:rPr>
          <w:rFonts w:hint="eastAsia" w:ascii="黑体" w:hAnsi="宋体" w:eastAsia="黑体"/>
          <w:sz w:val="32"/>
          <w:szCs w:val="24"/>
        </w:rPr>
        <w:t>三、综合评价结论（附自评表）</w:t>
      </w:r>
    </w:p>
    <w:p>
      <w:pPr>
        <w:snapToGrid w:val="0"/>
        <w:spacing w:beforeLines="0" w:afterLines="0" w:line="560" w:lineRule="exact"/>
        <w:ind w:firstLine="640" w:firstLineChars="200"/>
        <w:rPr>
          <w:rFonts w:hint="eastAsia" w:ascii="仿宋_GB2312" w:hAnsi="仿宋_GB2312" w:eastAsia="仿宋_GB2312" w:cs="仿宋_GB2312"/>
          <w:sz w:val="32"/>
          <w:szCs w:val="21"/>
          <w:lang w:eastAsia="zh-CN"/>
        </w:rPr>
      </w:pPr>
      <w:r>
        <w:rPr>
          <w:rFonts w:hint="eastAsia" w:ascii="仿宋_GB2312" w:hAnsi="仿宋_GB2312" w:eastAsia="仿宋_GB2312" w:cs="仿宋_GB2312"/>
          <w:sz w:val="32"/>
          <w:szCs w:val="21"/>
        </w:rPr>
        <w:t>2022年博物馆免费开放及文化遗产保护专项经费项目</w:t>
      </w:r>
      <w:r>
        <w:rPr>
          <w:rFonts w:hint="eastAsia" w:ascii="仿宋_GB2312" w:hAnsi="仿宋_GB2312" w:eastAsia="仿宋_GB2312" w:cs="仿宋_GB2312"/>
          <w:sz w:val="32"/>
          <w:szCs w:val="21"/>
          <w:lang w:eastAsia="zh-CN"/>
        </w:rPr>
        <w:t>实施情况良好，保障了区博物馆全年正常免费开放，保障了全区文物安全。</w:t>
      </w:r>
    </w:p>
    <w:p>
      <w:pPr>
        <w:snapToGrid w:val="0"/>
        <w:spacing w:beforeLines="0" w:afterLines="0" w:line="560" w:lineRule="exact"/>
        <w:ind w:firstLine="640" w:firstLineChars="200"/>
        <w:rPr>
          <w:rFonts w:hint="eastAsia" w:ascii="黑体" w:hAnsi="黑体" w:eastAsia="黑体" w:cs="黑体"/>
          <w:sz w:val="32"/>
          <w:szCs w:val="21"/>
        </w:rPr>
      </w:pPr>
      <w:r>
        <w:rPr>
          <w:rFonts w:hint="eastAsia" w:ascii="黑体" w:hAnsi="黑体" w:eastAsia="黑体" w:cs="黑体"/>
          <w:sz w:val="32"/>
          <w:szCs w:val="21"/>
        </w:rPr>
        <w:t>四、绩效评价分析</w:t>
      </w:r>
    </w:p>
    <w:p>
      <w:pPr>
        <w:snapToGrid w:val="0"/>
        <w:spacing w:beforeLines="0" w:afterLines="0" w:line="560" w:lineRule="exact"/>
        <w:ind w:firstLine="640" w:firstLineChars="200"/>
        <w:rPr>
          <w:rFonts w:hint="eastAsia" w:ascii="楷体" w:hAnsi="楷体" w:eastAsia="楷体" w:cs="楷体"/>
          <w:b w:val="0"/>
          <w:bCs/>
          <w:sz w:val="32"/>
          <w:szCs w:val="21"/>
        </w:rPr>
      </w:pPr>
      <w:r>
        <w:rPr>
          <w:rFonts w:hint="eastAsia" w:ascii="楷体" w:hAnsi="楷体" w:eastAsia="楷体" w:cs="楷体"/>
          <w:b w:val="0"/>
          <w:bCs/>
          <w:sz w:val="32"/>
          <w:szCs w:val="21"/>
        </w:rPr>
        <w:t>（一）项目决策情况</w:t>
      </w:r>
    </w:p>
    <w:p>
      <w:pPr>
        <w:snapToGrid w:val="0"/>
        <w:spacing w:beforeLines="0" w:afterLines="0" w:line="560" w:lineRule="exact"/>
        <w:ind w:firstLine="640" w:firstLineChars="200"/>
        <w:rPr>
          <w:rFonts w:hint="eastAsia" w:ascii="仿宋_GB2312" w:hAnsi="仿宋_GB2312" w:eastAsia="仿宋_GB2312" w:cs="仿宋_GB2312"/>
          <w:sz w:val="32"/>
          <w:szCs w:val="21"/>
          <w:highlight w:val="red"/>
        </w:rPr>
      </w:pPr>
      <w:r>
        <w:rPr>
          <w:rFonts w:hint="eastAsia" w:ascii="仿宋_GB2312" w:hAnsi="仿宋_GB2312" w:eastAsia="仿宋_GB2312" w:cs="仿宋_GB2312"/>
          <w:sz w:val="32"/>
          <w:szCs w:val="21"/>
        </w:rPr>
        <w:t>根据川财教[2020]109号文件、《博物馆条例》、中华人民共和国文化部令第 35 号（博物馆管理办法）、《中华人民共和国文物保护法》等法律法规和相关文件决策。</w:t>
      </w:r>
    </w:p>
    <w:p>
      <w:pPr>
        <w:snapToGrid w:val="0"/>
        <w:spacing w:beforeLines="0" w:afterLines="0" w:line="560" w:lineRule="exact"/>
        <w:ind w:firstLine="640" w:firstLineChars="200"/>
        <w:rPr>
          <w:rFonts w:hint="eastAsia" w:ascii="楷体" w:hAnsi="楷体" w:eastAsia="楷体" w:cs="楷体"/>
          <w:b w:val="0"/>
          <w:bCs/>
          <w:sz w:val="32"/>
          <w:szCs w:val="21"/>
        </w:rPr>
      </w:pPr>
      <w:r>
        <w:rPr>
          <w:rFonts w:hint="eastAsia" w:ascii="楷体" w:hAnsi="楷体" w:eastAsia="楷体" w:cs="楷体"/>
          <w:b w:val="0"/>
          <w:bCs/>
          <w:sz w:val="32"/>
          <w:szCs w:val="21"/>
        </w:rPr>
        <w:t>（二）项目管理情况</w:t>
      </w:r>
    </w:p>
    <w:p>
      <w:pPr>
        <w:snapToGrid w:val="0"/>
        <w:spacing w:beforeLines="0" w:afterLines="0" w:line="56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根据《博物馆条例》第五条规定：国有博物馆的正常运行经费列入本级财政预算，该项目纳入区级财政预算，在局党组的领导下通过党组会讨论决定后由博物馆具体负责管理实施，项目实施过程中严格按照局《财务管理办法》《固定资产管理办法》《廉政纪律制度》《采购业务管理办法》《合同管理制度》等制度执行。</w:t>
      </w:r>
    </w:p>
    <w:p>
      <w:pPr>
        <w:snapToGrid w:val="0"/>
        <w:spacing w:beforeLines="0" w:afterLines="0" w:line="560" w:lineRule="exact"/>
        <w:ind w:firstLine="640" w:firstLineChars="200"/>
        <w:rPr>
          <w:rFonts w:hint="eastAsia" w:ascii="楷体" w:hAnsi="楷体" w:eastAsia="楷体" w:cs="楷体"/>
          <w:b w:val="0"/>
          <w:bCs/>
          <w:sz w:val="32"/>
          <w:szCs w:val="21"/>
        </w:rPr>
      </w:pPr>
      <w:r>
        <w:rPr>
          <w:rFonts w:hint="eastAsia" w:ascii="楷体" w:hAnsi="楷体" w:eastAsia="楷体" w:cs="楷体"/>
          <w:b w:val="0"/>
          <w:bCs/>
          <w:sz w:val="32"/>
          <w:szCs w:val="21"/>
        </w:rPr>
        <w:t>（三）项目产出情况</w:t>
      </w:r>
    </w:p>
    <w:p>
      <w:pPr>
        <w:snapToGrid w:val="0"/>
        <w:spacing w:beforeLines="0" w:afterLines="0" w:line="56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2022年博物馆免费开放用于博物馆免费开放人员经费、免费开放日常支出、博物馆场馆维修、设备添置、文物保护等支出共计7.61万元，2022年12月，区财政局收回2.39万元。</w:t>
      </w:r>
    </w:p>
    <w:p>
      <w:pPr>
        <w:snapToGrid w:val="0"/>
        <w:spacing w:beforeLines="0" w:afterLines="0" w:line="560" w:lineRule="exact"/>
        <w:ind w:firstLine="640" w:firstLineChars="200"/>
        <w:rPr>
          <w:rFonts w:hint="eastAsia" w:ascii="楷体" w:hAnsi="楷体" w:eastAsia="楷体" w:cs="楷体"/>
          <w:b w:val="0"/>
          <w:bCs/>
          <w:sz w:val="32"/>
          <w:szCs w:val="21"/>
        </w:rPr>
      </w:pPr>
      <w:r>
        <w:rPr>
          <w:rFonts w:hint="eastAsia" w:ascii="楷体" w:hAnsi="楷体" w:eastAsia="楷体" w:cs="楷体"/>
          <w:b w:val="0"/>
          <w:bCs/>
          <w:sz w:val="32"/>
          <w:szCs w:val="21"/>
        </w:rPr>
        <w:t>（四）项目效益情况。</w:t>
      </w:r>
    </w:p>
    <w:p>
      <w:pPr>
        <w:snapToGrid w:val="0"/>
        <w:spacing w:beforeLines="0" w:afterLines="0" w:line="56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该项目属于公益项目，对广大群众实行全免费开放和文化遗产保护，不产生经济效益。在社会效益方面全面满足了人民群众的文化生活需求，为广大市民提供了一个享受文化的活动场所，丰富了人民群众的文化精神生活，同时保障全区文物安全。</w:t>
      </w:r>
    </w:p>
    <w:p>
      <w:pPr>
        <w:snapToGrid w:val="0"/>
        <w:spacing w:beforeLines="0" w:afterLines="0" w:line="560" w:lineRule="exact"/>
        <w:ind w:firstLine="640" w:firstLineChars="200"/>
        <w:rPr>
          <w:rFonts w:hint="eastAsia" w:ascii="黑体" w:hAnsi="宋体" w:eastAsia="黑体"/>
          <w:sz w:val="32"/>
          <w:szCs w:val="24"/>
        </w:rPr>
      </w:pPr>
      <w:r>
        <w:rPr>
          <w:rFonts w:hint="eastAsia" w:ascii="黑体" w:hAnsi="宋体" w:eastAsia="黑体"/>
          <w:sz w:val="32"/>
          <w:szCs w:val="24"/>
        </w:rPr>
        <w:t>五、存在主要问题</w:t>
      </w:r>
    </w:p>
    <w:p>
      <w:pPr>
        <w:snapToGrid w:val="0"/>
        <w:spacing w:beforeLines="0" w:afterLines="0" w:line="560" w:lineRule="exact"/>
        <w:ind w:firstLine="640" w:firstLineChars="200"/>
        <w:rPr>
          <w:rFonts w:hint="eastAsia" w:ascii="仿宋_GB2312" w:hAnsi="仿宋_GB2312" w:cs="仿宋_GB2312"/>
          <w:sz w:val="32"/>
          <w:szCs w:val="21"/>
        </w:rPr>
      </w:pPr>
      <w:r>
        <w:rPr>
          <w:rFonts w:hint="eastAsia" w:ascii="仿宋_GB2312" w:hAnsi="仿宋_GB2312" w:eastAsia="仿宋_GB2312" w:cs="仿宋_GB2312"/>
          <w:sz w:val="32"/>
          <w:szCs w:val="21"/>
        </w:rPr>
        <w:t>因工作需要，外聘2名工作人员，免费开放经费较少，只能基本保障聘用人员工资，博物馆其他免开工作资金缺口较大，很大程度限制了博物馆免费开放和文物保护工作的开展。</w:t>
      </w:r>
    </w:p>
    <w:p>
      <w:pPr>
        <w:snapToGrid w:val="0"/>
        <w:spacing w:beforeLines="0" w:afterLines="0" w:line="560" w:lineRule="exact"/>
        <w:ind w:firstLine="640" w:firstLineChars="200"/>
        <w:rPr>
          <w:rFonts w:hint="eastAsia"/>
          <w:b/>
          <w:sz w:val="32"/>
          <w:szCs w:val="24"/>
        </w:rPr>
      </w:pPr>
      <w:r>
        <w:rPr>
          <w:rFonts w:hint="eastAsia" w:ascii="黑体" w:hAnsi="宋体" w:eastAsia="黑体"/>
          <w:sz w:val="32"/>
          <w:szCs w:val="24"/>
        </w:rPr>
        <w:t>六、相关措施建议</w:t>
      </w:r>
    </w:p>
    <w:p>
      <w:pPr>
        <w:pStyle w:val="35"/>
        <w:rPr>
          <w:rFonts w:hint="eastAsia"/>
          <w:lang w:val="zh-CN" w:eastAsia="zh-CN"/>
        </w:rPr>
      </w:pPr>
      <w:r>
        <w:rPr>
          <w:rFonts w:hint="eastAsia" w:ascii="仿宋_GB2312" w:hAnsi="仿宋_GB2312" w:eastAsia="仿宋_GB2312" w:cs="仿宋_GB2312"/>
          <w:sz w:val="32"/>
          <w:szCs w:val="21"/>
        </w:rPr>
        <w:t>建议财政逐年加大一些投入，确保区博物馆有效运行和文物安全。</w:t>
      </w: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sectPr>
          <w:pgSz w:w="11906" w:h="16838"/>
          <w:pgMar w:top="1440" w:right="1474" w:bottom="1440" w:left="1587" w:header="851" w:footer="992" w:gutter="0"/>
          <w:pgNumType w:fmt="decimal"/>
          <w:cols w:space="0" w:num="1"/>
          <w:titlePg/>
          <w:rtlGutter w:val="0"/>
          <w:docGrid w:type="lines" w:linePitch="312" w:charSpace="0"/>
        </w:sectPr>
      </w:pPr>
    </w:p>
    <w:tbl>
      <w:tblPr>
        <w:tblStyle w:val="15"/>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2012"/>
        <w:gridCol w:w="1745"/>
        <w:gridCol w:w="2219"/>
        <w:gridCol w:w="518"/>
        <w:gridCol w:w="1646"/>
        <w:gridCol w:w="518"/>
        <w:gridCol w:w="1085"/>
        <w:gridCol w:w="505"/>
        <w:gridCol w:w="666"/>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博物馆免费开放及文化遗产保护专项经费项目支出绩效自评表（2022年度）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51090422T000000397722-博物馆免费开放及文化遗产保护专项经费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遂宁市安居区文化广播电视和旅游局部门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遂宁市安居区文化广播电视和旅游局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大力做好博物馆免费开放民生工程，提升博物馆服务水平，满足群众文化生活需要。</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完成区博物馆全年免费开放各项工作及考核，博物馆服务水平日益提升，做好文化遗产保护各项工作，实现全区文物安全“0”事故。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2022年区财政预算资金10万元，预算调整后执行7.61万元，用于保障博物馆纪念馆免费开放正常运行支出，包括文物的保管、陈列、修复、征集；博物馆的修缮和建设；考古调查、勘探、发掘；文物保护的科学研究、宣传教育走基层、进社区、学校等举办各类活动发生的支出；举办临时展览、展览提升、外展支出；文物的安全防范，消防、技防支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2022年预算调减2.39万元主要是由于截</w:t>
            </w:r>
            <w:r>
              <w:rPr>
                <w:rFonts w:hint="eastAsia" w:ascii="宋体" w:hAnsi="宋体" w:cs="宋体"/>
                <w:i w:val="0"/>
                <w:iCs w:val="0"/>
                <w:color w:val="000000"/>
                <w:kern w:val="0"/>
                <w:sz w:val="18"/>
                <w:szCs w:val="18"/>
                <w:u w:val="none"/>
                <w:lang w:val="en-US" w:eastAsia="zh-CN" w:bidi="ar"/>
              </w:rPr>
              <w:t>至</w:t>
            </w:r>
            <w:r>
              <w:rPr>
                <w:rFonts w:hint="eastAsia" w:ascii="宋体" w:hAnsi="宋体" w:eastAsia="宋体" w:cs="宋体"/>
                <w:i w:val="0"/>
                <w:iCs w:val="0"/>
                <w:color w:val="000000"/>
                <w:kern w:val="0"/>
                <w:sz w:val="18"/>
                <w:szCs w:val="18"/>
                <w:u w:val="none"/>
                <w:lang w:val="en-US" w:eastAsia="zh-CN" w:bidi="ar"/>
              </w:rPr>
              <w:t>年底未支付，财政收回</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博物馆免费开放数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博物馆免费开放天数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成本预算</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7.61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7.61</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截</w:t>
            </w:r>
            <w:r>
              <w:rPr>
                <w:rFonts w:hint="eastAsia" w:ascii="宋体" w:hAnsi="宋体" w:cs="宋体"/>
                <w:i w:val="0"/>
                <w:iCs w:val="0"/>
                <w:color w:val="000000"/>
                <w:kern w:val="0"/>
                <w:sz w:val="18"/>
                <w:szCs w:val="18"/>
                <w:u w:val="none"/>
                <w:lang w:val="en-US" w:eastAsia="zh-CN" w:bidi="ar"/>
              </w:rPr>
              <w:t>至</w:t>
            </w:r>
            <w:r>
              <w:rPr>
                <w:rFonts w:hint="eastAsia" w:ascii="宋体" w:hAnsi="宋体" w:eastAsia="宋体" w:cs="宋体"/>
                <w:i w:val="0"/>
                <w:iCs w:val="0"/>
                <w:color w:val="000000"/>
                <w:kern w:val="0"/>
                <w:sz w:val="18"/>
                <w:szCs w:val="18"/>
                <w:u w:val="none"/>
                <w:lang w:val="en-US" w:eastAsia="zh-CN" w:bidi="ar"/>
              </w:rPr>
              <w:t>年底未支付，财政收回</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满足群众文化生活需要</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97.61</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该项目属于公益项目，对广大群众实行全免费开放和文化遗产保护，不产生经济效益。在社会效益方面全面满足了人民群众的文化生活需求，为广大市民提供了一个享受文化的活动场所，丰富了人民群众的文化精神生活，同时保障全区文物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免费开放经费较少，只能基本保障聘用人员工资，博物馆其他免开工作资金缺口较大，很大程度限制了博物馆免费开放和文物保护工作的开展，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建议财政逐年加大一些投入，确保区博物馆有效运行和文物安全。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项目负责人：罗彬</w:t>
            </w:r>
          </w:p>
        </w:tc>
        <w:tc>
          <w:tcPr>
            <w:tcW w:w="6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财务负责人：罗春梅</w:t>
            </w:r>
          </w:p>
        </w:tc>
      </w:tr>
    </w:tbl>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sectPr>
          <w:pgSz w:w="16838" w:h="11906" w:orient="landscape"/>
          <w:pgMar w:top="1587" w:right="1440" w:bottom="1474" w:left="1440" w:header="851" w:footer="992" w:gutter="0"/>
          <w:pgNumType w:fmt="decimal"/>
          <w:cols w:space="0" w:num="1"/>
          <w:titlePg/>
          <w:rtlGutter w:val="0"/>
          <w:docGrid w:type="lines" w:linePitch="312" w:charSpace="0"/>
        </w:sectPr>
      </w:pPr>
    </w:p>
    <w:p>
      <w:pPr>
        <w:snapToGrid w:val="0"/>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遂宁市安居区文化广播电视和旅游局关于</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宋体" w:eastAsia="方正小标宋简体"/>
          <w:sz w:val="44"/>
          <w:szCs w:val="44"/>
          <w:lang w:val="en-US" w:eastAsia="zh-CN"/>
        </w:rPr>
        <w:t>2022年</w:t>
      </w:r>
      <w:r>
        <w:rPr>
          <w:rFonts w:hint="eastAsia" w:ascii="方正小标宋简体" w:hAnsi="方正小标宋简体" w:eastAsia="方正小标宋简体" w:cs="方正小标宋简体"/>
          <w:sz w:val="44"/>
          <w:szCs w:val="44"/>
        </w:rPr>
        <w:t>文化旅游市场执法监管及法治宣传项目支出绩效自评</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报告</w:t>
      </w:r>
    </w:p>
    <w:p>
      <w:pPr>
        <w:tabs>
          <w:tab w:val="left" w:pos="3885"/>
        </w:tabs>
        <w:snapToGrid w:val="0"/>
        <w:spacing w:line="600" w:lineRule="exact"/>
        <w:ind w:firstLine="422" w:firstLineChars="200"/>
        <w:jc w:val="left"/>
        <w:rPr>
          <w:rFonts w:ascii="宋体" w:hAnsi="宋体"/>
          <w:b/>
          <w:szCs w:val="21"/>
        </w:rPr>
      </w:pPr>
    </w:p>
    <w:p>
      <w:pPr>
        <w:numPr>
          <w:ilvl w:val="0"/>
          <w:numId w:val="4"/>
        </w:numPr>
        <w:tabs>
          <w:tab w:val="left" w:pos="3885"/>
        </w:tabs>
        <w:snapToGrid w:val="0"/>
        <w:spacing w:line="600" w:lineRule="exact"/>
        <w:ind w:firstLine="640" w:firstLineChars="200"/>
        <w:jc w:val="left"/>
        <w:rPr>
          <w:rFonts w:hint="eastAsia" w:ascii="黑体" w:hAnsi="宋体" w:eastAsia="黑体"/>
          <w:sz w:val="32"/>
          <w:szCs w:val="32"/>
        </w:rPr>
      </w:pPr>
      <w:r>
        <w:rPr>
          <w:rFonts w:hint="eastAsia" w:ascii="黑体" w:hAnsi="宋体" w:eastAsia="黑体"/>
          <w:sz w:val="32"/>
          <w:szCs w:val="32"/>
        </w:rPr>
        <w:t>基本情况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2022年区财政预算资金10万元，</w:t>
      </w:r>
      <w:r>
        <w:rPr>
          <w:rFonts w:hint="eastAsia" w:ascii="仿宋_GB2312" w:hAnsi="仿宋_GB2312" w:eastAsia="仿宋_GB2312" w:cs="仿宋_GB2312"/>
          <w:sz w:val="32"/>
          <w:szCs w:val="32"/>
          <w:lang w:eastAsia="zh-CN"/>
        </w:rPr>
        <w:t>用于实施文化旅游市场执法监管及法治宣传项目，包括对网吧、娱乐场所、旅游市场、出版物市场等文旅市场主体的日常执法监管；</w:t>
      </w:r>
      <w:r>
        <w:rPr>
          <w:rFonts w:hint="eastAsia" w:ascii="仿宋_GB2312" w:hAnsi="仿宋_GB2312" w:eastAsia="仿宋_GB2312" w:cs="仿宋_GB2312"/>
          <w:sz w:val="32"/>
          <w:szCs w:val="32"/>
          <w:lang w:val="en-US" w:eastAsia="zh-CN"/>
        </w:rPr>
        <w:t>开展互联网上网服务场所专项整治、“扫黄打非”专项整治、校园周边环境专项整治等专项整治行动</w:t>
      </w:r>
      <w:r>
        <w:rPr>
          <w:rFonts w:hint="eastAsia" w:ascii="仿宋_GB2312" w:hAnsi="仿宋_GB2312" w:eastAsia="仿宋_GB2312" w:cs="仿宋_GB2312"/>
          <w:sz w:val="32"/>
          <w:szCs w:val="32"/>
          <w:lang w:eastAsia="zh-CN"/>
        </w:rPr>
        <w:t>，严厉打击文化旅游市场违法违规行为。开展集中法制宣传、法律法规专题培训、法律进企业等活动，提升文化旅游经营单位从业人员遵纪守法意识。</w:t>
      </w:r>
    </w:p>
    <w:p>
      <w:pPr>
        <w:snapToGrid w:val="0"/>
        <w:spacing w:line="600" w:lineRule="exact"/>
        <w:ind w:firstLine="640" w:firstLineChars="200"/>
        <w:rPr>
          <w:rFonts w:hint="eastAsia" w:ascii="宋体" w:hAnsi="宋体"/>
          <w:sz w:val="32"/>
          <w:szCs w:val="32"/>
        </w:rPr>
      </w:pPr>
      <w:r>
        <w:rPr>
          <w:rFonts w:hint="eastAsia" w:ascii="黑体" w:hAnsi="黑体" w:eastAsia="黑体" w:cs="黑体"/>
          <w:sz w:val="32"/>
          <w:szCs w:val="32"/>
        </w:rPr>
        <w:t>二、评价工作开展情况</w:t>
      </w:r>
    </w:p>
    <w:p>
      <w:pPr>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评价工作坚持全面与重点相结合，客观评估文化旅游市场执法监管及法治宣传项目实施情况，对是否达到预期目标做出准确判断，找出存在的问题及原因。</w:t>
      </w:r>
    </w:p>
    <w:p>
      <w:pPr>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（一）按照年初工作计划逐一梳理完成情况。</w:t>
      </w:r>
    </w:p>
    <w:p>
      <w:pPr>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（二）对照完成情况，分析其是否达到预期目标，针对还存在的问题，分析原因，做好整改，切实解决实际问题。</w:t>
      </w:r>
    </w:p>
    <w:p>
      <w:pPr>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（三）按照上级要求，落实相关工作，顺利完成上级交办的工作任务，并通过各项检查。</w:t>
      </w:r>
    </w:p>
    <w:p>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综合评价结论（附自评表）</w:t>
      </w:r>
    </w:p>
    <w:p>
      <w:pPr>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项目实施后，产生了一定的社会效益，文化市场经营秩序有效规范，群众满意度进一步提高。</w:t>
      </w:r>
    </w:p>
    <w:p>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pPr>
        <w:snapToGrid w:val="0"/>
        <w:spacing w:line="600" w:lineRule="exact"/>
        <w:ind w:firstLine="640" w:firstLineChars="200"/>
        <w:rPr>
          <w:rFonts w:hint="eastAsia" w:ascii="楷体_GB2312" w:hAnsi="宋体" w:eastAsia="楷体_GB2312"/>
          <w:b w:val="0"/>
          <w:bCs/>
          <w:sz w:val="32"/>
          <w:szCs w:val="32"/>
        </w:rPr>
      </w:pPr>
      <w:r>
        <w:rPr>
          <w:rFonts w:hint="eastAsia" w:ascii="楷体_GB2312" w:hAnsi="宋体" w:eastAsia="楷体_GB2312"/>
          <w:b w:val="0"/>
          <w:bCs/>
          <w:sz w:val="32"/>
          <w:szCs w:val="32"/>
        </w:rPr>
        <w:t>（一）项目决策情况</w:t>
      </w:r>
    </w:p>
    <w:p>
      <w:pPr>
        <w:snapToGrid w:val="0"/>
        <w:spacing w:line="60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eastAsia="zh-CN"/>
        </w:rPr>
        <w:t>文化旅游市场执法监管及法治宣传项目实施进度明确，该项目符合文旅市场执法及法治宣传工作需要，项目决策依据充分。</w:t>
      </w:r>
    </w:p>
    <w:p>
      <w:pPr>
        <w:numPr>
          <w:ilvl w:val="0"/>
          <w:numId w:val="5"/>
        </w:numPr>
        <w:snapToGrid w:val="0"/>
        <w:spacing w:line="600" w:lineRule="exact"/>
        <w:ind w:firstLine="640" w:firstLineChars="200"/>
        <w:rPr>
          <w:rFonts w:hint="eastAsia" w:ascii="楷体_GB2312" w:hAnsi="宋体" w:eastAsia="楷体_GB2312"/>
          <w:b w:val="0"/>
          <w:bCs/>
          <w:sz w:val="32"/>
          <w:szCs w:val="32"/>
        </w:rPr>
      </w:pPr>
      <w:r>
        <w:rPr>
          <w:rFonts w:hint="eastAsia" w:ascii="楷体_GB2312" w:hAnsi="宋体" w:eastAsia="楷体_GB2312"/>
          <w:b w:val="0"/>
          <w:bCs/>
          <w:sz w:val="32"/>
          <w:szCs w:val="32"/>
        </w:rPr>
        <w:t>项目管理情况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eastAsia="zh-CN"/>
        </w:rPr>
        <w:t>项目资金到位及时，资金支付依据合法，开支标准符合规定。财务制度健全、管理规范。</w:t>
      </w:r>
    </w:p>
    <w:p>
      <w:pPr>
        <w:snapToGrid w:val="0"/>
        <w:spacing w:line="600" w:lineRule="exact"/>
        <w:ind w:firstLine="640" w:firstLineChars="200"/>
        <w:rPr>
          <w:rFonts w:ascii="楷体_GB2312" w:hAnsi="宋体" w:eastAsia="楷体_GB2312"/>
          <w:b w:val="0"/>
          <w:bCs/>
          <w:sz w:val="32"/>
          <w:szCs w:val="32"/>
        </w:rPr>
      </w:pPr>
      <w:r>
        <w:rPr>
          <w:rFonts w:hint="eastAsia" w:ascii="楷体_GB2312" w:hAnsi="宋体" w:eastAsia="楷体_GB2312"/>
          <w:b w:val="0"/>
          <w:bCs/>
          <w:sz w:val="32"/>
          <w:szCs w:val="32"/>
        </w:rPr>
        <w:t>（三）项目产出情况</w:t>
      </w:r>
    </w:p>
    <w:p>
      <w:pPr>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通过实施文化旅游市场执法监管及法治宣传项目，</w:t>
      </w:r>
      <w:r>
        <w:rPr>
          <w:rFonts w:hint="eastAsia" w:ascii="仿宋_GB2312" w:hAnsi="仿宋_GB2312" w:eastAsia="仿宋_GB2312" w:cs="仿宋_GB2312"/>
          <w:b w:val="0"/>
          <w:bCs w:val="0"/>
          <w:color w:val="auto"/>
          <w:sz w:val="32"/>
          <w:szCs w:val="32"/>
          <w:lang w:val="en-US" w:eastAsia="zh-CN"/>
        </w:rPr>
        <w:t>共开展联合“双随机、一公开”检查2次，检查经营单位19家次，双随机检查录入占比16.6%；“互联网+监管”认领及编辑服务事项主项200余项、子项500余项，及时高效录入监管数据1000余条；</w:t>
      </w:r>
      <w:r>
        <w:rPr>
          <w:rFonts w:hint="eastAsia" w:ascii="仿宋_GB2312" w:hAnsi="仿宋_GB2312" w:eastAsia="仿宋_GB2312" w:cs="仿宋_GB2312"/>
          <w:color w:val="auto"/>
          <w:sz w:val="32"/>
          <w:szCs w:val="32"/>
          <w:lang w:val="en-US" w:eastAsia="zh-CN"/>
        </w:rPr>
        <w:t>共录入执法检查数据1800余条、工作信息21条，受理举报11件，立案查处6起，发出《责令改正通知书》42份。</w:t>
      </w:r>
    </w:p>
    <w:p>
      <w:pPr>
        <w:snapToGrid w:val="0"/>
        <w:spacing w:line="600" w:lineRule="exact"/>
        <w:ind w:firstLine="640" w:firstLineChars="200"/>
        <w:rPr>
          <w:rFonts w:ascii="楷体_GB2312" w:hAnsi="宋体" w:eastAsia="楷体_GB2312"/>
          <w:b w:val="0"/>
          <w:bCs/>
          <w:sz w:val="32"/>
          <w:szCs w:val="32"/>
        </w:rPr>
      </w:pPr>
      <w:r>
        <w:rPr>
          <w:rFonts w:hint="eastAsia" w:ascii="楷体_GB2312" w:hAnsi="宋体" w:eastAsia="楷体_GB2312"/>
          <w:b w:val="0"/>
          <w:bCs/>
          <w:sz w:val="32"/>
          <w:szCs w:val="32"/>
        </w:rPr>
        <w:t>（四）项目效益情况</w:t>
      </w:r>
    </w:p>
    <w:p>
      <w:pPr>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项目实施后，产生了一定的社会效益，文化市场经营秩序有效规范，群众满意度进一步提高。</w:t>
      </w:r>
    </w:p>
    <w:p>
      <w:pPr>
        <w:numPr>
          <w:ilvl w:val="0"/>
          <w:numId w:val="6"/>
        </w:num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存在主要问题</w:t>
      </w:r>
    </w:p>
    <w:p>
      <w:pPr>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numPr>
          <w:ilvl w:val="0"/>
          <w:numId w:val="6"/>
        </w:numPr>
        <w:snapToGrid w:val="0"/>
        <w:spacing w:line="600" w:lineRule="exact"/>
        <w:ind w:left="0" w:leftChars="0" w:firstLine="640" w:firstLineChars="200"/>
        <w:rPr>
          <w:rFonts w:hint="eastAsia" w:ascii="黑体" w:hAnsi="宋体" w:eastAsia="黑体"/>
          <w:sz w:val="32"/>
          <w:szCs w:val="32"/>
        </w:rPr>
      </w:pPr>
      <w:r>
        <w:rPr>
          <w:rFonts w:hint="eastAsia" w:ascii="黑体" w:hAnsi="宋体" w:eastAsia="黑体"/>
          <w:sz w:val="32"/>
          <w:szCs w:val="32"/>
        </w:rPr>
        <w:t>相关措施建议</w:t>
      </w:r>
    </w:p>
    <w:p>
      <w:pPr>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snapToGrid w:val="0"/>
        <w:spacing w:line="600" w:lineRule="exact"/>
        <w:ind w:firstLine="640" w:firstLineChars="200"/>
        <w:rPr>
          <w:rFonts w:hint="eastAsia" w:ascii="仿宋_GB2312" w:hAnsi="仿宋_GB2312" w:eastAsia="仿宋_GB2312" w:cs="仿宋_GB2312"/>
          <w:sz w:val="32"/>
          <w:szCs w:val="32"/>
          <w:lang w:eastAsia="zh-CN"/>
        </w:rPr>
        <w:sectPr>
          <w:pgSz w:w="11906" w:h="16838"/>
          <w:pgMar w:top="1440" w:right="1474" w:bottom="1440" w:left="1587" w:header="851" w:footer="992" w:gutter="0"/>
          <w:pgNumType w:fmt="decimal"/>
          <w:cols w:space="0" w:num="1"/>
          <w:titlePg/>
          <w:rtlGutter w:val="0"/>
          <w:docGrid w:type="lines" w:linePitch="312" w:charSpace="0"/>
        </w:sectPr>
      </w:pPr>
    </w:p>
    <w:tbl>
      <w:tblPr>
        <w:tblStyle w:val="15"/>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4"/>
        <w:gridCol w:w="1710"/>
        <w:gridCol w:w="1852"/>
        <w:gridCol w:w="2373"/>
        <w:gridCol w:w="600"/>
        <w:gridCol w:w="1194"/>
        <w:gridCol w:w="713"/>
        <w:gridCol w:w="913"/>
        <w:gridCol w:w="589"/>
        <w:gridCol w:w="701"/>
        <w:gridCol w:w="2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文化旅游市场执法监管及法治宣传项目支出绩效自评表（2022年度）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51090422T000000398152-文化旅游市场执法监管及法治宣传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遂宁市安居区文化广播电视和旅游局部门</w:t>
            </w:r>
          </w:p>
        </w:tc>
        <w:tc>
          <w:tcPr>
            <w:tcW w:w="91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遂宁市安居区文化广播电视和旅游局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打击文化旅游市场各类违法违规经营行为，提高群众法律意识，规范文旅经营企业合法合规经营，加强文旅市场安全、防疫管理工作。</w:t>
            </w:r>
          </w:p>
        </w:tc>
        <w:tc>
          <w:tcPr>
            <w:tcW w:w="46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通过实施文化旅游市场执法监管及法治宣传项目，全面完成校园周边环境专项整治、扫黄打非、专题培训等指标任务，2022年文化旅游市场经营秩序有效规范。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2022年区财政预算资金10万元，</w:t>
            </w:r>
            <w:r>
              <w:rPr>
                <w:rFonts w:hint="eastAsia" w:ascii="宋体" w:hAnsi="宋体" w:eastAsia="宋体" w:cs="宋体"/>
                <w:i w:val="0"/>
                <w:iCs w:val="0"/>
                <w:color w:val="000000"/>
                <w:kern w:val="0"/>
                <w:sz w:val="18"/>
                <w:szCs w:val="18"/>
                <w:u w:val="none"/>
                <w:lang w:val="en-US" w:eastAsia="zh-CN" w:bidi="ar"/>
              </w:rPr>
              <w:t>预算调整后执行8.29万元，</w:t>
            </w:r>
            <w:r>
              <w:rPr>
                <w:rFonts w:ascii="宋体" w:hAnsi="宋体" w:eastAsia="宋体" w:cs="宋体"/>
                <w:i w:val="0"/>
                <w:iCs w:val="0"/>
                <w:color w:val="000000"/>
                <w:kern w:val="0"/>
                <w:sz w:val="18"/>
                <w:szCs w:val="18"/>
                <w:u w:val="none"/>
                <w:lang w:val="en-US" w:eastAsia="zh-CN" w:bidi="ar"/>
              </w:rPr>
              <w:t>用于实施文化旅游市场执法监管及法治宣传项目，包括对网吧、娱乐场所、旅游市场、出版物市场等文旅市场主体的日常执法监管；开展互联网上网服务场所专项整治、“扫黄打非”专项整治、校园周边环境专项整治、等专项整治行动，严厉打击文化旅游市场违法违规行为。开展集中法制宣传、法律法规专题培训、法律进企业等活动，提升文化旅游经营单位从业人员遵纪守法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8.29</w:t>
            </w:r>
          </w:p>
        </w:tc>
        <w:tc>
          <w:tcPr>
            <w:tcW w:w="2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2022年调减预算1.71万元，原因为截</w:t>
            </w:r>
            <w:r>
              <w:rPr>
                <w:rFonts w:hint="eastAsia" w:ascii="宋体" w:hAnsi="宋体" w:cs="宋体"/>
                <w:i w:val="0"/>
                <w:iCs w:val="0"/>
                <w:color w:val="000000"/>
                <w:kern w:val="0"/>
                <w:sz w:val="18"/>
                <w:szCs w:val="18"/>
                <w:u w:val="none"/>
                <w:lang w:val="en-US" w:eastAsia="zh-CN" w:bidi="ar"/>
              </w:rPr>
              <w:t>至</w:t>
            </w:r>
            <w:r>
              <w:rPr>
                <w:rFonts w:hint="eastAsia" w:ascii="宋体" w:hAnsi="宋体" w:eastAsia="宋体" w:cs="宋体"/>
                <w:i w:val="0"/>
                <w:iCs w:val="0"/>
                <w:color w:val="000000"/>
                <w:kern w:val="0"/>
                <w:sz w:val="18"/>
                <w:szCs w:val="18"/>
                <w:u w:val="none"/>
                <w:lang w:val="en-US" w:eastAsia="zh-CN" w:bidi="ar"/>
              </w:rPr>
              <w:t>年底未支付，财政收回。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8.29</w:t>
            </w:r>
          </w:p>
        </w:tc>
        <w:tc>
          <w:tcPr>
            <w:tcW w:w="2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未经许可经营旅行社业务专项整治</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营业性演出整治</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专题培训</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校园周边环境专项整治</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旅游社市场专项整治</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安全和市场环境专项整治</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设点宣传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扫黄打非整治</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中高考降噪整治</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娱乐市场专项整治</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互联网上网服务场所专项整治</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监管工作、宣传工作完成率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项目预算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8.29</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3.31</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截</w:t>
            </w:r>
            <w:r>
              <w:rPr>
                <w:rFonts w:hint="eastAsia" w:ascii="宋体" w:hAnsi="宋体" w:cs="宋体"/>
                <w:i w:val="0"/>
                <w:iCs w:val="0"/>
                <w:color w:val="000000"/>
                <w:sz w:val="18"/>
                <w:szCs w:val="18"/>
                <w:u w:val="none"/>
                <w:lang w:eastAsia="zh-CN"/>
              </w:rPr>
              <w:t>至</w:t>
            </w:r>
            <w:r>
              <w:rPr>
                <w:rFonts w:hint="eastAsia" w:ascii="宋体" w:hAnsi="宋体" w:eastAsia="宋体" w:cs="宋体"/>
                <w:i w:val="0"/>
                <w:iCs w:val="0"/>
                <w:color w:val="000000"/>
                <w:sz w:val="18"/>
                <w:szCs w:val="18"/>
                <w:u w:val="none"/>
              </w:rPr>
              <w:t>年底未支付，财政收回。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开展专项整治，使文化市场经营单位规范经营，确保市场安全有序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持续发展，规范文化市场业主经营行为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99.31</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1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经过对项目实施情况、文字资料及台账等资料的分析，逐项进行自我评价，最终项目综合得分为</w:t>
            </w:r>
            <w:r>
              <w:rPr>
                <w:rFonts w:hint="eastAsia" w:ascii="宋体" w:hAnsi="宋体" w:cs="宋体"/>
                <w:i w:val="0"/>
                <w:iCs w:val="0"/>
                <w:color w:val="000000"/>
                <w:kern w:val="0"/>
                <w:sz w:val="18"/>
                <w:szCs w:val="18"/>
                <w:u w:val="none"/>
                <w:lang w:val="en-US" w:eastAsia="zh-CN" w:bidi="ar"/>
              </w:rPr>
              <w:t>99.31</w:t>
            </w:r>
            <w:r>
              <w:rPr>
                <w:rFonts w:ascii="宋体" w:hAnsi="宋体" w:eastAsia="宋体" w:cs="宋体"/>
                <w:i w:val="0"/>
                <w:iCs w:val="0"/>
                <w:color w:val="000000"/>
                <w:kern w:val="0"/>
                <w:sz w:val="18"/>
                <w:szCs w:val="18"/>
                <w:u w:val="none"/>
                <w:lang w:val="en-US" w:eastAsia="zh-CN" w:bidi="ar"/>
              </w:rPr>
              <w:t>分。项目实施后，产生了一定的社会效益，文化市场经营秩序有效规范，群众满意度进一步提高。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1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1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项目负责人：唐然</w:t>
            </w:r>
          </w:p>
        </w:tc>
        <w:tc>
          <w:tcPr>
            <w:tcW w:w="6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财务负责人：罗春梅</w:t>
            </w:r>
          </w:p>
        </w:tc>
      </w:tr>
    </w:tbl>
    <w:p>
      <w:pPr>
        <w:snapToGrid w:val="0"/>
        <w:spacing w:line="600" w:lineRule="exact"/>
        <w:ind w:firstLine="640" w:firstLineChars="200"/>
        <w:rPr>
          <w:rFonts w:hint="eastAsia" w:ascii="仿宋_GB2312" w:hAnsi="仿宋_GB2312" w:eastAsia="仿宋_GB2312" w:cs="仿宋_GB2312"/>
          <w:sz w:val="32"/>
          <w:szCs w:val="32"/>
          <w:lang w:eastAsia="zh-CN"/>
        </w:rPr>
        <w:sectPr>
          <w:pgSz w:w="16838" w:h="11906" w:orient="landscape"/>
          <w:pgMar w:top="1587" w:right="1440" w:bottom="1474" w:left="1440" w:header="851" w:footer="992" w:gutter="0"/>
          <w:pgNumType w:fmt="decimal"/>
          <w:cols w:space="0" w:num="1"/>
          <w:titlePg/>
          <w:rtlGutter w:val="0"/>
          <w:docGrid w:type="lines" w:linePitch="312" w:charSpace="0"/>
        </w:sectPr>
      </w:pPr>
    </w:p>
    <w:p>
      <w:pPr>
        <w:keepNext w:val="0"/>
        <w:keepLines w:val="0"/>
        <w:widowControl w:val="0"/>
        <w:suppressLineNumbers w:val="0"/>
        <w:snapToGrid w:val="0"/>
        <w:spacing w:before="0" w:beforeAutospacing="0" w:after="0" w:afterAutospacing="0" w:line="600" w:lineRule="exact"/>
        <w:ind w:left="0" w:right="0"/>
        <w:jc w:val="center"/>
        <w:rPr>
          <w:rFonts w:hint="eastAsia" w:ascii="方正小标宋简体" w:hAnsi="宋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遂宁市安居区文化广播电视和旅游局</w:t>
      </w:r>
    </w:p>
    <w:p>
      <w:pPr>
        <w:keepNext w:val="0"/>
        <w:keepLines w:val="0"/>
        <w:widowControl w:val="0"/>
        <w:suppressLineNumbers w:val="0"/>
        <w:snapToGrid w:val="0"/>
        <w:spacing w:before="0" w:beforeAutospacing="0" w:after="0" w:afterAutospacing="0" w:line="600" w:lineRule="exact"/>
        <w:ind w:left="0" w:right="0"/>
        <w:jc w:val="center"/>
        <w:rPr>
          <w:rFonts w:hint="eastAsia" w:ascii="方正小标宋简体" w:hAnsi="宋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关于2022年旅游宣传营销项目支出绩效自评的报告</w:t>
      </w:r>
    </w:p>
    <w:p>
      <w:pPr>
        <w:keepNext w:val="0"/>
        <w:keepLines w:val="0"/>
        <w:widowControl w:val="0"/>
        <w:suppressLineNumbers w:val="0"/>
        <w:snapToGrid w:val="0"/>
        <w:spacing w:before="0" w:beforeAutospacing="0" w:after="0" w:afterAutospacing="0" w:line="600" w:lineRule="exact"/>
        <w:ind w:left="0" w:right="0"/>
        <w:jc w:val="center"/>
        <w:rPr>
          <w:rFonts w:hint="default" w:ascii="Times New Roman" w:hAnsi="宋体" w:eastAsia="仿宋_GB2312" w:cs="Times New Roman"/>
          <w:kern w:val="2"/>
          <w:sz w:val="32"/>
          <w:szCs w:val="32"/>
        </w:rPr>
      </w:pPr>
      <w:r>
        <w:rPr>
          <w:rFonts w:hint="default" w:ascii="Times New Roman" w:hAnsi="宋体" w:eastAsia="仿宋_GB2312" w:cs="Times New Roman"/>
          <w:kern w:val="2"/>
          <w:sz w:val="32"/>
          <w:szCs w:val="32"/>
          <w:lang w:val="en-US" w:eastAsia="zh-CN" w:bidi="ar"/>
        </w:rPr>
        <w:t xml:space="preserve"> </w:t>
      </w:r>
    </w:p>
    <w:p>
      <w:pPr>
        <w:keepNext w:val="0"/>
        <w:keepLines w:val="0"/>
        <w:widowControl w:val="0"/>
        <w:numPr>
          <w:ilvl w:val="0"/>
          <w:numId w:val="7"/>
        </w:numPr>
        <w:suppressLineNumbers w:val="0"/>
        <w:snapToGrid w:val="0"/>
        <w:spacing w:before="0" w:beforeAutospacing="0" w:after="0" w:afterAutospacing="0" w:line="600" w:lineRule="exact"/>
        <w:ind w:left="0" w:right="0" w:firstLine="640" w:firstLineChars="20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基本情况</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eastAsia" w:ascii="仿宋_GB2312" w:hAnsi="宋体" w:eastAsia="仿宋_GB2312" w:cs="Times New Roman"/>
          <w:kern w:val="2"/>
          <w:sz w:val="32"/>
          <w:szCs w:val="32"/>
        </w:rPr>
      </w:pPr>
      <w:r>
        <w:rPr>
          <w:rFonts w:hint="eastAsia" w:ascii="仿宋_GB2312" w:hAnsi="宋体" w:eastAsia="仿宋_GB2312" w:cs="仿宋_GB2312"/>
          <w:kern w:val="2"/>
          <w:sz w:val="32"/>
          <w:szCs w:val="32"/>
          <w:lang w:val="en-US" w:eastAsia="zh-CN" w:bidi="ar"/>
        </w:rPr>
        <w:t>旅游宣传营销主要是为提升安居文化和旅游知名度和游客满意度，项目主要举办乡村文化旅游节，赴成都、重庆等成渝区县宣传活动，参加省级宣传活动，制作安居区旅游宣传资料等。2022年预算10万元，共使用90285.78元，财政局收回了9714.22元，资金主要用于举办乡村文化旅游节，赴成都、重庆等成渝区县宣传活动，参加省级宣传活动，制作安居区旅游宣传资料等。</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宋体" w:hAnsi="宋体" w:eastAsia="仿宋_GB2312" w:cs="仿宋_GB2312"/>
          <w:kern w:val="2"/>
          <w:sz w:val="32"/>
          <w:szCs w:val="32"/>
        </w:rPr>
      </w:pPr>
      <w:r>
        <w:rPr>
          <w:rFonts w:hint="eastAsia" w:ascii="黑体" w:hAnsi="宋体" w:eastAsia="黑体" w:cs="黑体"/>
          <w:kern w:val="2"/>
          <w:sz w:val="32"/>
          <w:szCs w:val="32"/>
          <w:lang w:val="en-US" w:eastAsia="zh-CN" w:bidi="ar"/>
        </w:rPr>
        <w:t>二、评价工作开展情况</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楷体" w:hAnsi="楷体" w:eastAsia="楷体" w:cs="楷体"/>
          <w:b w:val="0"/>
          <w:bCs w:val="0"/>
          <w:kern w:val="2"/>
          <w:sz w:val="32"/>
          <w:szCs w:val="32"/>
        </w:rPr>
      </w:pPr>
      <w:r>
        <w:rPr>
          <w:rFonts w:hint="eastAsia" w:ascii="楷体" w:hAnsi="楷体" w:eastAsia="楷体" w:cs="楷体"/>
          <w:b w:val="0"/>
          <w:bCs w:val="0"/>
          <w:kern w:val="2"/>
          <w:sz w:val="32"/>
          <w:szCs w:val="32"/>
          <w:lang w:val="en-US" w:eastAsia="zh-CN" w:bidi="ar"/>
        </w:rPr>
        <w:t>(一)绩效评价工作方案制定过程。</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1.前期调研。</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2.研究文件。</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3.绩效评价指标体系及工作方案的设计。</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楷体" w:hAnsi="楷体" w:eastAsia="楷体" w:cs="楷体"/>
          <w:b w:val="0"/>
          <w:bCs w:val="0"/>
          <w:kern w:val="2"/>
          <w:sz w:val="32"/>
          <w:szCs w:val="32"/>
        </w:rPr>
      </w:pPr>
      <w:r>
        <w:rPr>
          <w:rFonts w:hint="eastAsia" w:ascii="楷体" w:hAnsi="楷体" w:eastAsia="楷体" w:cs="楷体"/>
          <w:b w:val="0"/>
          <w:bCs w:val="0"/>
          <w:kern w:val="2"/>
          <w:sz w:val="32"/>
          <w:szCs w:val="32"/>
          <w:lang w:val="en-US" w:eastAsia="zh-CN" w:bidi="ar"/>
        </w:rPr>
        <w:t>(二)绩效评价原则、评价方法</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1.绩效评价原则。</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项目绩效评价遵循科学规范、公开公正、绩效相关等原则。</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2.绩效评价方法。</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采用指标评价、数据采集和社会调查方法。</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楷体" w:hAnsi="楷体" w:eastAsia="楷体" w:cs="楷体"/>
          <w:b w:val="0"/>
          <w:bCs w:val="0"/>
          <w:kern w:val="2"/>
          <w:sz w:val="32"/>
          <w:szCs w:val="32"/>
        </w:rPr>
      </w:pPr>
      <w:r>
        <w:rPr>
          <w:rFonts w:hint="eastAsia" w:ascii="楷体" w:hAnsi="楷体" w:eastAsia="楷体" w:cs="楷体"/>
          <w:b w:val="0"/>
          <w:bCs w:val="0"/>
          <w:kern w:val="2"/>
          <w:sz w:val="32"/>
          <w:szCs w:val="32"/>
          <w:lang w:val="en-US" w:eastAsia="zh-CN" w:bidi="ar"/>
        </w:rPr>
        <w:t>(三)绩效评价实施过程</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1.数据填报和采集。</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2.社会调查。</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3.数据分析和撰写报告。</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三、综合评价结论（附自评表）</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通过实施本项目，安居文旅品牌知名度、美誉度、影响力与日俱增。</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黑体" w:hAnsi="宋体" w:eastAsia="黑体" w:cs="黑体"/>
          <w:bCs/>
          <w:kern w:val="2"/>
          <w:sz w:val="32"/>
          <w:szCs w:val="32"/>
        </w:rPr>
      </w:pPr>
      <w:r>
        <w:rPr>
          <w:rFonts w:hint="eastAsia" w:ascii="黑体" w:hAnsi="宋体" w:eastAsia="黑体" w:cs="黑体"/>
          <w:bCs/>
          <w:kern w:val="2"/>
          <w:sz w:val="32"/>
          <w:szCs w:val="32"/>
          <w:lang w:val="en-US" w:eastAsia="zh-CN" w:bidi="ar"/>
        </w:rPr>
        <w:t>四、绩效评价分析</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楷体" w:hAnsi="楷体" w:eastAsia="楷体" w:cs="楷体"/>
          <w:b w:val="0"/>
          <w:bCs/>
          <w:kern w:val="2"/>
          <w:sz w:val="32"/>
          <w:szCs w:val="32"/>
        </w:rPr>
      </w:pPr>
      <w:r>
        <w:rPr>
          <w:rFonts w:hint="eastAsia" w:ascii="楷体" w:hAnsi="楷体" w:eastAsia="楷体" w:cs="楷体"/>
          <w:b w:val="0"/>
          <w:bCs/>
          <w:kern w:val="2"/>
          <w:sz w:val="32"/>
          <w:szCs w:val="32"/>
          <w:lang w:val="en-US" w:eastAsia="zh-CN" w:bidi="ar"/>
        </w:rPr>
        <w:t>（一）项目决策情况</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仿宋_GB2312" w:eastAsia="仿宋_GB2312" w:cs="仿宋_GB2312"/>
          <w:color w:val="0000FF"/>
          <w:kern w:val="2"/>
          <w:sz w:val="32"/>
          <w:szCs w:val="32"/>
        </w:rPr>
      </w:pPr>
      <w:r>
        <w:rPr>
          <w:rFonts w:hint="eastAsia" w:ascii="仿宋_GB2312" w:hAnsi="宋体" w:eastAsia="仿宋_GB2312" w:cs="仿宋_GB2312"/>
          <w:kern w:val="2"/>
          <w:sz w:val="32"/>
          <w:szCs w:val="32"/>
          <w:lang w:val="en-US" w:eastAsia="zh-CN" w:bidi="ar"/>
        </w:rPr>
        <w:t>旅游宣传营销是发展旅游的重要措施，是全省奋力打造天府旅游品牌、全市积极发展文化和旅游、全区努力打造成渝地区休闲度假首选地等重要规划部署的具体要求，</w:t>
      </w:r>
      <w:r>
        <w:rPr>
          <w:rFonts w:hint="eastAsia" w:ascii="仿宋_GB2312" w:hAnsi="Times New Roman" w:eastAsia="仿宋_GB2312" w:cs="仿宋_GB2312"/>
          <w:kern w:val="2"/>
          <w:sz w:val="32"/>
          <w:szCs w:val="32"/>
          <w:lang w:val="en-US" w:eastAsia="zh-CN" w:bidi="ar"/>
        </w:rPr>
        <w:t>费用纳入区本级财政预算</w:t>
      </w:r>
      <w:r>
        <w:rPr>
          <w:rFonts w:hint="eastAsia" w:ascii="仿宋_GB2312" w:hAnsi="宋体" w:eastAsia="仿宋_GB2312" w:cs="仿宋_GB2312"/>
          <w:kern w:val="2"/>
          <w:sz w:val="32"/>
          <w:szCs w:val="32"/>
          <w:lang w:val="en-US" w:eastAsia="zh-CN" w:bidi="ar"/>
        </w:rPr>
        <w:t>。</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楷体" w:hAnsi="楷体" w:eastAsia="楷体" w:cs="楷体"/>
          <w:b w:val="0"/>
          <w:bCs/>
          <w:kern w:val="2"/>
          <w:sz w:val="32"/>
          <w:szCs w:val="32"/>
        </w:rPr>
      </w:pPr>
      <w:r>
        <w:rPr>
          <w:rFonts w:hint="eastAsia" w:ascii="楷体" w:hAnsi="楷体" w:eastAsia="楷体" w:cs="楷体"/>
          <w:b w:val="0"/>
          <w:bCs/>
          <w:kern w:val="2"/>
          <w:sz w:val="32"/>
          <w:szCs w:val="32"/>
          <w:lang w:val="en-US" w:eastAsia="zh-CN" w:bidi="ar"/>
        </w:rPr>
        <w:t>（二）项目管理情况</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该项目在局党组的领导下由文旅股具体负责管理实施，实施过程中严格按照局《财务管理办法</w:t>
      </w:r>
      <w:r>
        <w:rPr>
          <w:rFonts w:hint="eastAsia" w:ascii="仿宋_GB2312"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固定资产管理办法</w:t>
      </w:r>
      <w:r>
        <w:rPr>
          <w:rFonts w:hint="eastAsia" w:ascii="仿宋_GB2312"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廉政纪律制度</w:t>
      </w:r>
      <w:r>
        <w:rPr>
          <w:rFonts w:hint="eastAsia" w:ascii="仿宋_GB2312"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采购业务管理办法</w:t>
      </w:r>
      <w:r>
        <w:rPr>
          <w:rFonts w:hint="eastAsia" w:ascii="仿宋_GB2312"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合同管理制度》等执行。涉及政府采购的项目严格按照政府采购流程组织采购。</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楷体" w:hAnsi="楷体" w:eastAsia="楷体" w:cs="楷体"/>
          <w:b w:val="0"/>
          <w:bCs/>
          <w:kern w:val="2"/>
          <w:sz w:val="32"/>
          <w:szCs w:val="32"/>
        </w:rPr>
      </w:pPr>
      <w:r>
        <w:rPr>
          <w:rFonts w:hint="eastAsia" w:ascii="楷体" w:hAnsi="楷体" w:eastAsia="楷体" w:cs="楷体"/>
          <w:b w:val="0"/>
          <w:bCs/>
          <w:kern w:val="2"/>
          <w:sz w:val="32"/>
          <w:szCs w:val="32"/>
          <w:lang w:val="en-US" w:eastAsia="zh-CN" w:bidi="ar"/>
        </w:rPr>
        <w:t>（三）项目产出情况</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2022年旅游宣传营销费共计</w:t>
      </w:r>
      <w:r>
        <w:rPr>
          <w:rFonts w:hint="eastAsia" w:ascii="仿宋_GB2312" w:hAnsi="宋体" w:eastAsia="仿宋_GB2312" w:cs="仿宋_GB2312"/>
          <w:kern w:val="2"/>
          <w:sz w:val="32"/>
          <w:szCs w:val="32"/>
          <w:lang w:val="en-US" w:eastAsia="zh-CN" w:bidi="ar"/>
        </w:rPr>
        <w:t>90285.78元</w:t>
      </w:r>
      <w:r>
        <w:rPr>
          <w:rFonts w:hint="eastAsia" w:ascii="仿宋_GB2312" w:hAnsi="Times New Roman" w:eastAsia="仿宋_GB2312" w:cs="仿宋_GB2312"/>
          <w:kern w:val="2"/>
          <w:sz w:val="32"/>
          <w:szCs w:val="32"/>
          <w:lang w:val="en-US" w:eastAsia="zh-CN" w:bidi="ar"/>
        </w:rPr>
        <w:t>，有效</w:t>
      </w:r>
      <w:r>
        <w:rPr>
          <w:rFonts w:hint="eastAsia" w:ascii="仿宋_GB2312" w:hAnsi="宋体" w:eastAsia="仿宋_GB2312" w:cs="仿宋_GB2312"/>
          <w:kern w:val="2"/>
          <w:sz w:val="32"/>
          <w:szCs w:val="32"/>
          <w:lang w:val="en-US" w:eastAsia="zh-CN" w:bidi="ar"/>
        </w:rPr>
        <w:t>提升了安居文化和旅游知名度和游客满意度</w:t>
      </w:r>
      <w:r>
        <w:rPr>
          <w:rFonts w:hint="eastAsia" w:ascii="仿宋_GB2312" w:hAnsi="Times New Roman" w:eastAsia="仿宋_GB2312" w:cs="仿宋_GB2312"/>
          <w:kern w:val="2"/>
          <w:sz w:val="32"/>
          <w:szCs w:val="32"/>
          <w:lang w:val="en-US" w:eastAsia="zh-CN" w:bidi="ar"/>
        </w:rPr>
        <w:t>。</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楷体" w:hAnsi="楷体" w:eastAsia="楷体" w:cs="楷体"/>
          <w:b w:val="0"/>
          <w:bCs/>
          <w:kern w:val="2"/>
          <w:sz w:val="32"/>
          <w:szCs w:val="32"/>
        </w:rPr>
      </w:pPr>
      <w:r>
        <w:rPr>
          <w:rFonts w:hint="eastAsia" w:ascii="楷体" w:hAnsi="楷体" w:eastAsia="楷体" w:cs="楷体"/>
          <w:b w:val="0"/>
          <w:bCs/>
          <w:kern w:val="2"/>
          <w:sz w:val="32"/>
          <w:szCs w:val="32"/>
          <w:lang w:val="en-US" w:eastAsia="zh-CN" w:bidi="ar"/>
        </w:rPr>
        <w:t>（四）项目效益情况</w:t>
      </w:r>
      <w:bookmarkStart w:id="73" w:name="_GoBack"/>
      <w:bookmarkEnd w:id="73"/>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仿宋_GB2312" w:hAnsi="宋体" w:eastAsia="仿宋_GB2312" w:cs="Times New Roman"/>
          <w:kern w:val="2"/>
          <w:sz w:val="32"/>
          <w:szCs w:val="32"/>
        </w:rPr>
      </w:pPr>
      <w:r>
        <w:rPr>
          <w:rFonts w:hint="eastAsia" w:ascii="仿宋_GB2312" w:hAnsi="宋体" w:eastAsia="仿宋_GB2312" w:cs="仿宋_GB2312"/>
          <w:kern w:val="2"/>
          <w:sz w:val="32"/>
          <w:szCs w:val="32"/>
          <w:lang w:val="en-US" w:eastAsia="zh-CN" w:bidi="ar"/>
        </w:rPr>
        <w:t>该项目通过举办乡村文化旅游节等节会活动、参加中省举办的节会活动，大力宣传安居旅游资源和人文资源，有效提升了安居文化和旅游知名度和游客满意度。</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五、存在主要问题</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仿宋_GB2312" w:hAnsi="宋体" w:eastAsia="仿宋_GB2312" w:cs="Times New Roman"/>
          <w:kern w:val="2"/>
          <w:sz w:val="32"/>
          <w:szCs w:val="32"/>
        </w:rPr>
      </w:pPr>
      <w:r>
        <w:rPr>
          <w:rFonts w:hint="eastAsia" w:ascii="仿宋_GB2312" w:hAnsi="宋体" w:eastAsia="仿宋_GB2312" w:cs="仿宋_GB2312"/>
          <w:kern w:val="2"/>
          <w:sz w:val="32"/>
          <w:szCs w:val="32"/>
          <w:lang w:val="en-US" w:eastAsia="zh-CN" w:bidi="ar"/>
        </w:rPr>
        <w:t>每年中省要求的参展参会活动多，一年一度的安居区乡村文化旅游节需持续举办，宣传资料急需更新，每年十万元旅游宣传营销经费严重不足。</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六、相关措施建议</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建议财政加大旅游宣传营销经费预算。</w:t>
      </w:r>
    </w:p>
    <w:p>
      <w:pPr>
        <w:snapToGrid w:val="0"/>
        <w:spacing w:line="600" w:lineRule="exact"/>
        <w:ind w:firstLine="640" w:firstLineChars="200"/>
        <w:rPr>
          <w:rFonts w:hint="eastAsia" w:ascii="仿宋_GB2312" w:hAnsi="仿宋_GB2312" w:eastAsia="仿宋_GB2312" w:cs="仿宋_GB2312"/>
          <w:sz w:val="32"/>
          <w:szCs w:val="32"/>
          <w:lang w:eastAsia="zh-CN"/>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sectPr>
          <w:pgSz w:w="11906" w:h="16838"/>
          <w:pgMar w:top="1440" w:right="1474" w:bottom="1440" w:left="1587" w:header="851" w:footer="992" w:gutter="0"/>
          <w:pgNumType w:fmt="decimal"/>
          <w:cols w:space="0" w:num="1"/>
          <w:titlePg/>
          <w:rtlGutter w:val="0"/>
          <w:docGrid w:type="lines" w:linePitch="312" w:charSpace="0"/>
        </w:sectPr>
      </w:pPr>
    </w:p>
    <w:tbl>
      <w:tblPr>
        <w:tblStyle w:val="15"/>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2013"/>
        <w:gridCol w:w="1746"/>
        <w:gridCol w:w="2220"/>
        <w:gridCol w:w="518"/>
        <w:gridCol w:w="1644"/>
        <w:gridCol w:w="518"/>
        <w:gridCol w:w="1085"/>
        <w:gridCol w:w="505"/>
        <w:gridCol w:w="666"/>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旅游宣传营销项目支出绩效自评表（2022年度）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51090422T000000398332-旅游宣传营销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遂宁市安居区文化广播电视和旅游局部门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遂宁市安居区文化广播电视和旅游局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举办乡村文化旅游节，赴成都、重庆等成渝区县宣传活动，参加省级宣传活动1次以上（如川渝泛琼江流域文旅联盟联席会等）。</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举办乡村文化旅游节1次，在成都宽窄巷子、重庆杨家坪等繁华地段户外电子屏宣传播放安居宣传片，举办1次联盟联席会议。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成功举办2022年“七彩花开·联心遂潼”踏青季、川渝泛琼江流域文旅联盟2022年文旅交流活动，安居文旅宣传广告首次登陆成都宽窄巷子、重庆杨家坪等繁华地段户外电子屏宣传播放。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预算调减0.97万元，原因为截至年底未使用</w:t>
            </w:r>
            <w:r>
              <w:rPr>
                <w:rFonts w:hint="eastAsia" w:ascii="宋体" w:hAnsi="宋体" w:cs="宋体"/>
                <w:i w:val="0"/>
                <w:iCs w:val="0"/>
                <w:color w:val="000000"/>
                <w:kern w:val="0"/>
                <w:sz w:val="18"/>
                <w:szCs w:val="18"/>
                <w:u w:val="none"/>
                <w:lang w:val="en-US" w:eastAsia="zh-CN" w:bidi="ar"/>
              </w:rPr>
              <w:t>，财政收回。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举办乡村文化旅游节</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参加省市旅游节宣传</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参加省级宣传活动提升安居文旅知晓度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举办乡村文化旅游节好评率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旅游宣传营销完成时间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参加省级宣传活动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举办乡村文化旅游节</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7.03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10.55</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预算调减0.97万元，原因为截至年底未使用</w:t>
            </w:r>
            <w:r>
              <w:rPr>
                <w:rFonts w:hint="eastAsia" w:ascii="宋体" w:hAnsi="宋体" w:cs="宋体"/>
                <w:i w:val="0"/>
                <w:iCs w:val="0"/>
                <w:color w:val="000000"/>
                <w:kern w:val="0"/>
                <w:sz w:val="18"/>
                <w:szCs w:val="18"/>
                <w:u w:val="none"/>
                <w:lang w:val="en-US" w:eastAsia="zh-CN" w:bidi="ar"/>
              </w:rPr>
              <w:t>，财政收回。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扩大旅游宣传范围，提升知名度和美誉度。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98.55</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本项目自评总得分98.5</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分，通过实施本项目，安居文旅品牌知名度、美誉度、影响力与日俱增。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因截至年底未使用，预算调减0.97万元。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为提高资金使用效率和效益，在以后的工作中，细化实施项目，最大限度精准化预算项目资金。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r>
              <w:rPr>
                <w:rFonts w:hint="eastAsia" w:ascii="宋体" w:hAnsi="宋体" w:cs="宋体"/>
                <w:i w:val="0"/>
                <w:iCs w:val="0"/>
                <w:color w:val="000000"/>
                <w:kern w:val="0"/>
                <w:sz w:val="18"/>
                <w:szCs w:val="18"/>
                <w:u w:val="none"/>
                <w:lang w:val="en-US" w:eastAsia="zh-CN" w:bidi="ar"/>
              </w:rPr>
              <w:t>余艳红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r>
              <w:rPr>
                <w:rFonts w:hint="eastAsia" w:ascii="宋体" w:hAnsi="宋体" w:cs="宋体"/>
                <w:i w:val="0"/>
                <w:iCs w:val="0"/>
                <w:color w:val="000000"/>
                <w:kern w:val="0"/>
                <w:sz w:val="18"/>
                <w:szCs w:val="18"/>
                <w:u w:val="none"/>
                <w:lang w:val="en-US" w:eastAsia="zh-CN" w:bidi="ar"/>
              </w:rPr>
              <w:t>罗春梅</w:t>
            </w:r>
          </w:p>
        </w:tc>
      </w:tr>
    </w:tbl>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sectPr>
          <w:pgSz w:w="16838" w:h="11906" w:orient="landscape"/>
          <w:pgMar w:top="1587" w:right="1440" w:bottom="1474" w:left="1440" w:header="851" w:footer="992" w:gutter="0"/>
          <w:pgNumType w:fmt="decimal"/>
          <w:cols w:space="0" w:num="1"/>
          <w:titlePg/>
          <w:rtlGutter w:val="0"/>
          <w:docGrid w:type="lines" w:linePitch="312" w:charSpace="0"/>
        </w:sectPr>
      </w:pP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b w:val="0"/>
          <w:bCs/>
          <w:color w:val="000000"/>
          <w:kern w:val="2"/>
          <w:sz w:val="44"/>
          <w:szCs w:val="44"/>
        </w:rPr>
      </w:pPr>
      <w:r>
        <w:rPr>
          <w:rFonts w:hint="eastAsia" w:ascii="方正小标宋简体" w:hAnsi="方正小标宋简体" w:eastAsia="方正小标宋简体" w:cs="方正小标宋简体"/>
          <w:b w:val="0"/>
          <w:bCs/>
          <w:color w:val="000000"/>
          <w:kern w:val="2"/>
          <w:sz w:val="44"/>
          <w:szCs w:val="44"/>
          <w:lang w:val="en-US" w:eastAsia="zh-CN" w:bidi="ar"/>
        </w:rPr>
        <w:t>遂宁市安居区文化广播电视和旅游局</w:t>
      </w: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b w:val="0"/>
          <w:bCs/>
          <w:color w:val="000000"/>
          <w:spacing w:val="-20"/>
          <w:kern w:val="2"/>
          <w:sz w:val="44"/>
          <w:szCs w:val="44"/>
        </w:rPr>
      </w:pPr>
      <w:r>
        <w:rPr>
          <w:rFonts w:hint="eastAsia" w:ascii="方正小标宋简体" w:hAnsi="方正小标宋简体" w:eastAsia="方正小标宋简体" w:cs="方正小标宋简体"/>
          <w:b w:val="0"/>
          <w:bCs/>
          <w:color w:val="000000"/>
          <w:spacing w:val="-20"/>
          <w:kern w:val="2"/>
          <w:sz w:val="44"/>
          <w:szCs w:val="44"/>
          <w:lang w:val="en-US" w:eastAsia="zh-CN" w:bidi="ar"/>
        </w:rPr>
        <w:t>关于2022年度广播电视“户户通”运行维护（民生工程）项目绩效自评的报告</w:t>
      </w:r>
    </w:p>
    <w:p>
      <w:pPr>
        <w:keepNext w:val="0"/>
        <w:keepLines w:val="0"/>
        <w:widowControl w:val="0"/>
        <w:suppressLineNumbers w:val="0"/>
        <w:autoSpaceDE w:val="0"/>
        <w:autoSpaceDN/>
        <w:spacing w:before="0" w:beforeAutospacing="0" w:after="0" w:afterAutospacing="0" w:line="560" w:lineRule="exact"/>
        <w:ind w:left="420" w:leftChars="200" w:right="0"/>
        <w:jc w:val="center"/>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leftChars="0" w:right="0" w:firstLine="732" w:firstLineChars="229"/>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为进一步做好安居区广播电视户户通工作，按照《四川省财政厅、中共四川省委宣传部、四川省文化和旅游厅、四川省广播电视局、四川省体育局、四川省文物局关于印发&lt;四川省公共文化服务体系建设专项资金管理办法&gt;的通知》（川财教〔2020〕109号）要求，现将2022年省、市补助我区广播电视户户通运行维护专项资金项目绩效自评报告如下。</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color w:val="000000"/>
          <w:kern w:val="2"/>
          <w:sz w:val="32"/>
          <w:szCs w:val="32"/>
        </w:rPr>
      </w:pPr>
      <w:r>
        <w:rPr>
          <w:rFonts w:hint="eastAsia" w:ascii="黑体" w:hAnsi="宋体" w:eastAsia="黑体" w:cs="黑体"/>
          <w:bCs/>
          <w:kern w:val="2"/>
          <w:sz w:val="32"/>
          <w:szCs w:val="32"/>
          <w:lang w:val="en-US" w:eastAsia="zh-CN" w:bidi="ar"/>
        </w:rPr>
        <w:t>一、项</w:t>
      </w:r>
      <w:r>
        <w:rPr>
          <w:rFonts w:hint="eastAsia" w:ascii="黑体" w:hAnsi="宋体" w:eastAsia="黑体" w:cs="黑体"/>
          <w:color w:val="000000"/>
          <w:kern w:val="2"/>
          <w:sz w:val="32"/>
          <w:szCs w:val="32"/>
          <w:lang w:val="en-US" w:eastAsia="zh-CN" w:bidi="ar"/>
        </w:rPr>
        <w:t>目建设基本情况</w:t>
      </w:r>
    </w:p>
    <w:p>
      <w:pPr>
        <w:keepNext w:val="0"/>
        <w:keepLines w:val="0"/>
        <w:widowControl w:val="0"/>
        <w:suppressLineNumbers w:val="0"/>
        <w:autoSpaceDE w:val="0"/>
        <w:autoSpaceDN/>
        <w:spacing w:before="0" w:beforeAutospacing="0" w:after="0" w:afterAutospacing="0" w:line="560" w:lineRule="exact"/>
        <w:ind w:left="0" w:leftChars="0" w:right="0" w:firstLine="732" w:firstLineChars="229"/>
        <w:jc w:val="both"/>
        <w:rPr>
          <w:rFonts w:hint="eastAsia" w:ascii="仿宋" w:hAnsi="仿宋" w:eastAsia="仿宋" w:cs="仿宋"/>
          <w:color w:val="000000"/>
          <w:kern w:val="2"/>
          <w:sz w:val="32"/>
          <w:szCs w:val="32"/>
        </w:rPr>
      </w:pPr>
      <w:r>
        <w:rPr>
          <w:rFonts w:hint="eastAsia" w:ascii="仿宋_GB2312" w:hAnsi="仿宋_GB2312" w:eastAsia="仿宋_GB2312" w:cs="仿宋_GB2312"/>
          <w:color w:val="000000"/>
          <w:kern w:val="2"/>
          <w:sz w:val="32"/>
          <w:szCs w:val="32"/>
          <w:lang w:val="en-US" w:eastAsia="zh-CN" w:bidi="ar"/>
        </w:rPr>
        <w:t>截至2022年底已全面完成2404个自然村的广播电视户户通工程。其中，有线联网1098个、无线覆盖1306个。</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黑体" w:hAnsi="宋体" w:eastAsia="黑体" w:cs="黑体"/>
          <w:bCs/>
          <w:kern w:val="2"/>
          <w:sz w:val="32"/>
          <w:szCs w:val="32"/>
        </w:rPr>
      </w:pPr>
      <w:r>
        <w:rPr>
          <w:rFonts w:hint="eastAsia" w:ascii="黑体" w:hAnsi="宋体" w:eastAsia="黑体" w:cs="黑体"/>
          <w:bCs/>
          <w:kern w:val="2"/>
          <w:sz w:val="32"/>
          <w:szCs w:val="32"/>
          <w:lang w:val="en-US" w:eastAsia="zh-CN" w:bidi="ar"/>
        </w:rPr>
        <w:t>二、资金到位及使用情况</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楷体" w:hAnsi="楷体" w:eastAsia="楷体" w:cs="楷体"/>
          <w:color w:val="000000"/>
          <w:kern w:val="2"/>
          <w:sz w:val="32"/>
          <w:szCs w:val="32"/>
        </w:rPr>
      </w:pPr>
      <w:r>
        <w:rPr>
          <w:rFonts w:hint="eastAsia" w:ascii="楷体" w:hAnsi="楷体" w:eastAsia="楷体" w:cs="楷体"/>
          <w:color w:val="000000"/>
          <w:kern w:val="2"/>
          <w:sz w:val="32"/>
          <w:szCs w:val="32"/>
          <w:lang w:val="en-US" w:eastAsia="zh-CN" w:bidi="ar"/>
        </w:rPr>
        <w:t>（一）项目资金来源及到位情况</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仿宋" w:hAnsi="仿宋" w:eastAsia="仿宋" w:cs="仿宋"/>
          <w:kern w:val="2"/>
          <w:sz w:val="32"/>
          <w:szCs w:val="32"/>
        </w:rPr>
      </w:pPr>
      <w:r>
        <w:rPr>
          <w:rFonts w:hint="eastAsia" w:ascii="仿宋_GB2312" w:hAnsi="仿宋_GB2312" w:eastAsia="仿宋_GB2312" w:cs="仿宋_GB2312"/>
          <w:kern w:val="2"/>
          <w:sz w:val="32"/>
          <w:szCs w:val="32"/>
          <w:lang w:val="en-US" w:eastAsia="zh-CN" w:bidi="ar"/>
        </w:rPr>
        <w:t>根据遂宁市财政局《关于下达2022年省、市级公共文化服务体系建设专项资金（广播电视户户通运行维护）预算的通知》（遂财教〔2022〕33号）通知，2022年省级补助广播电视户户通运行维护资金为1115800元（除去省级代扣的），市级补助广播电视户户通运行维护资金288480元，区级匹配运行维护资金1061280元。省、市、区级补助维护资金共计2465560元，用于广播电视“户户通”运行维护。省、市、区级补助维护资金2465560元已全部到位。</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（二）项目资金管理情况</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细化项目实施方案，落实责任到广电事业股，涉及政府采购事项，严格按照政府采购相关规定执行。办公室（计财）根据项目建设资金管理制度管理专项资金，专款专用，用于广播电视户户通运行维护。</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（三）项目资金使用情况</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我局严格按照专项资金管理办法使用专项维护经费，将省、市、区级补助广播电视“户户通”运行维护资金2465560元，全部用于广播电视户户通运行维护。其中，广播电视村村响电费100000元/年；广播村村响日常维护610000元；区级广播机房、广播光纤主干线运行维护费150000元/年；公共服务网点运行维护220000元；租赁塔类站地址100000元；广播村村响技术改造及相关设备维修、备用设备购置费1285560万元。</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黑体" w:hAnsi="宋体" w:eastAsia="黑体" w:cs="黑体"/>
          <w:bCs/>
          <w:kern w:val="2"/>
          <w:sz w:val="32"/>
          <w:szCs w:val="32"/>
        </w:rPr>
      </w:pPr>
      <w:r>
        <w:rPr>
          <w:rFonts w:hint="eastAsia" w:ascii="黑体" w:hAnsi="宋体" w:eastAsia="黑体" w:cs="黑体"/>
          <w:bCs/>
          <w:kern w:val="2"/>
          <w:sz w:val="32"/>
          <w:szCs w:val="32"/>
          <w:lang w:val="en-US" w:eastAsia="zh-CN" w:bidi="ar"/>
        </w:rPr>
        <w:t>三、项目实施及维护情况</w:t>
      </w:r>
    </w:p>
    <w:p>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我区现有农村有线数字电视用户45360户，地面无线数字广播电视用户2021户，直播卫星用户5318户，全区户户通17503户，村级广播室274个，高音喇叭6319支，发射台主站1座，辅站1座，直放站9座。2022年，通过有序推进各项维护工作，保障了广播村村响在响率达到97%左右。为网络内用户提供维护服务8850次，维修广播电视接收设备3488台，完成发射台日常安全播出任务和地面无线数字电视补点站日常巡检和传输线路抢险，全年无重大安播事故发生，广播电视信号传输正常，得到群众一致好评。</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黑体" w:hAnsi="宋体" w:eastAsia="黑体" w:cs="黑体"/>
          <w:bCs/>
          <w:kern w:val="2"/>
          <w:sz w:val="32"/>
          <w:szCs w:val="32"/>
        </w:rPr>
      </w:pPr>
      <w:r>
        <w:rPr>
          <w:rFonts w:hint="eastAsia" w:ascii="黑体" w:hAnsi="宋体" w:eastAsia="黑体" w:cs="黑体"/>
          <w:bCs/>
          <w:kern w:val="2"/>
          <w:sz w:val="32"/>
          <w:szCs w:val="32"/>
          <w:lang w:val="en-US" w:eastAsia="zh-CN" w:bidi="ar"/>
        </w:rPr>
        <w:t>四、项目绩效评价</w:t>
      </w:r>
    </w:p>
    <w:p>
      <w:pPr>
        <w:keepNext w:val="0"/>
        <w:keepLines w:val="0"/>
        <w:widowControl w:val="0"/>
        <w:suppressLineNumbers w:val="0"/>
        <w:autoSpaceDE w:val="0"/>
        <w:autoSpaceDN/>
        <w:spacing w:before="0" w:beforeAutospacing="0" w:after="0" w:afterAutospacing="0" w:line="560" w:lineRule="exact"/>
        <w:ind w:left="0" w:leftChars="0" w:right="0" w:firstLine="636" w:firstLineChars="199"/>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广播电视户户通工程解决了农村群众“看电视难”“听广播难”的问题，完善的广播电视运行维护工作确保了广播电视长期通、优质通，使农民群众享受到基本的广播电视公共服务，及时了解党和政府动态、政策法规、农业信息、农技知识，丰富精神文化生活，感受社会进步带来的好处。同时，广大农村基层组织充分利用广播电视户户通平台更好地宣传了党和政府新时期的各项重点工作、起到了舆论引导的积极作用，深受群众好评和认可。</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bCs/>
          <w:kern w:val="2"/>
          <w:sz w:val="32"/>
          <w:szCs w:val="32"/>
        </w:rPr>
      </w:pPr>
      <w:r>
        <w:rPr>
          <w:rFonts w:hint="eastAsia" w:ascii="黑体" w:hAnsi="宋体" w:eastAsia="黑体" w:cs="黑体"/>
          <w:bCs/>
          <w:kern w:val="2"/>
          <w:sz w:val="32"/>
          <w:szCs w:val="32"/>
          <w:lang w:val="en-US" w:eastAsia="zh-CN" w:bidi="ar"/>
        </w:rPr>
        <w:t>五、存在问题和改进措施</w:t>
      </w:r>
    </w:p>
    <w:p>
      <w:pPr>
        <w:pStyle w:val="13"/>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目前，调频广播受建设方式限制，对合村并镇的广播电视信号传输受线路故障、不可抗力等，不能完全满足广大人民群众的需求等问题，下一步我局将加强广播电视传输覆盖体系的科学规划，加快推进应急广播体系建设及设施设备的更新换代，采用新型技术提升网络的智能化、可靠性和承载力，完善广播电视公共服务长效运行维护机制，通过整合资金、强化管理、督导考核等措施，弥补薄弱环节，满足农民群众的需求。</w:t>
      </w: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sectPr>
          <w:pgSz w:w="11906" w:h="16838"/>
          <w:pgMar w:top="1440" w:right="1474" w:bottom="1440" w:left="1587" w:header="851" w:footer="992" w:gutter="0"/>
          <w:pgNumType w:fmt="decimal"/>
          <w:cols w:space="0" w:num="1"/>
          <w:titlePg/>
          <w:rtlGutter w:val="0"/>
          <w:docGrid w:type="lines" w:linePitch="312" w:charSpace="0"/>
        </w:sectPr>
      </w:pPr>
    </w:p>
    <w:tbl>
      <w:tblPr>
        <w:tblStyle w:val="15"/>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5"/>
        <w:gridCol w:w="1771"/>
        <w:gridCol w:w="2257"/>
        <w:gridCol w:w="520"/>
        <w:gridCol w:w="1673"/>
        <w:gridCol w:w="520"/>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广播电视“户户通”运行维护（民生工程）项目支出绩效自评表（2022年度）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51090422T000000398827-广播电视“户户通”运行维护（民生工程）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遂宁市安居区文化广播电视和旅游局部门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遂宁市安居区文化广播电视和旅游局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对全区16个镇（街道）辖区内所有广播终端、广播线路、广播机房进行维护，确保全区广播村村响系统正常运行，保证镇村两级干部能正常使用广播进行宣传，基层群众能听好广播。</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按照年度目标，对全区18个镇（含2个街道办）274个行政村的2404个自然村的户户通维护了3314次，对农村广播进行维护584台，广播电视网络维护37次，圆满完成户户通维护任务。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对全区18个镇（含2个街道办）274个行政村的2404个自然村的户户通维护了3314次，对农村广播进行维护584台，广播电视网络维护37次，确保全区广播村村响系统正常运行，保证镇村两级干部能正常使用广播进行宣传，基层群众能听好广播看好电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106.13</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255.80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255.80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宋体" w:hAnsi="宋体" w:cs="宋体"/>
                <w:i w:val="0"/>
                <w:iCs w:val="0"/>
                <w:color w:val="000000"/>
                <w:kern w:val="0"/>
                <w:sz w:val="18"/>
                <w:szCs w:val="18"/>
                <w:u w:val="none"/>
                <w:lang w:val="en-US" w:eastAsia="zh-CN" w:bidi="ar"/>
              </w:rPr>
              <w:t>预算追加149.674万元原因为</w:t>
            </w:r>
            <w:r>
              <w:rPr>
                <w:rFonts w:hint="eastAsia" w:ascii="宋体" w:hAnsi="宋体" w:eastAsia="宋体" w:cs="宋体"/>
                <w:i w:val="0"/>
                <w:iCs w:val="0"/>
                <w:color w:val="000000"/>
                <w:kern w:val="0"/>
                <w:sz w:val="18"/>
                <w:szCs w:val="18"/>
                <w:u w:val="none"/>
                <w:lang w:val="en-US" w:eastAsia="zh-CN" w:bidi="ar"/>
              </w:rPr>
              <w:t>2022年聚贤镇、会龙镇划拨给安居区管辖，所以年中本级预算追加户户通维护费9.246万元；省上匹配111.58万元、市级匹配28.848万元</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106.13</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255.80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255.80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维护镇（街道）公共服务网点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维护区级公共服务中心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自然村维护</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2211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广播在响率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17</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机房正常运行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运维响应时间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分钟</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故障修复时间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13</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自然村广播运行维护</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106.1</w:t>
            </w:r>
            <w:r>
              <w:rPr>
                <w:rFonts w:hint="eastAsia" w:ascii="宋体" w:hAnsi="宋体" w:cs="宋体"/>
                <w:i w:val="0"/>
                <w:iCs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255.80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满足农村群众收听广播节目需求</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用户满意度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按照年度目标，对全区18个镇（含2个街道办）274个行政村的2404个自然村的户户通维护了3314次，对农村广播进行维护584台，广播电视网络维护37次，圆满完成户户通维护任务，保证镇村两级干部能正常使用广播进行宣传，基层群众能听好广播看好电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r>
              <w:rPr>
                <w:rFonts w:hint="eastAsia" w:ascii="宋体" w:hAnsi="宋体" w:cs="宋体"/>
                <w:i w:val="0"/>
                <w:iCs w:val="0"/>
                <w:color w:val="000000"/>
                <w:kern w:val="0"/>
                <w:sz w:val="18"/>
                <w:szCs w:val="18"/>
                <w:u w:val="none"/>
                <w:lang w:val="en-US" w:eastAsia="zh-CN" w:bidi="ar"/>
              </w:rPr>
              <w:t>罗哉</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r>
              <w:rPr>
                <w:rFonts w:hint="eastAsia" w:ascii="宋体" w:hAnsi="宋体" w:cs="宋体"/>
                <w:i w:val="0"/>
                <w:iCs w:val="0"/>
                <w:color w:val="000000"/>
                <w:kern w:val="0"/>
                <w:sz w:val="18"/>
                <w:szCs w:val="18"/>
                <w:u w:val="none"/>
                <w:lang w:val="en-US" w:eastAsia="zh-CN" w:bidi="ar"/>
              </w:rPr>
              <w:t>罗春梅</w:t>
            </w:r>
          </w:p>
        </w:tc>
      </w:tr>
    </w:tbl>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sectPr>
          <w:pgSz w:w="16838" w:h="11906" w:orient="landscape"/>
          <w:pgMar w:top="1587" w:right="1440" w:bottom="1474" w:left="1440" w:header="851" w:footer="992" w:gutter="0"/>
          <w:pgNumType w:fmt="decimal"/>
          <w:cols w:space="0" w:num="1"/>
          <w:titlePg/>
          <w:rtlGutter w:val="0"/>
          <w:docGrid w:type="lines" w:linePitch="312" w:charSpace="0"/>
        </w:sectPr>
      </w:pPr>
    </w:p>
    <w:p>
      <w:pPr>
        <w:pageBreakBefore w:val="0"/>
        <w:widowControl/>
        <w:kinsoku/>
        <w:wordWrap/>
        <w:overflowPunct/>
        <w:topLinePunct w:val="0"/>
        <w:bidi w:val="0"/>
        <w:spacing w:line="560" w:lineRule="exact"/>
        <w:jc w:val="left"/>
        <w:textAlignment w:val="auto"/>
        <w:rPr>
          <w:rStyle w:val="28"/>
          <w:rFonts w:ascii="黑体" w:hAnsi="黑体" w:eastAsia="黑体"/>
          <w:b w:val="0"/>
          <w:color w:val="auto"/>
          <w:highlight w:val="none"/>
        </w:rPr>
      </w:pPr>
    </w:p>
    <w:p>
      <w:pPr>
        <w:pageBreakBefore w:val="0"/>
        <w:kinsoku/>
        <w:wordWrap/>
        <w:overflowPunct/>
        <w:topLinePunct w:val="0"/>
        <w:bidi w:val="0"/>
        <w:spacing w:line="560" w:lineRule="exact"/>
        <w:jc w:val="center"/>
        <w:textAlignment w:val="auto"/>
        <w:outlineLvl w:val="0"/>
        <w:rPr>
          <w:rFonts w:hint="eastAsia" w:ascii="仿宋" w:hAnsi="仿宋" w:eastAsia="仿宋"/>
          <w:b w:val="0"/>
          <w:color w:val="auto"/>
          <w:highlight w:val="none"/>
        </w:rPr>
      </w:pPr>
      <w:bookmarkStart w:id="59" w:name="_Toc15396618"/>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57"/>
      <w:bookmarkEnd w:id="59"/>
      <w:bookmarkStart w:id="60" w:name="_Toc15396619"/>
    </w:p>
    <w:p>
      <w:pPr>
        <w:pStyle w:val="3"/>
        <w:pageBreakBefore w:val="0"/>
        <w:kinsoku/>
        <w:wordWrap/>
        <w:overflowPunct/>
        <w:topLinePunct w:val="0"/>
        <w:bidi w:val="0"/>
        <w:spacing w:line="560" w:lineRule="exact"/>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60"/>
    </w:p>
    <w:p>
      <w:pPr>
        <w:pStyle w:val="3"/>
        <w:pageBreakBefore w:val="0"/>
        <w:kinsoku/>
        <w:wordWrap/>
        <w:overflowPunct/>
        <w:topLinePunct w:val="0"/>
        <w:bidi w:val="0"/>
        <w:spacing w:line="560" w:lineRule="exact"/>
        <w:textAlignment w:val="auto"/>
        <w:rPr>
          <w:rFonts w:ascii="仿宋" w:hAnsi="仿宋" w:eastAsia="仿宋"/>
          <w:color w:val="auto"/>
          <w:highlight w:val="none"/>
        </w:rPr>
      </w:pPr>
      <w:bookmarkStart w:id="61"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61"/>
    </w:p>
    <w:p>
      <w:pPr>
        <w:pStyle w:val="3"/>
        <w:pageBreakBefore w:val="0"/>
        <w:kinsoku/>
        <w:wordWrap/>
        <w:overflowPunct/>
        <w:topLinePunct w:val="0"/>
        <w:bidi w:val="0"/>
        <w:spacing w:line="560" w:lineRule="exact"/>
        <w:textAlignment w:val="auto"/>
        <w:rPr>
          <w:rFonts w:ascii="仿宋" w:hAnsi="仿宋" w:eastAsia="仿宋"/>
          <w:color w:val="auto"/>
          <w:highlight w:val="none"/>
        </w:rPr>
      </w:pPr>
      <w:bookmarkStart w:id="62"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62"/>
    </w:p>
    <w:p>
      <w:pPr>
        <w:pStyle w:val="3"/>
        <w:pageBreakBefore w:val="0"/>
        <w:kinsoku/>
        <w:wordWrap/>
        <w:overflowPunct/>
        <w:topLinePunct w:val="0"/>
        <w:bidi w:val="0"/>
        <w:spacing w:line="560" w:lineRule="exact"/>
        <w:textAlignment w:val="auto"/>
        <w:rPr>
          <w:rFonts w:ascii="仿宋" w:hAnsi="仿宋" w:eastAsia="仿宋"/>
          <w:b w:val="0"/>
          <w:color w:val="auto"/>
          <w:highlight w:val="none"/>
        </w:rPr>
      </w:pPr>
      <w:bookmarkStart w:id="63"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63"/>
    </w:p>
    <w:p>
      <w:pPr>
        <w:pStyle w:val="3"/>
        <w:pageBreakBefore w:val="0"/>
        <w:kinsoku/>
        <w:wordWrap/>
        <w:overflowPunct/>
        <w:topLinePunct w:val="0"/>
        <w:bidi w:val="0"/>
        <w:spacing w:line="560" w:lineRule="exact"/>
        <w:textAlignment w:val="auto"/>
        <w:rPr>
          <w:rStyle w:val="29"/>
          <w:rFonts w:ascii="仿宋" w:hAnsi="仿宋" w:eastAsia="仿宋"/>
          <w:b w:val="0"/>
          <w:bCs w:val="0"/>
          <w:color w:val="auto"/>
          <w:highlight w:val="none"/>
        </w:rPr>
      </w:pPr>
      <w:bookmarkStart w:id="64"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64"/>
      <w:bookmarkStart w:id="65" w:name="_Toc15396624"/>
    </w:p>
    <w:p>
      <w:pPr>
        <w:pStyle w:val="3"/>
        <w:pageBreakBefore w:val="0"/>
        <w:kinsoku/>
        <w:wordWrap/>
        <w:overflowPunct/>
        <w:topLinePunct w:val="0"/>
        <w:bidi w:val="0"/>
        <w:spacing w:line="560" w:lineRule="exact"/>
        <w:textAlignment w:val="auto"/>
        <w:rPr>
          <w:rFonts w:ascii="仿宋" w:hAnsi="仿宋" w:eastAsia="仿宋"/>
          <w:color w:val="auto"/>
          <w:highlight w:val="none"/>
        </w:rPr>
      </w:pPr>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65"/>
    </w:p>
    <w:p>
      <w:pPr>
        <w:pStyle w:val="3"/>
        <w:pageBreakBefore w:val="0"/>
        <w:kinsoku/>
        <w:wordWrap/>
        <w:overflowPunct/>
        <w:topLinePunct w:val="0"/>
        <w:bidi w:val="0"/>
        <w:spacing w:line="560" w:lineRule="exact"/>
        <w:textAlignment w:val="auto"/>
        <w:rPr>
          <w:rFonts w:ascii="仿宋" w:hAnsi="仿宋" w:eastAsia="仿宋"/>
          <w:color w:val="auto"/>
          <w:highlight w:val="none"/>
        </w:rPr>
      </w:pPr>
      <w:bookmarkStart w:id="66"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66"/>
    </w:p>
    <w:p>
      <w:pPr>
        <w:pStyle w:val="3"/>
        <w:pageBreakBefore w:val="0"/>
        <w:kinsoku/>
        <w:wordWrap/>
        <w:overflowPunct/>
        <w:topLinePunct w:val="0"/>
        <w:bidi w:val="0"/>
        <w:spacing w:line="560" w:lineRule="exact"/>
        <w:textAlignment w:val="auto"/>
        <w:rPr>
          <w:rFonts w:ascii="仿宋" w:hAnsi="仿宋" w:eastAsia="仿宋"/>
          <w:color w:val="auto"/>
          <w:highlight w:val="none"/>
        </w:rPr>
      </w:pPr>
      <w:bookmarkStart w:id="67"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67"/>
    </w:p>
    <w:p>
      <w:pPr>
        <w:pStyle w:val="3"/>
        <w:pageBreakBefore w:val="0"/>
        <w:kinsoku/>
        <w:wordWrap/>
        <w:overflowPunct/>
        <w:topLinePunct w:val="0"/>
        <w:bidi w:val="0"/>
        <w:spacing w:line="560" w:lineRule="exact"/>
        <w:textAlignment w:val="auto"/>
        <w:rPr>
          <w:rFonts w:ascii="仿宋" w:hAnsi="仿宋" w:eastAsia="仿宋"/>
          <w:color w:val="auto"/>
          <w:highlight w:val="none"/>
        </w:rPr>
      </w:pPr>
      <w:bookmarkStart w:id="68"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68"/>
    </w:p>
    <w:p>
      <w:pPr>
        <w:pStyle w:val="3"/>
        <w:pageBreakBefore w:val="0"/>
        <w:kinsoku/>
        <w:wordWrap/>
        <w:overflowPunct/>
        <w:topLinePunct w:val="0"/>
        <w:bidi w:val="0"/>
        <w:spacing w:line="560" w:lineRule="exact"/>
        <w:textAlignment w:val="auto"/>
        <w:rPr>
          <w:rFonts w:ascii="仿宋" w:hAnsi="仿宋" w:eastAsia="仿宋"/>
          <w:color w:val="auto"/>
          <w:highlight w:val="none"/>
        </w:rPr>
      </w:pPr>
      <w:bookmarkStart w:id="69" w:name="_Toc15396628"/>
      <w:r>
        <w:rPr>
          <w:rStyle w:val="29"/>
          <w:rFonts w:hint="eastAsia" w:ascii="仿宋" w:hAnsi="仿宋" w:eastAsia="仿宋"/>
          <w:b w:val="0"/>
          <w:bCs w:val="0"/>
          <w:color w:val="auto"/>
          <w:highlight w:val="none"/>
        </w:rPr>
        <w:t>十、</w:t>
      </w:r>
      <w:bookmarkEnd w:id="69"/>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p>
    <w:p>
      <w:pPr>
        <w:pStyle w:val="3"/>
        <w:pageBreakBefore w:val="0"/>
        <w:kinsoku/>
        <w:wordWrap/>
        <w:overflowPunct/>
        <w:topLinePunct w:val="0"/>
        <w:bidi w:val="0"/>
        <w:spacing w:line="560" w:lineRule="exact"/>
        <w:textAlignment w:val="auto"/>
        <w:rPr>
          <w:rFonts w:ascii="仿宋" w:hAnsi="仿宋" w:eastAsia="仿宋"/>
          <w:color w:val="auto"/>
          <w:highlight w:val="none"/>
        </w:rPr>
      </w:pPr>
      <w:bookmarkStart w:id="70" w:name="_Toc15396629"/>
      <w:r>
        <w:rPr>
          <w:rStyle w:val="29"/>
          <w:rFonts w:hint="eastAsia" w:ascii="仿宋" w:hAnsi="仿宋" w:eastAsia="仿宋"/>
          <w:b w:val="0"/>
          <w:bCs w:val="0"/>
          <w:color w:val="auto"/>
          <w:highlight w:val="none"/>
        </w:rPr>
        <w:t>十一、</w:t>
      </w:r>
      <w:bookmarkEnd w:id="70"/>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p>
    <w:p>
      <w:pPr>
        <w:pStyle w:val="3"/>
        <w:pageBreakBefore w:val="0"/>
        <w:kinsoku/>
        <w:wordWrap/>
        <w:overflowPunct/>
        <w:topLinePunct w:val="0"/>
        <w:bidi w:val="0"/>
        <w:spacing w:line="560" w:lineRule="exact"/>
        <w:textAlignment w:val="auto"/>
        <w:rPr>
          <w:rFonts w:ascii="仿宋" w:hAnsi="仿宋" w:eastAsia="仿宋"/>
          <w:color w:val="auto"/>
          <w:highlight w:val="none"/>
        </w:rPr>
      </w:pPr>
      <w:bookmarkStart w:id="71" w:name="_Toc15396630"/>
      <w:r>
        <w:rPr>
          <w:rStyle w:val="29"/>
          <w:rFonts w:hint="eastAsia" w:ascii="仿宋" w:hAnsi="仿宋" w:eastAsia="仿宋"/>
          <w:b w:val="0"/>
          <w:bCs w:val="0"/>
          <w:color w:val="auto"/>
          <w:highlight w:val="none"/>
        </w:rPr>
        <w:t>十二、</w:t>
      </w:r>
      <w:bookmarkEnd w:id="71"/>
      <w:r>
        <w:rPr>
          <w:rStyle w:val="29"/>
          <w:rFonts w:hint="eastAsia" w:ascii="仿宋" w:hAnsi="仿宋" w:eastAsia="仿宋"/>
          <w:b w:val="0"/>
          <w:bCs w:val="0"/>
          <w:color w:val="auto"/>
          <w:highlight w:val="none"/>
          <w:lang w:eastAsia="zh-CN"/>
        </w:rPr>
        <w:t>国有资本经营预算财政拨款支出决算表</w:t>
      </w:r>
    </w:p>
    <w:p>
      <w:pPr>
        <w:pStyle w:val="3"/>
        <w:pageBreakBefore w:val="0"/>
        <w:kinsoku/>
        <w:wordWrap/>
        <w:overflowPunct/>
        <w:topLinePunct w:val="0"/>
        <w:bidi w:val="0"/>
        <w:spacing w:line="560" w:lineRule="exact"/>
        <w:textAlignment w:val="auto"/>
        <w:rPr>
          <w:rFonts w:hint="eastAsia" w:eastAsia="仿宋"/>
          <w:color w:val="auto"/>
          <w:highlight w:val="none"/>
          <w:lang w:eastAsia="zh-CN"/>
        </w:rPr>
      </w:pPr>
      <w:bookmarkStart w:id="72" w:name="_Toc15396631"/>
      <w:r>
        <w:rPr>
          <w:rStyle w:val="29"/>
          <w:rFonts w:hint="eastAsia" w:ascii="仿宋" w:hAnsi="仿宋" w:eastAsia="仿宋"/>
          <w:b w:val="0"/>
          <w:bCs w:val="0"/>
          <w:color w:val="auto"/>
          <w:highlight w:val="none"/>
        </w:rPr>
        <w:t>十三、</w:t>
      </w:r>
      <w:bookmarkEnd w:id="72"/>
      <w:r>
        <w:rPr>
          <w:rStyle w:val="29"/>
          <w:rFonts w:hint="eastAsia" w:ascii="仿宋" w:hAnsi="仿宋" w:eastAsia="仿宋"/>
          <w:b w:val="0"/>
          <w:bCs w:val="0"/>
          <w:color w:val="auto"/>
          <w:highlight w:val="none"/>
          <w:lang w:eastAsia="zh-CN"/>
        </w:rPr>
        <w:t>财政拨款“三公”经费支出决算表</w:t>
      </w:r>
    </w:p>
    <w:sectPr>
      <w:pgSz w:w="11906" w:h="16838"/>
      <w:pgMar w:top="1440" w:right="1474"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sdt>
      <w:sdtPr>
        <w:id w:val="-1994781956"/>
      </w:sdtPr>
      <w:sdtContent/>
    </w:sdt>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sdt>
      <w:sdtPr>
        <w:id w:val="-1994781956"/>
      </w:sdtPr>
      <w:sdtContent/>
    </w:sdt>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3081B"/>
    <w:multiLevelType w:val="singleLevel"/>
    <w:tmpl w:val="9923081B"/>
    <w:lvl w:ilvl="0" w:tentative="0">
      <w:start w:val="5"/>
      <w:numFmt w:val="chineseCounting"/>
      <w:suff w:val="nothing"/>
      <w:lvlText w:val="%1、"/>
      <w:lvlJc w:val="left"/>
      <w:rPr>
        <w:rFonts w:hint="eastAsia"/>
      </w:rPr>
    </w:lvl>
  </w:abstractNum>
  <w:abstractNum w:abstractNumId="1">
    <w:nsid w:val="996B5FBC"/>
    <w:multiLevelType w:val="singleLevel"/>
    <w:tmpl w:val="996B5FBC"/>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11BDB11"/>
    <w:multiLevelType w:val="multilevel"/>
    <w:tmpl w:val="211BDB11"/>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3064A595"/>
    <w:multiLevelType w:val="multilevel"/>
    <w:tmpl w:val="3064A595"/>
    <w:lvl w:ilvl="0" w:tentative="0">
      <w:start w:val="1"/>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4"/>
  </w:num>
  <w:num w:numId="2">
    <w:abstractNumId w:val="2"/>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iNDU4YTFlMmJiMDJlNmZjN2FiOGE3MDA5YmZmM2Q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63D"/>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96E1E"/>
    <w:rsid w:val="015975B8"/>
    <w:rsid w:val="01912184"/>
    <w:rsid w:val="02143E91"/>
    <w:rsid w:val="024141DC"/>
    <w:rsid w:val="02584241"/>
    <w:rsid w:val="03DA6F54"/>
    <w:rsid w:val="03F37758"/>
    <w:rsid w:val="04921C4C"/>
    <w:rsid w:val="04BC5D9C"/>
    <w:rsid w:val="066E0107"/>
    <w:rsid w:val="069A65B0"/>
    <w:rsid w:val="07097292"/>
    <w:rsid w:val="07996F6E"/>
    <w:rsid w:val="08286E4C"/>
    <w:rsid w:val="08493DEA"/>
    <w:rsid w:val="0902043D"/>
    <w:rsid w:val="09473DB8"/>
    <w:rsid w:val="0A2032A3"/>
    <w:rsid w:val="0AAC240E"/>
    <w:rsid w:val="0B424B21"/>
    <w:rsid w:val="0B852C60"/>
    <w:rsid w:val="0BAB6B6A"/>
    <w:rsid w:val="0CA66440"/>
    <w:rsid w:val="0CBD0A4C"/>
    <w:rsid w:val="0CFD3DAC"/>
    <w:rsid w:val="0D330BC5"/>
    <w:rsid w:val="0DAB10A3"/>
    <w:rsid w:val="0DC9739D"/>
    <w:rsid w:val="0DF31E6D"/>
    <w:rsid w:val="0E5C239D"/>
    <w:rsid w:val="0E833B53"/>
    <w:rsid w:val="0EEC1973"/>
    <w:rsid w:val="0EEC54CF"/>
    <w:rsid w:val="0F681480"/>
    <w:rsid w:val="0F827BE2"/>
    <w:rsid w:val="0F98263C"/>
    <w:rsid w:val="101860EC"/>
    <w:rsid w:val="10BB33AB"/>
    <w:rsid w:val="10BF041C"/>
    <w:rsid w:val="10C055FF"/>
    <w:rsid w:val="10FB40F0"/>
    <w:rsid w:val="11120FAB"/>
    <w:rsid w:val="111A26FC"/>
    <w:rsid w:val="118107EC"/>
    <w:rsid w:val="121759FD"/>
    <w:rsid w:val="123F625E"/>
    <w:rsid w:val="1254413A"/>
    <w:rsid w:val="12906AB9"/>
    <w:rsid w:val="12ED7A68"/>
    <w:rsid w:val="136145E7"/>
    <w:rsid w:val="13CE5AEB"/>
    <w:rsid w:val="13D50BC4"/>
    <w:rsid w:val="13E03684"/>
    <w:rsid w:val="14922675"/>
    <w:rsid w:val="161353E5"/>
    <w:rsid w:val="168B10C2"/>
    <w:rsid w:val="16BB723D"/>
    <w:rsid w:val="16F72C63"/>
    <w:rsid w:val="16F84B3E"/>
    <w:rsid w:val="1732013F"/>
    <w:rsid w:val="1752076B"/>
    <w:rsid w:val="18403194"/>
    <w:rsid w:val="185D69EB"/>
    <w:rsid w:val="18BA4890"/>
    <w:rsid w:val="18FE29CF"/>
    <w:rsid w:val="19153875"/>
    <w:rsid w:val="19E94595"/>
    <w:rsid w:val="1A330456"/>
    <w:rsid w:val="1A4B3FB3"/>
    <w:rsid w:val="1B6805D3"/>
    <w:rsid w:val="1BD347AA"/>
    <w:rsid w:val="1BE8440E"/>
    <w:rsid w:val="1C146065"/>
    <w:rsid w:val="1C3D736A"/>
    <w:rsid w:val="1C4C3A51"/>
    <w:rsid w:val="1CC8554B"/>
    <w:rsid w:val="1CD94D8F"/>
    <w:rsid w:val="1D155CEE"/>
    <w:rsid w:val="1D3249F5"/>
    <w:rsid w:val="1DD91239"/>
    <w:rsid w:val="1E8D6FE2"/>
    <w:rsid w:val="1EC10B0F"/>
    <w:rsid w:val="1EFA1543"/>
    <w:rsid w:val="1EFB350D"/>
    <w:rsid w:val="1FC10645"/>
    <w:rsid w:val="1FF35744"/>
    <w:rsid w:val="20250841"/>
    <w:rsid w:val="206071F0"/>
    <w:rsid w:val="20BD316F"/>
    <w:rsid w:val="2129423A"/>
    <w:rsid w:val="213276BA"/>
    <w:rsid w:val="21352B60"/>
    <w:rsid w:val="215E177E"/>
    <w:rsid w:val="21A61BB7"/>
    <w:rsid w:val="229D2DC0"/>
    <w:rsid w:val="22E67C91"/>
    <w:rsid w:val="22FF7A6F"/>
    <w:rsid w:val="231E77CA"/>
    <w:rsid w:val="235F1734"/>
    <w:rsid w:val="23847F75"/>
    <w:rsid w:val="23860B96"/>
    <w:rsid w:val="240371BF"/>
    <w:rsid w:val="245416F5"/>
    <w:rsid w:val="24A26904"/>
    <w:rsid w:val="2507579E"/>
    <w:rsid w:val="25493224"/>
    <w:rsid w:val="25870932"/>
    <w:rsid w:val="258B383C"/>
    <w:rsid w:val="26022887"/>
    <w:rsid w:val="265934DB"/>
    <w:rsid w:val="27547C5E"/>
    <w:rsid w:val="27D108E8"/>
    <w:rsid w:val="281C6C4F"/>
    <w:rsid w:val="288822B5"/>
    <w:rsid w:val="297665B1"/>
    <w:rsid w:val="29FD04D3"/>
    <w:rsid w:val="2A094D30"/>
    <w:rsid w:val="2A5C58A0"/>
    <w:rsid w:val="2A7D1370"/>
    <w:rsid w:val="2AB24F59"/>
    <w:rsid w:val="2ABC77DE"/>
    <w:rsid w:val="2B4C52DF"/>
    <w:rsid w:val="2C051B8D"/>
    <w:rsid w:val="2C155C0E"/>
    <w:rsid w:val="2C163734"/>
    <w:rsid w:val="2C1D5DFD"/>
    <w:rsid w:val="2C4F4D81"/>
    <w:rsid w:val="2C815051"/>
    <w:rsid w:val="2C8A61B5"/>
    <w:rsid w:val="2CCC268C"/>
    <w:rsid w:val="2D3B5B48"/>
    <w:rsid w:val="2D4F15F3"/>
    <w:rsid w:val="2DE53D06"/>
    <w:rsid w:val="2DF04E50"/>
    <w:rsid w:val="2E114AFB"/>
    <w:rsid w:val="2E7C4E1D"/>
    <w:rsid w:val="2E8C5F2F"/>
    <w:rsid w:val="2F040D46"/>
    <w:rsid w:val="2F1B7D31"/>
    <w:rsid w:val="2FEC68B9"/>
    <w:rsid w:val="302C6ACD"/>
    <w:rsid w:val="305F1B4D"/>
    <w:rsid w:val="310F4C68"/>
    <w:rsid w:val="31745184"/>
    <w:rsid w:val="319F7F4E"/>
    <w:rsid w:val="325C33AA"/>
    <w:rsid w:val="32F06F36"/>
    <w:rsid w:val="3304709D"/>
    <w:rsid w:val="332D7CE1"/>
    <w:rsid w:val="336254B1"/>
    <w:rsid w:val="33E365F1"/>
    <w:rsid w:val="342B332D"/>
    <w:rsid w:val="342F247D"/>
    <w:rsid w:val="34352B0D"/>
    <w:rsid w:val="346B1A6E"/>
    <w:rsid w:val="34C77CC1"/>
    <w:rsid w:val="35316FEE"/>
    <w:rsid w:val="3542559A"/>
    <w:rsid w:val="35E16E3B"/>
    <w:rsid w:val="35F72828"/>
    <w:rsid w:val="360B3153"/>
    <w:rsid w:val="36857E34"/>
    <w:rsid w:val="369462C9"/>
    <w:rsid w:val="36AA5135"/>
    <w:rsid w:val="37645C9B"/>
    <w:rsid w:val="376D39B2"/>
    <w:rsid w:val="37E16F03"/>
    <w:rsid w:val="38044D88"/>
    <w:rsid w:val="3825742C"/>
    <w:rsid w:val="386A68D5"/>
    <w:rsid w:val="38D469F0"/>
    <w:rsid w:val="38F2018F"/>
    <w:rsid w:val="390239BE"/>
    <w:rsid w:val="390C3DD0"/>
    <w:rsid w:val="391E1E7A"/>
    <w:rsid w:val="396F730C"/>
    <w:rsid w:val="39F33306"/>
    <w:rsid w:val="39F93830"/>
    <w:rsid w:val="3A284F32"/>
    <w:rsid w:val="3A383CB2"/>
    <w:rsid w:val="3B4D6F19"/>
    <w:rsid w:val="3B53721F"/>
    <w:rsid w:val="3B7A10AA"/>
    <w:rsid w:val="3BDD0EC4"/>
    <w:rsid w:val="3BFA41C9"/>
    <w:rsid w:val="3D98207C"/>
    <w:rsid w:val="3E2919ED"/>
    <w:rsid w:val="3E78745D"/>
    <w:rsid w:val="3F40328B"/>
    <w:rsid w:val="3F636838"/>
    <w:rsid w:val="3FDE62B6"/>
    <w:rsid w:val="4004001B"/>
    <w:rsid w:val="400A73D4"/>
    <w:rsid w:val="40662A84"/>
    <w:rsid w:val="40E64A19"/>
    <w:rsid w:val="40FA4E7B"/>
    <w:rsid w:val="41656898"/>
    <w:rsid w:val="41704F0E"/>
    <w:rsid w:val="419569A4"/>
    <w:rsid w:val="41F77BFF"/>
    <w:rsid w:val="421D3845"/>
    <w:rsid w:val="4226071D"/>
    <w:rsid w:val="42E63A08"/>
    <w:rsid w:val="437B731D"/>
    <w:rsid w:val="44A678F3"/>
    <w:rsid w:val="44E268DA"/>
    <w:rsid w:val="452804AD"/>
    <w:rsid w:val="45977AFF"/>
    <w:rsid w:val="45E83F3B"/>
    <w:rsid w:val="4643732E"/>
    <w:rsid w:val="46EC642F"/>
    <w:rsid w:val="47573126"/>
    <w:rsid w:val="47794E4B"/>
    <w:rsid w:val="48223734"/>
    <w:rsid w:val="484E7A50"/>
    <w:rsid w:val="48D24C1A"/>
    <w:rsid w:val="492C43AD"/>
    <w:rsid w:val="4A627F82"/>
    <w:rsid w:val="4B0E749A"/>
    <w:rsid w:val="4B4F25DA"/>
    <w:rsid w:val="4B6978CC"/>
    <w:rsid w:val="4BD44D46"/>
    <w:rsid w:val="4BE068DB"/>
    <w:rsid w:val="4C3B3017"/>
    <w:rsid w:val="4D196FC1"/>
    <w:rsid w:val="4D577224"/>
    <w:rsid w:val="4E067654"/>
    <w:rsid w:val="4EAB630A"/>
    <w:rsid w:val="4ECE2238"/>
    <w:rsid w:val="4F0C0C9A"/>
    <w:rsid w:val="4F216F29"/>
    <w:rsid w:val="4F415F64"/>
    <w:rsid w:val="4F76482C"/>
    <w:rsid w:val="4FB500F8"/>
    <w:rsid w:val="4FC15EB5"/>
    <w:rsid w:val="50437074"/>
    <w:rsid w:val="507B1288"/>
    <w:rsid w:val="507C775A"/>
    <w:rsid w:val="5179181E"/>
    <w:rsid w:val="51EE6435"/>
    <w:rsid w:val="5201260D"/>
    <w:rsid w:val="52140592"/>
    <w:rsid w:val="5285323E"/>
    <w:rsid w:val="52FD1026"/>
    <w:rsid w:val="53756E3D"/>
    <w:rsid w:val="537E6D0A"/>
    <w:rsid w:val="53847464"/>
    <w:rsid w:val="545033D7"/>
    <w:rsid w:val="54F26D6D"/>
    <w:rsid w:val="552A3C28"/>
    <w:rsid w:val="55645F42"/>
    <w:rsid w:val="556F5ADF"/>
    <w:rsid w:val="55A41C2D"/>
    <w:rsid w:val="55D465D1"/>
    <w:rsid w:val="56365F76"/>
    <w:rsid w:val="56C53BC0"/>
    <w:rsid w:val="571444FF"/>
    <w:rsid w:val="57155B4A"/>
    <w:rsid w:val="573214BA"/>
    <w:rsid w:val="575D5338"/>
    <w:rsid w:val="576E6805"/>
    <w:rsid w:val="580249E9"/>
    <w:rsid w:val="581B5AAA"/>
    <w:rsid w:val="588B6705"/>
    <w:rsid w:val="58F62C8A"/>
    <w:rsid w:val="590B22B6"/>
    <w:rsid w:val="59201FD4"/>
    <w:rsid w:val="5ADC2D5B"/>
    <w:rsid w:val="5AF92295"/>
    <w:rsid w:val="5C422480"/>
    <w:rsid w:val="5C4E56D8"/>
    <w:rsid w:val="5CD71FC4"/>
    <w:rsid w:val="5E744819"/>
    <w:rsid w:val="5ECC6ED2"/>
    <w:rsid w:val="5ED40632"/>
    <w:rsid w:val="5F5A1C26"/>
    <w:rsid w:val="5FD1369F"/>
    <w:rsid w:val="607466A0"/>
    <w:rsid w:val="6094289E"/>
    <w:rsid w:val="609B35A7"/>
    <w:rsid w:val="6153211D"/>
    <w:rsid w:val="6164129C"/>
    <w:rsid w:val="617C69ED"/>
    <w:rsid w:val="61C80A51"/>
    <w:rsid w:val="634E4F86"/>
    <w:rsid w:val="635A009E"/>
    <w:rsid w:val="638C2CB2"/>
    <w:rsid w:val="639C03E7"/>
    <w:rsid w:val="63D503C7"/>
    <w:rsid w:val="64716DC6"/>
    <w:rsid w:val="64F20F6B"/>
    <w:rsid w:val="654B3127"/>
    <w:rsid w:val="6585301D"/>
    <w:rsid w:val="65982E30"/>
    <w:rsid w:val="65A90B99"/>
    <w:rsid w:val="65E9379A"/>
    <w:rsid w:val="660109D5"/>
    <w:rsid w:val="66024B88"/>
    <w:rsid w:val="66DA0866"/>
    <w:rsid w:val="67D55C76"/>
    <w:rsid w:val="67DB41F5"/>
    <w:rsid w:val="689C6793"/>
    <w:rsid w:val="68A815DC"/>
    <w:rsid w:val="68FD362B"/>
    <w:rsid w:val="691C1682"/>
    <w:rsid w:val="6A211646"/>
    <w:rsid w:val="6AB74424"/>
    <w:rsid w:val="6B0D5A2E"/>
    <w:rsid w:val="6B867CE0"/>
    <w:rsid w:val="6BD779E9"/>
    <w:rsid w:val="6C4A05C8"/>
    <w:rsid w:val="6CCA28B8"/>
    <w:rsid w:val="6D0964BE"/>
    <w:rsid w:val="6D323B6A"/>
    <w:rsid w:val="6DA57E98"/>
    <w:rsid w:val="6E60411D"/>
    <w:rsid w:val="6E7E3605"/>
    <w:rsid w:val="6E894A54"/>
    <w:rsid w:val="6E8D72AA"/>
    <w:rsid w:val="6ED924EF"/>
    <w:rsid w:val="6EE113A4"/>
    <w:rsid w:val="6F39198C"/>
    <w:rsid w:val="6FF5CC65"/>
    <w:rsid w:val="701E6E74"/>
    <w:rsid w:val="70F213A1"/>
    <w:rsid w:val="715C0E4B"/>
    <w:rsid w:val="72281098"/>
    <w:rsid w:val="72734D90"/>
    <w:rsid w:val="72A3076E"/>
    <w:rsid w:val="72CB65F3"/>
    <w:rsid w:val="73243F55"/>
    <w:rsid w:val="73AD73D5"/>
    <w:rsid w:val="73B6EB34"/>
    <w:rsid w:val="74420ABE"/>
    <w:rsid w:val="744731E5"/>
    <w:rsid w:val="755558D6"/>
    <w:rsid w:val="75CB7620"/>
    <w:rsid w:val="765606D8"/>
    <w:rsid w:val="76E3355F"/>
    <w:rsid w:val="77533E00"/>
    <w:rsid w:val="778769C8"/>
    <w:rsid w:val="78106856"/>
    <w:rsid w:val="79475A16"/>
    <w:rsid w:val="798B6ADC"/>
    <w:rsid w:val="79EE5BA4"/>
    <w:rsid w:val="7A424340"/>
    <w:rsid w:val="7A57156E"/>
    <w:rsid w:val="7A894339"/>
    <w:rsid w:val="7A97325F"/>
    <w:rsid w:val="7ACC2F08"/>
    <w:rsid w:val="7B2C4A37"/>
    <w:rsid w:val="7B2F105B"/>
    <w:rsid w:val="7B446541"/>
    <w:rsid w:val="7B8C61F4"/>
    <w:rsid w:val="7C7C71B9"/>
    <w:rsid w:val="7C8F4E94"/>
    <w:rsid w:val="7CB4634A"/>
    <w:rsid w:val="7CC5057A"/>
    <w:rsid w:val="7E0D7209"/>
    <w:rsid w:val="7E437985"/>
    <w:rsid w:val="7EEF11D3"/>
    <w:rsid w:val="7F364DF4"/>
    <w:rsid w:val="7F833DB1"/>
    <w:rsid w:val="7FA30C79"/>
    <w:rsid w:val="7FB14DC3"/>
    <w:rsid w:val="7FB7269E"/>
    <w:rsid w:val="7FC96657"/>
    <w:rsid w:val="7FD50AB1"/>
    <w:rsid w:val="7FF54CAF"/>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rPr>
      <w:sz w:val="24"/>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常用样式（方正仿宋简）"/>
    <w:qFormat/>
    <w:uiPriority w:val="0"/>
    <w:pPr>
      <w:widowControl w:val="0"/>
      <w:spacing w:line="560" w:lineRule="exact"/>
      <w:ind w:firstLine="640" w:firstLineChars="200"/>
      <w:jc w:val="both"/>
    </w:pPr>
    <w:rPr>
      <w:rFonts w:ascii="Calibri" w:hAnsi="Calibri" w:eastAsia="方正仿宋简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F:\xym2021.01.14\&#25991;&#24191;&#23616;\2022\2022&#24180;&#37096;&#38376;&#39044;&#31639;&#12289;&#20915;&#31639;\2022&#24180;&#37096;&#38376;&#20915;&#31639;\&#20915;&#31639;&#20844;&#24320;\&#36741;&#21161;&#36164;&#26009;\&#22270;&#34920;&#3156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xym2021.01.14\&#25991;&#24191;&#23616;\2022\2022&#24180;&#37096;&#38376;&#39044;&#31639;&#12289;&#20915;&#31639;\2022&#24180;&#37096;&#38376;&#20915;&#31639;\&#20915;&#31639;&#20844;&#24320;\&#36741;&#21161;&#36164;&#26009;\&#22270;&#34920;&#3156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xym2021.01.14\&#25991;&#24191;&#23616;\2022\2022&#24180;&#37096;&#38376;&#39044;&#31639;&#12289;&#20915;&#31639;\2022&#24180;&#37096;&#38376;&#20915;&#31639;\&#20915;&#31639;&#20844;&#24320;\&#36741;&#21161;&#36164;&#26009;\&#22270;&#34920;&#3156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xym2021.01.14\&#25991;&#24191;&#23616;\2022\2022&#24180;&#37096;&#38376;&#39044;&#31639;&#12289;&#20915;&#31639;\2022&#24180;&#37096;&#38376;&#20915;&#31639;\&#20915;&#31639;&#20844;&#24320;\&#36741;&#21161;&#36164;&#26009;\&#22270;&#34920;&#3156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xym2021.01.14\&#25991;&#24191;&#23616;\2022\2022&#24180;&#37096;&#38376;&#39044;&#31639;&#12289;&#20915;&#31639;\2022&#24180;&#37096;&#38376;&#20915;&#31639;\&#20915;&#31639;&#20844;&#24320;\&#36741;&#21161;&#36164;&#26009;\&#22270;&#34920;&#3156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xym2021.01.14\&#25991;&#24191;&#23616;\2022\2022&#24180;&#37096;&#38376;&#39044;&#31639;&#12289;&#20915;&#31639;\2022&#24180;&#37096;&#38376;&#20915;&#31639;\&#20915;&#31639;&#20844;&#24320;\&#36741;&#21161;&#36164;&#26009;\&#22270;&#34920;&#3156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F:\xym2021.01.14\&#25991;&#24191;&#23616;\2022\2022&#24180;&#37096;&#38376;&#39044;&#31639;&#12289;&#20915;&#31639;\2022&#24180;&#37096;&#38376;&#20915;&#31639;\&#20915;&#31639;&#20844;&#24320;\&#36741;&#21161;&#36164;&#26009;\&#22270;&#34920;&#3156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图1：收、支决算总计变动情况图（万元）</a:t>
            </a:r>
          </a:p>
        </c:rich>
      </c:tx>
      <c:layout/>
      <c:overlay val="0"/>
      <c:spPr>
        <a:noFill/>
        <a:ln>
          <a:noFill/>
        </a:ln>
        <a:effectLst/>
      </c:spPr>
    </c:title>
    <c:autoTitleDeleted val="0"/>
    <c:plotArea>
      <c:layout>
        <c:manualLayout>
          <c:layoutTarget val="inner"/>
          <c:xMode val="edge"/>
          <c:yMode val="edge"/>
          <c:x val="0.0981691834825609"/>
          <c:y val="0.268844781445138"/>
          <c:w val="0.847975410931445"/>
          <c:h val="0.609924174843889"/>
        </c:manualLayout>
      </c:layout>
      <c:barChart>
        <c:barDir val="col"/>
        <c:grouping val="clustered"/>
        <c:varyColors val="0"/>
        <c:ser>
          <c:idx val="0"/>
          <c:order val="0"/>
          <c:spPr>
            <a:gradFill>
              <a:gsLst>
                <a:gs pos="0">
                  <a:srgbClr val="EE5596"/>
                </a:gs>
                <a:gs pos="100000">
                  <a:srgbClr val="F9B621"/>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'[图表等.xlsx]1'!$A$2:$A$3</c:f>
              <c:strCache>
                <c:ptCount val="2"/>
                <c:pt idx="0">
                  <c:v>2021年</c:v>
                </c:pt>
                <c:pt idx="1">
                  <c:v>2022年</c:v>
                </c:pt>
              </c:strCache>
            </c:strRef>
          </c:cat>
          <c:val>
            <c:numRef>
              <c:f>'[图表等.xlsx]1'!$B$2:$B$3</c:f>
              <c:numCache>
                <c:formatCode>General</c:formatCode>
                <c:ptCount val="2"/>
                <c:pt idx="0">
                  <c:v>6869.22</c:v>
                </c:pt>
                <c:pt idx="1">
                  <c:v>4318.83</c:v>
                </c:pt>
              </c:numCache>
            </c:numRef>
          </c:val>
        </c:ser>
        <c:dLbls>
          <c:showLegendKey val="0"/>
          <c:showVal val="0"/>
          <c:showCatName val="0"/>
          <c:showSerName val="0"/>
          <c:showPercent val="0"/>
          <c:showBubbleSize val="0"/>
        </c:dLbls>
        <c:gapWidth val="219"/>
        <c:overlap val="-27"/>
        <c:axId val="209294067"/>
        <c:axId val="927412273"/>
      </c:barChart>
      <c:catAx>
        <c:axId val="209294067"/>
        <c:scaling>
          <c:orientation val="minMax"/>
        </c:scaling>
        <c:delete val="0"/>
        <c:axPos val="b"/>
        <c:majorGridlines>
          <c:spPr>
            <a:ln w="9525" cap="flat" cmpd="sng" algn="ctr">
              <a:solidFill>
                <a:schemeClr val="bg1">
                  <a:lumMod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27412273"/>
        <c:crosses val="autoZero"/>
        <c:auto val="1"/>
        <c:lblAlgn val="ctr"/>
        <c:lblOffset val="100"/>
        <c:noMultiLvlLbl val="0"/>
      </c:catAx>
      <c:valAx>
        <c:axId val="927412273"/>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09294067"/>
        <c:crosses val="autoZero"/>
        <c:crossBetween val="between"/>
      </c:valAx>
      <c:spPr>
        <a:noFill/>
        <a:ln>
          <a:solidFill>
            <a:schemeClr val="bg1">
              <a:lumMod val="85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'[图表等.xlsx]2'!$B$2:$B$3</c:f>
              <c:strCache>
                <c:ptCount val="1"/>
                <c:pt idx="0">
                  <c:v>图2：收入决算结构图（万元）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'[图表等.xlsx]2'!$A$4:$A$6</c:f>
              <c:strCache>
                <c:ptCount val="3"/>
                <c:pt idx="0">
                  <c:v>一般公共预算财政拨款收入</c:v>
                </c:pt>
                <c:pt idx="1">
                  <c:v>政府性基金预算财政拨款收入</c:v>
                </c:pt>
                <c:pt idx="2">
                  <c:v>其他收入</c:v>
                </c:pt>
              </c:strCache>
            </c:strRef>
          </c:cat>
          <c:val>
            <c:numRef>
              <c:f>'[图表等.xlsx]2'!$B$4:$B$6</c:f>
              <c:numCache>
                <c:formatCode>General</c:formatCode>
                <c:ptCount val="3"/>
                <c:pt idx="0">
                  <c:v>2669.99</c:v>
                </c:pt>
                <c:pt idx="1">
                  <c:v>1642.64</c:v>
                </c:pt>
                <c:pt idx="2">
                  <c:v>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886111111111111"/>
          <c:y val="0.8951388888888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'[图表等.xlsx]3'!$B$4</c:f>
              <c:strCache>
                <c:ptCount val="1"/>
                <c:pt idx="0">
                  <c:v>图3：支出决算结构图（万元）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'[图表等.xlsx]3'!$A$5:$A$6</c:f>
              <c:strCache>
                <c:ptCount val="2"/>
                <c:pt idx="0">
                  <c:v>基本支出</c:v>
                </c:pt>
                <c:pt idx="1">
                  <c:v>项目支出</c:v>
                </c:pt>
              </c:strCache>
            </c:strRef>
          </c:cat>
          <c:val>
            <c:numRef>
              <c:f>'[图表等.xlsx]3'!$B$5:$B$6</c:f>
              <c:numCache>
                <c:formatCode>General</c:formatCode>
                <c:ptCount val="2"/>
                <c:pt idx="0">
                  <c:v>839.98</c:v>
                </c:pt>
                <c:pt idx="1">
                  <c:v>3478.85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forceAA="0"/>
        <a:lstStyle/>
        <a:p>
          <a:pPr>
            <a:defRPr lang="zh-CN" sz="1400" b="0" i="0" u="none" strike="noStrike" kern="1200" spc="0" baseline="0">
              <a:solidFill>
                <a:srgbClr val="91908C"/>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title>
    <c:autoTitleDeleted val="0"/>
    <c:plotArea>
      <c:layout>
        <c:manualLayout>
          <c:layoutTarget val="inner"/>
          <c:xMode val="edge"/>
          <c:yMode val="edge"/>
          <c:x val="0.0659625033007658"/>
          <c:y val="0.291392707710699"/>
          <c:w val="0.879904937945603"/>
          <c:h val="0.616975493126121"/>
        </c:manualLayout>
      </c:layout>
      <c:barChart>
        <c:barDir val="col"/>
        <c:grouping val="clustered"/>
        <c:varyColors val="0"/>
        <c:ser>
          <c:idx val="0"/>
          <c:order val="0"/>
          <c:tx>
            <c:strRef>
              <c:f>'[图表等.xlsx]4'!$B$3</c:f>
              <c:strCache>
                <c:ptCount val="1"/>
                <c:pt idx="0">
                  <c:v>图4：财政拨款收、支决算总计变动情况（万元）</c:v>
                </c:pt>
              </c:strCache>
            </c:strRef>
          </c:tx>
          <c:spPr>
            <a:solidFill>
              <a:schemeClr val="accent6"/>
            </a:solidFill>
            <a:ln>
              <a:noFill/>
            </a:ln>
            <a:effectLst>
              <a:outerShdw blurRad="76200" dir="18900000" sy="23000" kx="-1200000" algn="bl" rotWithShape="0">
                <a:prstClr val="black">
                  <a:alpha val="1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'[图表等.xlsx]4'!$A$4:$A$5</c:f>
              <c:numCache>
                <c:formatCode>General</c:formatCode>
                <c:ptCount val="2"/>
                <c:pt idx="0">
                  <c:v>2021</c:v>
                </c:pt>
                <c:pt idx="1">
                  <c:v>2022</c:v>
                </c:pt>
              </c:numCache>
            </c:numRef>
          </c:cat>
          <c:val>
            <c:numRef>
              <c:f>'[图表等.xlsx]4'!$B$4:$B$5</c:f>
              <c:numCache>
                <c:formatCode>General</c:formatCode>
                <c:ptCount val="2"/>
                <c:pt idx="0">
                  <c:v>6742.37</c:v>
                </c:pt>
                <c:pt idx="1">
                  <c:v>4312.63</c:v>
                </c:pt>
              </c:numCache>
            </c:numRef>
          </c:val>
        </c:ser>
        <c:dLbls>
          <c:showLegendKey val="0"/>
          <c:showVal val="0"/>
          <c:showCatName val="0"/>
          <c:showSerName val="0"/>
          <c:showPercent val="0"/>
          <c:showBubbleSize val="0"/>
        </c:dLbls>
        <c:gapWidth val="500"/>
        <c:overlap val="-40"/>
        <c:axId val="974790498"/>
        <c:axId val="418880946"/>
      </c:barChart>
      <c:catAx>
        <c:axId val="974790498"/>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0"/>
        <c:majorTickMark val="none"/>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rgbClr val="91908C"/>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18880946"/>
        <c:crosses val="autoZero"/>
        <c:auto val="1"/>
        <c:lblAlgn val="ctr"/>
        <c:lblOffset val="100"/>
        <c:noMultiLvlLbl val="0"/>
      </c:catAx>
      <c:valAx>
        <c:axId val="418880946"/>
        <c:scaling>
          <c:orientation val="minMax"/>
        </c:scaling>
        <c:delete val="0"/>
        <c:axPos val="l"/>
        <c:majorGridlines>
          <c:spPr>
            <a:ln w="3175" cap="flat" cmpd="sng" algn="ctr">
              <a:solidFill>
                <a:srgbClr val="EAEAEA"/>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rgbClr val="91908C"/>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74790498"/>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EAEAEA"/>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forceAA="0"/>
        <a:lstStyle/>
        <a:p>
          <a:pPr>
            <a:defRPr lang="zh-CN" sz="1400" b="0" i="0" u="none" strike="noStrike" kern="1200" spc="0" baseline="0">
              <a:solidFill>
                <a:srgbClr val="91908C"/>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title>
    <c:autoTitleDeleted val="0"/>
    <c:plotArea>
      <c:layout/>
      <c:barChart>
        <c:barDir val="col"/>
        <c:grouping val="clustered"/>
        <c:varyColors val="0"/>
        <c:ser>
          <c:idx val="0"/>
          <c:order val="0"/>
          <c:tx>
            <c:strRef>
              <c:f>'[图表等.xlsx]5'!$B$1</c:f>
              <c:strCache>
                <c:ptCount val="1"/>
                <c:pt idx="0">
                  <c:v>图5：一般公共预算财政拨款支出决算变动情况（万元）</c:v>
                </c:pt>
              </c:strCache>
            </c:strRef>
          </c:tx>
          <c:spPr>
            <a:solidFill>
              <a:schemeClr val="accent2"/>
            </a:solidFill>
            <a:ln>
              <a:noFill/>
            </a:ln>
            <a:effectLst>
              <a:outerShdw blurRad="76200" dir="18900000" sy="23000" kx="-1200000" algn="bl" rotWithShape="0">
                <a:prstClr val="black">
                  <a:alpha val="1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'[图表等.xlsx]5'!$A$2:$A$3</c:f>
              <c:numCache>
                <c:formatCode>General</c:formatCode>
                <c:ptCount val="2"/>
                <c:pt idx="0">
                  <c:v>2021</c:v>
                </c:pt>
                <c:pt idx="1">
                  <c:v>2022</c:v>
                </c:pt>
              </c:numCache>
            </c:numRef>
          </c:cat>
          <c:val>
            <c:numRef>
              <c:f>'[图表等.xlsx]5'!$B$2:$B$3</c:f>
              <c:numCache>
                <c:formatCode>General</c:formatCode>
                <c:ptCount val="2"/>
                <c:pt idx="0">
                  <c:v>3073.57</c:v>
                </c:pt>
                <c:pt idx="1">
                  <c:v>2669.99</c:v>
                </c:pt>
              </c:numCache>
            </c:numRef>
          </c:val>
        </c:ser>
        <c:dLbls>
          <c:showLegendKey val="0"/>
          <c:showVal val="1"/>
          <c:showCatName val="0"/>
          <c:showSerName val="0"/>
          <c:showPercent val="0"/>
          <c:showBubbleSize val="0"/>
        </c:dLbls>
        <c:gapWidth val="500"/>
        <c:overlap val="-40"/>
        <c:axId val="988435082"/>
        <c:axId val="475056845"/>
      </c:barChart>
      <c:catAx>
        <c:axId val="988435082"/>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0"/>
        <c:majorTickMark val="none"/>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rgbClr val="91908C"/>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75056845"/>
        <c:crosses val="autoZero"/>
        <c:auto val="1"/>
        <c:lblAlgn val="ctr"/>
        <c:lblOffset val="100"/>
        <c:noMultiLvlLbl val="0"/>
      </c:catAx>
      <c:valAx>
        <c:axId val="475056845"/>
        <c:scaling>
          <c:orientation val="minMax"/>
        </c:scaling>
        <c:delete val="0"/>
        <c:axPos val="l"/>
        <c:majorGridlines>
          <c:spPr>
            <a:ln w="3175" cap="flat" cmpd="sng" algn="ctr">
              <a:solidFill>
                <a:srgbClr val="EAEAEA"/>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rgbClr val="91908C"/>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88435082"/>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EAEAEA"/>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'[图表等.xlsx]6'!$B$2</c:f>
              <c:strCache>
                <c:ptCount val="1"/>
                <c:pt idx="0">
                  <c:v>图6：一般公共预算财政拨款支出决算结构（万元）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0.121457230484833"/>
                  <c:y val="0.028427294510405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8333333333333"/>
                  <c:y val="0.055555555555555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756238971514999"/>
                  <c:y val="0.04111726974127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371659944542478"/>
                  <c:y val="-0.07350392402336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36346014053792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'[图表等.xlsx]6'!$A$3:$A$8</c:f>
              <c:strCache>
                <c:ptCount val="6"/>
                <c:pt idx="0">
                  <c:v>一般公共服务支出</c:v>
                </c:pt>
                <c:pt idx="1">
                  <c:v>文化旅游体育与传媒支出</c:v>
                </c:pt>
                <c:pt idx="2">
                  <c:v>社会保障和就业支出</c:v>
                </c:pt>
                <c:pt idx="3">
                  <c:v>卫生健康支出</c:v>
                </c:pt>
                <c:pt idx="4">
                  <c:v>农林水支出</c:v>
                </c:pt>
                <c:pt idx="5">
                  <c:v>住房保障支出</c:v>
                </c:pt>
              </c:strCache>
            </c:strRef>
          </c:cat>
          <c:val>
            <c:numRef>
              <c:f>'[图表等.xlsx]6'!$B$3:$B$8</c:f>
              <c:numCache>
                <c:formatCode>General</c:formatCode>
                <c:ptCount val="6"/>
                <c:pt idx="1">
                  <c:v>1643.6</c:v>
                </c:pt>
                <c:pt idx="2">
                  <c:v>48.16</c:v>
                </c:pt>
                <c:pt idx="3">
                  <c:v>34.34</c:v>
                </c:pt>
                <c:pt idx="4">
                  <c:v>893.14</c:v>
                </c:pt>
                <c:pt idx="5">
                  <c:v>50.75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图7：“三公”经费财政拨款支出结构（万元）</a:t>
            </a:r>
          </a:p>
        </c:rich>
      </c:tx>
      <c:layout/>
      <c:overlay val="0"/>
      <c:spPr>
        <a:noFill/>
        <a:ln>
          <a:noFill/>
        </a:ln>
        <a:effectLst/>
      </c:spPr>
    </c:title>
    <c:autoTitleDeleted val="0"/>
    <c:plotArea>
      <c:layout/>
      <c:pieChart>
        <c:varyColors val="1"/>
        <c:ser>
          <c:idx val="0"/>
          <c:order val="0"/>
          <c:tx>
            <c:strRef>
              <c:f>[图表等.xlsx]Sheet3!$B$2</c:f>
              <c:strCache>
                <c:ptCount val="1"/>
                <c:pt idx="0">
                  <c:v>图7：“三公”经费财政拨款支出结构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[图表等.xlsx]Sheet3!$A$3:$A$5</c:f>
              <c:strCache>
                <c:ptCount val="3"/>
                <c:pt idx="0">
                  <c:v>因公出国（境）费</c:v>
                </c:pt>
                <c:pt idx="1">
                  <c:v>公务用车购置及运行维护费</c:v>
                </c:pt>
                <c:pt idx="2">
                  <c:v>公务接待费</c:v>
                </c:pt>
              </c:strCache>
            </c:strRef>
          </c:cat>
          <c:val>
            <c:numRef>
              <c:f>[图表等.xlsx]Sheet3!$B$3:$B$5</c:f>
              <c:numCache>
                <c:formatCode>General</c:formatCode>
                <c:ptCount val="3"/>
                <c:pt idx="0">
                  <c:v>0</c:v>
                </c:pt>
                <c:pt idx="1">
                  <c:v>0</c:v>
                </c:pt>
                <c:pt idx="2">
                  <c:v>5.16</c:v>
                </c:pt>
              </c:numCache>
            </c:numRef>
          </c:val>
        </c:ser>
        <c:ser>
          <c:idx val="1"/>
          <c:order val="1"/>
          <c:tx>
            <c:strRef>
              <c:f>[图表等.xlsx]Sheet3!$C$2</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[图表等.xlsx]Sheet3!$A$3:$A$5</c:f>
              <c:strCache>
                <c:ptCount val="3"/>
                <c:pt idx="0">
                  <c:v>因公出国（境）费</c:v>
                </c:pt>
                <c:pt idx="1">
                  <c:v>公务用车购置及运行维护费</c:v>
                </c:pt>
                <c:pt idx="2">
                  <c:v>公务接待费</c:v>
                </c:pt>
              </c:strCache>
            </c:strRef>
          </c:cat>
          <c:val>
            <c:numRef>
              <c:f>[图表等.xlsx]Sheet3!$C$3:$C$5</c:f>
              <c:numCache>
                <c:formatCode>General</c:formatCode>
                <c:ptCount val="3"/>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7003</Words>
  <Characters>7458</Characters>
  <Lines>1</Lines>
  <Paragraphs>1</Paragraphs>
  <TotalTime>108</TotalTime>
  <ScaleCrop>false</ScaleCrop>
  <LinksUpToDate>false</LinksUpToDate>
  <CharactersWithSpaces>7493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flyingwings02</cp:lastModifiedBy>
  <cp:lastPrinted>2023-08-24T02:51:00Z</cp:lastPrinted>
  <dcterms:modified xsi:type="dcterms:W3CDTF">2023-08-24T09:04:11Z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A3D82B06649646E7B4F24F9568A8F3D5_12</vt:lpwstr>
  </property>
</Properties>
</file>