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left"/>
        <w:rPr>
          <w:rFonts w:hint="eastAsia" w:ascii="楷体_GB2312" w:hAnsi="宋体" w:eastAsia="楷体_GB2312"/>
          <w:color w:val="000000"/>
          <w:sz w:val="32"/>
          <w:szCs w:val="32"/>
        </w:rPr>
      </w:pPr>
      <w:r>
        <w:rPr>
          <w:rFonts w:hint="eastAsia" w:ascii="黑体" w:hAnsi="黑体" w:eastAsia="黑体"/>
          <w:color w:val="000000"/>
          <w:sz w:val="32"/>
          <w:szCs w:val="32"/>
        </w:rPr>
        <w:t>附件4</w:t>
      </w:r>
    </w:p>
    <w:p>
      <w:pPr>
        <w:adjustRightInd w:val="0"/>
        <w:snapToGrid w:val="0"/>
        <w:spacing w:line="480" w:lineRule="atLeast"/>
        <w:ind w:firstLine="320" w:firstLineChars="100"/>
        <w:jc w:val="center"/>
        <w:outlineLvl w:val="1"/>
        <w:rPr>
          <w:rFonts w:hint="eastAsia" w:eastAsia="方正小标宋简体"/>
          <w:color w:val="000000"/>
          <w:sz w:val="32"/>
          <w:szCs w:val="32"/>
        </w:rPr>
      </w:pPr>
    </w:p>
    <w:p>
      <w:pPr>
        <w:adjustRightInd w:val="0"/>
        <w:snapToGrid w:val="0"/>
        <w:spacing w:line="480" w:lineRule="atLeast"/>
        <w:jc w:val="center"/>
        <w:outlineLvl w:val="1"/>
        <w:rPr>
          <w:rFonts w:hint="eastAsia" w:ascii="方正小标宋_GBK" w:eastAsia="方正小标宋_GBK"/>
          <w:color w:val="000000"/>
          <w:sz w:val="44"/>
          <w:szCs w:val="24"/>
        </w:rPr>
      </w:pPr>
      <w:bookmarkStart w:id="70" w:name="_GoBack"/>
      <w:r>
        <w:rPr>
          <w:rFonts w:hint="eastAsia" w:ascii="方正小标宋_GBK" w:eastAsia="方正小标宋_GBK"/>
          <w:color w:val="000000"/>
          <w:sz w:val="44"/>
          <w:szCs w:val="24"/>
        </w:rPr>
        <w:t>遂宁市易发非煤矿山生产事故应急处置要点</w:t>
      </w:r>
      <w:bookmarkStart w:id="0" w:name="_Toc13737499"/>
      <w:bookmarkStart w:id="1" w:name="_Toc13813662"/>
      <w:bookmarkStart w:id="2" w:name="_Toc13737376"/>
      <w:bookmarkStart w:id="3" w:name="_Toc14077542"/>
      <w:bookmarkStart w:id="4" w:name="_Toc12885518"/>
      <w:bookmarkEnd w:id="70"/>
    </w:p>
    <w:bookmarkEnd w:id="0"/>
    <w:bookmarkEnd w:id="1"/>
    <w:bookmarkEnd w:id="2"/>
    <w:bookmarkEnd w:id="3"/>
    <w:bookmarkEnd w:id="4"/>
    <w:p>
      <w:pPr>
        <w:spacing w:line="600" w:lineRule="exact"/>
        <w:ind w:firstLine="640" w:firstLineChars="200"/>
        <w:rPr>
          <w:rFonts w:hint="eastAsia" w:ascii="黑体" w:hAnsi="黑体" w:eastAsia="黑体" w:cs="黑体"/>
          <w:color w:val="000000"/>
          <w:sz w:val="32"/>
          <w:szCs w:val="32"/>
        </w:rPr>
      </w:pPr>
    </w:p>
    <w:p>
      <w:pPr>
        <w:spacing w:line="600" w:lineRule="exact"/>
        <w:ind w:firstLine="640" w:firstLineChars="200"/>
        <w:rPr>
          <w:rFonts w:eastAsia="黑体"/>
          <w:color w:val="000000"/>
          <w:sz w:val="32"/>
          <w:szCs w:val="32"/>
        </w:rPr>
      </w:pPr>
      <w:r>
        <w:rPr>
          <w:rFonts w:eastAsia="黑体"/>
          <w:color w:val="000000"/>
          <w:sz w:val="32"/>
          <w:szCs w:val="32"/>
        </w:rPr>
        <w:t>一、中毒窒息事故处置要点</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（一）抢救人员进入危险区域以前必须佩戴防毒面具、自救器等防护用品，并检查其气密性，避免抢救人员发生中毒窒息事故，造成更大的人员伤亡。迅速把中毒窒息人员转移到具有新鲜风流的地方，静卧保暖；</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二）将中毒者移至通风空气新鲜处，应判断呼吸、心跳状况。中毒者呼吸未停或呼吸虽停但心脏还在跳动，应立即松解衣扣和腰带，清除中毒者口腔、鼻腔内的杂物使呼吸道保持畅通，并立即进行人工呼吸。若心脏跳动停止，应迅速进行胸外心脏挤压按摩，同时进行人工呼吸进行抢救，决不轻易放弃，要就地抢救，并尽快送往医院抢救；</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（三）对中毒较轻、粘膜损伤能够合作者，要动员患者及时用清水或生理盐水冲洗，每一次口服500ml左右之后刺激咽部进行呕吐，如此反复进行；</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（四）在抢救中，急救人员一定要沉着、动作要迅速。在进行抢救的同时应立即通知医院救护人员到现场进行诊治。在送往医院途中，使中毒者平躺，保持呼吸畅通，并继续实施人工急救。</w:t>
      </w:r>
    </w:p>
    <w:p>
      <w:pPr>
        <w:spacing w:line="600" w:lineRule="exact"/>
        <w:ind w:firstLine="640" w:firstLineChars="200"/>
        <w:rPr>
          <w:rFonts w:eastAsia="黑体"/>
          <w:color w:val="000000"/>
          <w:sz w:val="32"/>
          <w:szCs w:val="32"/>
        </w:rPr>
      </w:pPr>
      <w:r>
        <w:rPr>
          <w:rFonts w:eastAsia="黑体"/>
          <w:color w:val="000000"/>
          <w:sz w:val="32"/>
          <w:szCs w:val="32"/>
        </w:rPr>
        <w:t>二、坍塌事故处置要点</w:t>
      </w:r>
    </w:p>
    <w:p>
      <w:pPr>
        <w:spacing w:line="600" w:lineRule="exact"/>
        <w:ind w:firstLine="640" w:firstLineChars="200"/>
        <w:rPr>
          <w:rFonts w:eastAsia="仿宋_GB2312"/>
          <w:color w:val="000000"/>
          <w:sz w:val="32"/>
          <w:szCs w:val="32"/>
        </w:rPr>
      </w:pPr>
      <w:r>
        <w:rPr>
          <w:rFonts w:eastAsia="仿宋_GB2312"/>
          <w:color w:val="000000"/>
          <w:sz w:val="32"/>
          <w:szCs w:val="32"/>
        </w:rPr>
        <w:t>（一）发生坍塌事故后，在事故发生周围划定危险区域，疏散人员，当立即撤离至安全地点，避免不必要伤亡；</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（二）尽快确认被埋人员的数量和具体位置，如有人员失踪要马上清点人数，向知情人员了解失踪人员被埋的位置。尽可能有第一时间组织抢救被埋人员，以免时间延误造成被埋人员窒息；</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（三）一定要确保不会二次坍塌或即使坍塌时也不会影响救援人员安全时，才能开展救援行动，避免二次坍塌造成救援人员伤亡；</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（四）抢救被埋人员。应根据事故具体情况，采取机械和人工相结合的办法，对坍塌现场进行处理，在接近被埋人员时必须停止机械作业，改用人工挖掘，防止误伤被埋人员；</w:t>
      </w:r>
    </w:p>
    <w:p>
      <w:pPr>
        <w:adjustRightInd w:val="0"/>
        <w:snapToGrid w:val="0"/>
        <w:spacing w:line="600" w:lineRule="exact"/>
        <w:ind w:firstLine="640" w:firstLineChars="200"/>
        <w:outlineLvl w:val="1"/>
        <w:rPr>
          <w:rFonts w:eastAsia="仿宋_GB2312"/>
          <w:color w:val="000000"/>
          <w:sz w:val="32"/>
          <w:szCs w:val="32"/>
        </w:rPr>
      </w:pPr>
      <w:r>
        <w:rPr>
          <w:rFonts w:eastAsia="仿宋_GB2312"/>
          <w:color w:val="000000"/>
          <w:sz w:val="32"/>
          <w:szCs w:val="32"/>
        </w:rPr>
        <w:t>（五）被抢救出来的伤员，要由现场医疗救护人员进行抢救对伤势严重的人员要立即送往医院救治。</w:t>
      </w:r>
    </w:p>
    <w:p>
      <w:pPr>
        <w:spacing w:line="600" w:lineRule="exact"/>
        <w:ind w:firstLine="640" w:firstLineChars="200"/>
        <w:rPr>
          <w:rFonts w:eastAsia="黑体"/>
          <w:color w:val="000000"/>
          <w:sz w:val="32"/>
          <w:szCs w:val="32"/>
        </w:rPr>
      </w:pPr>
      <w:r>
        <w:rPr>
          <w:rFonts w:eastAsia="黑体"/>
          <w:color w:val="000000"/>
          <w:sz w:val="32"/>
          <w:szCs w:val="32"/>
        </w:rPr>
        <w:t>三、</w:t>
      </w:r>
      <w:bookmarkStart w:id="5" w:name="_Toc13813679"/>
      <w:bookmarkStart w:id="6" w:name="_Toc13737393"/>
      <w:bookmarkStart w:id="7" w:name="_Toc12885535"/>
      <w:bookmarkStart w:id="8" w:name="_Toc14077559"/>
      <w:bookmarkStart w:id="9" w:name="_Toc13737516"/>
      <w:r>
        <w:rPr>
          <w:rFonts w:eastAsia="黑体"/>
          <w:color w:val="000000"/>
          <w:sz w:val="32"/>
          <w:szCs w:val="32"/>
        </w:rPr>
        <w:t>火灾事故应急</w:t>
      </w:r>
      <w:bookmarkEnd w:id="5"/>
      <w:bookmarkEnd w:id="6"/>
      <w:bookmarkEnd w:id="7"/>
      <w:bookmarkEnd w:id="8"/>
      <w:bookmarkEnd w:id="9"/>
      <w:r>
        <w:rPr>
          <w:rFonts w:eastAsia="黑体"/>
          <w:color w:val="000000"/>
          <w:sz w:val="32"/>
          <w:szCs w:val="32"/>
        </w:rPr>
        <w:t>处置要点</w:t>
      </w:r>
    </w:p>
    <w:p>
      <w:pPr>
        <w:adjustRightInd w:val="0"/>
        <w:snapToGrid w:val="0"/>
        <w:spacing w:line="600" w:lineRule="exact"/>
        <w:ind w:firstLine="640" w:firstLineChars="200"/>
        <w:outlineLvl w:val="1"/>
        <w:rPr>
          <w:rFonts w:eastAsia="仿宋_GB2312"/>
          <w:color w:val="000000"/>
          <w:sz w:val="32"/>
          <w:szCs w:val="32"/>
        </w:rPr>
      </w:pPr>
      <w:bookmarkStart w:id="10" w:name="_Toc13813681"/>
      <w:bookmarkStart w:id="11" w:name="_Toc13737518"/>
      <w:bookmarkStart w:id="12" w:name="_Toc14077561"/>
      <w:bookmarkStart w:id="13" w:name="_Toc13737395"/>
      <w:bookmarkStart w:id="14" w:name="_Toc12885537"/>
      <w:r>
        <w:rPr>
          <w:rFonts w:eastAsia="仿宋_GB2312"/>
          <w:color w:val="000000"/>
          <w:sz w:val="32"/>
          <w:szCs w:val="32"/>
        </w:rPr>
        <w:t>（一）查明火灾事故发生的具体位置、火源性质及其影响范围，划定警戒区域并设置明显警示标志；</w:t>
      </w:r>
      <w:bookmarkEnd w:id="10"/>
      <w:bookmarkEnd w:id="11"/>
      <w:bookmarkEnd w:id="12"/>
      <w:bookmarkEnd w:id="13"/>
      <w:bookmarkEnd w:id="14"/>
    </w:p>
    <w:p>
      <w:pPr>
        <w:adjustRightInd w:val="0"/>
        <w:snapToGrid w:val="0"/>
        <w:spacing w:line="600" w:lineRule="exact"/>
        <w:ind w:firstLine="640" w:firstLineChars="200"/>
        <w:outlineLvl w:val="1"/>
        <w:rPr>
          <w:rFonts w:eastAsia="仿宋_GB2312"/>
          <w:color w:val="000000"/>
          <w:sz w:val="32"/>
          <w:szCs w:val="32"/>
        </w:rPr>
      </w:pPr>
      <w:bookmarkStart w:id="15" w:name="_Toc12885538"/>
      <w:bookmarkStart w:id="16" w:name="_Toc13813682"/>
      <w:bookmarkStart w:id="17" w:name="_Toc13737396"/>
      <w:bookmarkStart w:id="18" w:name="_Toc14077562"/>
      <w:bookmarkStart w:id="19" w:name="_Toc13737519"/>
      <w:r>
        <w:rPr>
          <w:rFonts w:eastAsia="仿宋_GB2312"/>
          <w:color w:val="000000"/>
          <w:sz w:val="32"/>
          <w:szCs w:val="32"/>
        </w:rPr>
        <w:t>（二）查明受火灾事故影响尚未撤出人员的可能位置和数量；</w:t>
      </w:r>
      <w:bookmarkEnd w:id="15"/>
      <w:bookmarkEnd w:id="16"/>
      <w:bookmarkEnd w:id="17"/>
      <w:bookmarkEnd w:id="18"/>
      <w:bookmarkEnd w:id="19"/>
    </w:p>
    <w:p>
      <w:pPr>
        <w:adjustRightInd w:val="0"/>
        <w:snapToGrid w:val="0"/>
        <w:spacing w:line="600" w:lineRule="exact"/>
        <w:ind w:firstLine="640" w:firstLineChars="200"/>
        <w:outlineLvl w:val="1"/>
        <w:rPr>
          <w:rFonts w:eastAsia="仿宋_GB2312"/>
          <w:color w:val="000000"/>
          <w:sz w:val="32"/>
          <w:szCs w:val="32"/>
        </w:rPr>
      </w:pPr>
      <w:bookmarkStart w:id="20" w:name="_Toc13737397"/>
      <w:bookmarkStart w:id="21" w:name="_Toc14077563"/>
      <w:bookmarkStart w:id="22" w:name="_Toc13737520"/>
      <w:bookmarkStart w:id="23" w:name="_Toc12885539"/>
      <w:bookmarkStart w:id="24" w:name="_Toc13813683"/>
      <w:r>
        <w:rPr>
          <w:rFonts w:eastAsia="仿宋_GB2312"/>
          <w:color w:val="000000"/>
          <w:sz w:val="32"/>
          <w:szCs w:val="32"/>
        </w:rPr>
        <w:t>（三）根据火源部位、性质、影响范围，及时切断灾区电源，减少次生灾害的发生；</w:t>
      </w:r>
      <w:bookmarkEnd w:id="20"/>
      <w:bookmarkEnd w:id="21"/>
      <w:bookmarkEnd w:id="22"/>
      <w:bookmarkEnd w:id="23"/>
      <w:bookmarkEnd w:id="24"/>
    </w:p>
    <w:p>
      <w:pPr>
        <w:adjustRightInd w:val="0"/>
        <w:snapToGrid w:val="0"/>
        <w:spacing w:line="600" w:lineRule="exact"/>
        <w:ind w:firstLine="640" w:firstLineChars="200"/>
        <w:outlineLvl w:val="1"/>
        <w:rPr>
          <w:rFonts w:eastAsia="仿宋_GB2312"/>
          <w:color w:val="000000"/>
          <w:sz w:val="32"/>
          <w:szCs w:val="32"/>
        </w:rPr>
      </w:pPr>
      <w:bookmarkStart w:id="25" w:name="_Toc13737398"/>
      <w:bookmarkStart w:id="26" w:name="_Toc13737521"/>
      <w:bookmarkStart w:id="27" w:name="_Toc12885540"/>
      <w:bookmarkStart w:id="28" w:name="_Toc14077564"/>
      <w:bookmarkStart w:id="29" w:name="_Toc13813684"/>
      <w:r>
        <w:rPr>
          <w:rFonts w:eastAsia="仿宋_GB2312"/>
          <w:color w:val="000000"/>
          <w:sz w:val="32"/>
          <w:szCs w:val="32"/>
        </w:rPr>
        <w:t>（四）明确通风线路，根据需要决定是否采取反风措施，防止火区和火灾中产生的各种有毒、有害气体向其它区域蔓延；</w:t>
      </w:r>
      <w:bookmarkEnd w:id="25"/>
      <w:bookmarkEnd w:id="26"/>
      <w:bookmarkEnd w:id="27"/>
      <w:bookmarkEnd w:id="28"/>
      <w:bookmarkEnd w:id="29"/>
    </w:p>
    <w:p>
      <w:pPr>
        <w:adjustRightInd w:val="0"/>
        <w:snapToGrid w:val="0"/>
        <w:spacing w:line="600" w:lineRule="exact"/>
        <w:ind w:firstLine="640" w:firstLineChars="200"/>
        <w:outlineLvl w:val="1"/>
        <w:rPr>
          <w:rFonts w:eastAsia="仿宋_GB2312"/>
          <w:color w:val="000000"/>
          <w:sz w:val="32"/>
          <w:szCs w:val="32"/>
        </w:rPr>
      </w:pPr>
      <w:bookmarkStart w:id="30" w:name="_Toc13813685"/>
      <w:bookmarkStart w:id="31" w:name="_Toc12885541"/>
      <w:bookmarkStart w:id="32" w:name="_Toc13737522"/>
      <w:bookmarkStart w:id="33" w:name="_Toc14077565"/>
      <w:bookmarkStart w:id="34" w:name="_Toc13737399"/>
      <w:r>
        <w:rPr>
          <w:rFonts w:eastAsia="仿宋_GB2312"/>
          <w:color w:val="000000"/>
          <w:sz w:val="32"/>
          <w:szCs w:val="32"/>
        </w:rPr>
        <w:t>（五）确定救援方案；</w:t>
      </w:r>
      <w:bookmarkEnd w:id="30"/>
      <w:bookmarkEnd w:id="31"/>
      <w:bookmarkEnd w:id="32"/>
      <w:bookmarkEnd w:id="33"/>
      <w:bookmarkEnd w:id="34"/>
    </w:p>
    <w:p>
      <w:pPr>
        <w:adjustRightInd w:val="0"/>
        <w:snapToGrid w:val="0"/>
        <w:spacing w:line="600" w:lineRule="exact"/>
        <w:ind w:firstLine="640" w:firstLineChars="200"/>
        <w:outlineLvl w:val="1"/>
        <w:rPr>
          <w:rFonts w:eastAsia="仿宋_GB2312"/>
          <w:color w:val="000000"/>
          <w:sz w:val="32"/>
          <w:szCs w:val="32"/>
        </w:rPr>
      </w:pPr>
      <w:bookmarkStart w:id="35" w:name="_Toc13813686"/>
      <w:bookmarkStart w:id="36" w:name="_Toc13737523"/>
      <w:bookmarkStart w:id="37" w:name="_Toc14077566"/>
      <w:bookmarkStart w:id="38" w:name="_Toc13737400"/>
      <w:bookmarkStart w:id="39" w:name="_Toc12885542"/>
      <w:r>
        <w:rPr>
          <w:rFonts w:eastAsia="仿宋_GB2312"/>
          <w:color w:val="000000"/>
          <w:sz w:val="32"/>
          <w:szCs w:val="32"/>
        </w:rPr>
        <w:t>（六）查明火灾区可燃物性质和数量，搬离火区周边易燃物资，控制火区范围；</w:t>
      </w:r>
      <w:bookmarkEnd w:id="35"/>
      <w:bookmarkEnd w:id="36"/>
      <w:bookmarkEnd w:id="37"/>
      <w:bookmarkEnd w:id="38"/>
      <w:bookmarkEnd w:id="39"/>
    </w:p>
    <w:p>
      <w:pPr>
        <w:adjustRightInd w:val="0"/>
        <w:snapToGrid w:val="0"/>
        <w:spacing w:line="600" w:lineRule="exact"/>
        <w:ind w:firstLine="640" w:firstLineChars="200"/>
        <w:outlineLvl w:val="1"/>
        <w:rPr>
          <w:rFonts w:eastAsia="仿宋_GB2312"/>
          <w:color w:val="000000"/>
          <w:sz w:val="32"/>
          <w:szCs w:val="32"/>
        </w:rPr>
      </w:pPr>
      <w:bookmarkStart w:id="40" w:name="_Toc13813687"/>
      <w:bookmarkStart w:id="41" w:name="_Toc13737401"/>
      <w:bookmarkStart w:id="42" w:name="_Toc12885543"/>
      <w:bookmarkStart w:id="43" w:name="_Toc13737524"/>
      <w:bookmarkStart w:id="44" w:name="_Toc14077567"/>
      <w:r>
        <w:rPr>
          <w:rFonts w:eastAsia="仿宋_GB2312"/>
          <w:color w:val="000000"/>
          <w:sz w:val="32"/>
          <w:szCs w:val="32"/>
        </w:rPr>
        <w:t>（七）调取当地气象预报资料，分析风、水等影响情况并采取相应措施；</w:t>
      </w:r>
      <w:bookmarkEnd w:id="40"/>
      <w:bookmarkEnd w:id="41"/>
      <w:bookmarkEnd w:id="42"/>
      <w:bookmarkEnd w:id="43"/>
      <w:bookmarkEnd w:id="44"/>
    </w:p>
    <w:p>
      <w:pPr>
        <w:adjustRightInd w:val="0"/>
        <w:snapToGrid w:val="0"/>
        <w:spacing w:line="600" w:lineRule="exact"/>
        <w:ind w:firstLine="640" w:firstLineChars="200"/>
        <w:outlineLvl w:val="1"/>
        <w:rPr>
          <w:rFonts w:eastAsia="仿宋_GB2312"/>
          <w:color w:val="000000"/>
          <w:sz w:val="32"/>
          <w:szCs w:val="32"/>
        </w:rPr>
      </w:pPr>
      <w:bookmarkStart w:id="45" w:name="_Toc12885544"/>
      <w:bookmarkStart w:id="46" w:name="_Toc13813688"/>
      <w:bookmarkStart w:id="47" w:name="_Toc13737525"/>
      <w:bookmarkStart w:id="48" w:name="_Toc13737402"/>
      <w:bookmarkStart w:id="49" w:name="_Toc14077568"/>
      <w:r>
        <w:rPr>
          <w:rFonts w:eastAsia="仿宋_GB2312"/>
          <w:color w:val="000000"/>
          <w:sz w:val="32"/>
          <w:szCs w:val="32"/>
        </w:rPr>
        <w:t>（八）依据着火位置和燃烧物质的不同，选用相应的灭火方法；</w:t>
      </w:r>
      <w:bookmarkEnd w:id="45"/>
      <w:bookmarkEnd w:id="46"/>
      <w:bookmarkEnd w:id="47"/>
      <w:bookmarkEnd w:id="48"/>
      <w:bookmarkEnd w:id="49"/>
    </w:p>
    <w:p>
      <w:pPr>
        <w:adjustRightInd w:val="0"/>
        <w:snapToGrid w:val="0"/>
        <w:spacing w:line="600" w:lineRule="exact"/>
        <w:ind w:firstLine="640" w:firstLineChars="200"/>
        <w:outlineLvl w:val="1"/>
        <w:rPr>
          <w:rFonts w:eastAsia="仿宋_GB2312"/>
          <w:color w:val="000000"/>
          <w:sz w:val="32"/>
          <w:szCs w:val="32"/>
        </w:rPr>
      </w:pPr>
      <w:bookmarkStart w:id="50" w:name="_Toc14077569"/>
      <w:bookmarkStart w:id="51" w:name="_Toc13737403"/>
      <w:bookmarkStart w:id="52" w:name="_Toc13737526"/>
      <w:bookmarkStart w:id="53" w:name="_Toc13813689"/>
      <w:bookmarkStart w:id="54" w:name="_Toc12885545"/>
      <w:r>
        <w:rPr>
          <w:rFonts w:eastAsia="仿宋_GB2312"/>
          <w:color w:val="000000"/>
          <w:sz w:val="32"/>
          <w:szCs w:val="32"/>
        </w:rPr>
        <w:t>（九）明确可能需要调动的社会应急救援力量及物资保障。</w:t>
      </w:r>
      <w:bookmarkEnd w:id="50"/>
      <w:bookmarkEnd w:id="51"/>
      <w:bookmarkEnd w:id="52"/>
      <w:bookmarkEnd w:id="53"/>
      <w:bookmarkEnd w:id="54"/>
    </w:p>
    <w:p>
      <w:pPr>
        <w:adjustRightInd w:val="0"/>
        <w:snapToGrid w:val="0"/>
        <w:spacing w:line="600" w:lineRule="exact"/>
        <w:ind w:firstLine="640" w:firstLineChars="200"/>
        <w:outlineLvl w:val="1"/>
        <w:rPr>
          <w:rFonts w:eastAsia="仿宋_GB2312"/>
          <w:color w:val="000000"/>
          <w:sz w:val="32"/>
          <w:szCs w:val="32"/>
        </w:rPr>
      </w:pPr>
      <w:bookmarkStart w:id="55" w:name="_Toc13737405"/>
      <w:bookmarkStart w:id="56" w:name="_Toc13737528"/>
      <w:bookmarkStart w:id="57" w:name="_Toc13813691"/>
      <w:bookmarkStart w:id="58" w:name="_Toc14077571"/>
      <w:bookmarkStart w:id="59" w:name="_Toc12885547"/>
      <w:r>
        <w:rPr>
          <w:rFonts w:eastAsia="仿宋_GB2312"/>
          <w:color w:val="000000"/>
          <w:sz w:val="32"/>
          <w:szCs w:val="32"/>
        </w:rPr>
        <w:t>（十）组织事故影响区内的人员安全地撤离现场、核实伤亡、失踪人数；</w:t>
      </w:r>
      <w:bookmarkEnd w:id="55"/>
      <w:bookmarkEnd w:id="56"/>
      <w:bookmarkEnd w:id="57"/>
      <w:bookmarkEnd w:id="58"/>
      <w:bookmarkEnd w:id="59"/>
    </w:p>
    <w:p>
      <w:pPr>
        <w:adjustRightInd w:val="0"/>
        <w:snapToGrid w:val="0"/>
        <w:spacing w:line="600" w:lineRule="exact"/>
        <w:ind w:firstLine="640" w:firstLineChars="200"/>
        <w:outlineLvl w:val="1"/>
        <w:rPr>
          <w:rFonts w:eastAsia="仿宋_GB2312"/>
          <w:color w:val="000000"/>
          <w:sz w:val="32"/>
          <w:szCs w:val="32"/>
        </w:rPr>
      </w:pPr>
      <w:bookmarkStart w:id="60" w:name="_Toc13737406"/>
      <w:bookmarkStart w:id="61" w:name="_Toc13813692"/>
      <w:bookmarkStart w:id="62" w:name="_Toc12885548"/>
      <w:bookmarkStart w:id="63" w:name="_Toc14077572"/>
      <w:bookmarkStart w:id="64" w:name="_Toc13737529"/>
      <w:r>
        <w:rPr>
          <w:rFonts w:eastAsia="仿宋_GB2312"/>
          <w:color w:val="000000"/>
          <w:sz w:val="32"/>
          <w:szCs w:val="32"/>
        </w:rPr>
        <w:t>（十一）施救人员必须配备、使用防毒设施或正压空气呼吸机，保证施救者自身安全；</w:t>
      </w:r>
      <w:bookmarkEnd w:id="60"/>
      <w:bookmarkEnd w:id="61"/>
      <w:bookmarkEnd w:id="62"/>
      <w:bookmarkEnd w:id="63"/>
      <w:bookmarkEnd w:id="64"/>
    </w:p>
    <w:p>
      <w:pPr>
        <w:adjustRightInd w:val="0"/>
        <w:snapToGrid w:val="0"/>
        <w:spacing w:line="600" w:lineRule="exact"/>
        <w:ind w:firstLine="640" w:firstLineChars="200"/>
        <w:outlineLvl w:val="1"/>
        <w:rPr>
          <w:rFonts w:eastAsia="楷体_GB2312"/>
          <w:color w:val="000000"/>
          <w:sz w:val="32"/>
          <w:szCs w:val="32"/>
        </w:rPr>
      </w:pPr>
      <w:bookmarkStart w:id="65" w:name="_Toc12885549"/>
      <w:bookmarkStart w:id="66" w:name="_Toc13737530"/>
      <w:bookmarkStart w:id="67" w:name="_Toc13813693"/>
      <w:bookmarkStart w:id="68" w:name="_Toc14077573"/>
      <w:bookmarkStart w:id="69" w:name="_Toc13737407"/>
      <w:r>
        <w:rPr>
          <w:rFonts w:eastAsia="仿宋_GB2312"/>
          <w:color w:val="000000"/>
          <w:sz w:val="32"/>
          <w:szCs w:val="32"/>
        </w:rPr>
        <w:t>（十二）专人严密监测有毒、有害气体及风流的变化，防止出现次生、衍生事故。</w:t>
      </w:r>
      <w:bookmarkEnd w:id="65"/>
      <w:bookmarkEnd w:id="66"/>
      <w:bookmarkEnd w:id="67"/>
      <w:bookmarkEnd w:id="68"/>
      <w:bookmarkEnd w:id="6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058C2"/>
    <w:rsid w:val="14E0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2021-01-27T08:10:00Z</dcterms:created>
  <dc:creator>何星眉</dc:creator>
  <cp:lastModifiedBy>何星眉</cp:lastModifiedBy>
  <dcterms:modified xsi:type="dcterms:W3CDTF">2021-01-27T08:10:44Z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