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5378441"/>
      <w:bookmarkStart w:id="3" w:name="_Toc15377193"/>
      <w:bookmarkStart w:id="4" w:name="_Toc15377425"/>
      <w:bookmarkStart w:id="5" w:name="_Toc1539659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w w:val="50"/>
          <w:sz w:val="56"/>
          <w:szCs w:val="56"/>
          <w:highlight w:val="none"/>
        </w:rPr>
      </w:pPr>
      <w:bookmarkStart w:id="6" w:name="_Toc15377426"/>
      <w:bookmarkStart w:id="7" w:name="_Toc15396476"/>
      <w:bookmarkStart w:id="8" w:name="_Toc15377194"/>
      <w:bookmarkStart w:id="9" w:name="_Toc15378442"/>
      <w:bookmarkStart w:id="10" w:name="_Toc15396598"/>
      <w:r>
        <w:rPr>
          <w:rFonts w:hint="eastAsia" w:asciiTheme="majorEastAsia" w:hAnsiTheme="majorEastAsia" w:eastAsiaTheme="majorEastAsia" w:cstheme="majorEastAsia"/>
          <w:b/>
          <w:bCs/>
          <w:color w:val="auto"/>
          <w:w w:val="66"/>
          <w:sz w:val="56"/>
          <w:szCs w:val="56"/>
          <w:highlight w:val="none"/>
        </w:rPr>
        <w:t>四川省</w:t>
      </w:r>
      <w:bookmarkEnd w:id="0"/>
      <w:bookmarkStart w:id="11" w:name="_Toc15306268"/>
      <w:r>
        <w:rPr>
          <w:rFonts w:hint="eastAsia" w:asciiTheme="majorEastAsia" w:hAnsiTheme="majorEastAsia" w:eastAsiaTheme="majorEastAsia" w:cstheme="majorEastAsia"/>
          <w:b/>
          <w:bCs/>
          <w:color w:val="auto"/>
          <w:w w:val="66"/>
          <w:sz w:val="56"/>
          <w:szCs w:val="56"/>
          <w:highlight w:val="none"/>
          <w:lang w:eastAsia="zh-CN"/>
        </w:rPr>
        <w:t>遂宁市安居区三家镇青山明德小学校</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lang w:eastAsia="zh-CN"/>
        </w:rPr>
        <w:t>单位决算公开</w:t>
      </w:r>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bookmarkStart w:id="67" w:name="_GoBack"/>
      <w:bookmarkEnd w:id="67"/>
      <w:r>
        <w:rPr>
          <w:rFonts w:hint="eastAsia"/>
          <w:color w:val="auto"/>
          <w:highlight w:val="none"/>
          <w:lang w:val="en-US" w:eastAsia="zh-CN"/>
        </w:rPr>
        <w:t xml:space="preserve"> </w:t>
      </w:r>
      <w:r>
        <w:rPr>
          <w:rFonts w:hint="eastAsia"/>
          <w:color w:val="auto"/>
          <w:highlight w:val="none"/>
        </w:rPr>
        <w:t>日</w:t>
      </w:r>
    </w:p>
    <w:p>
      <w:pPr>
        <w:rPr>
          <w:color w:val="auto"/>
          <w:highlight w:val="none"/>
        </w:rPr>
      </w:pPr>
    </w:p>
    <w:p>
      <w:pPr>
        <w:pStyle w:val="10"/>
        <w:adjustRightInd w:val="0"/>
        <w:snapToGrid w:val="0"/>
        <w:spacing w:before="0" w:line="440" w:lineRule="exact"/>
        <w:jc w:val="distribute"/>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eastAsia="zh-CN"/>
        </w:rPr>
        <w:t>…………………………………………………………………</w:t>
      </w:r>
      <w:r>
        <w:rPr>
          <w:rFonts w:hint="eastAsia"/>
          <w:color w:val="auto"/>
          <w:sz w:val="24"/>
          <w:highlight w:val="none"/>
          <w:lang w:val="en-US" w:eastAsia="zh-CN"/>
        </w:rPr>
        <w:t>1</w:t>
      </w:r>
    </w:p>
    <w:p>
      <w:pPr>
        <w:pStyle w:val="11"/>
        <w:adjustRightInd w:val="0"/>
        <w:snapToGrid w:val="0"/>
        <w:spacing w:line="440" w:lineRule="exact"/>
        <w:jc w:val="distribute"/>
        <w:rPr>
          <w:rFonts w:hint="eastAsia" w:eastAsia="宋体"/>
          <w:color w:val="auto"/>
          <w:sz w:val="24"/>
          <w:highlight w:val="none"/>
          <w:lang w:eastAsia="zh-CN"/>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1</w:t>
      </w:r>
    </w:p>
    <w:p>
      <w:pPr>
        <w:pStyle w:val="11"/>
        <w:adjustRightInd w:val="0"/>
        <w:snapToGrid w:val="0"/>
        <w:spacing w:line="440" w:lineRule="exact"/>
        <w:jc w:val="distribute"/>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rPr>
          <w:rFonts w:hint="eastAsia"/>
          <w:color w:val="auto"/>
          <w:sz w:val="24"/>
          <w:highlight w:val="none"/>
          <w:lang w:val="en-US" w:eastAsia="zh-CN"/>
        </w:rPr>
        <w:t>1</w:t>
      </w:r>
    </w:p>
    <w:p>
      <w:pPr>
        <w:pStyle w:val="10"/>
        <w:adjustRightInd w:val="0"/>
        <w:snapToGrid w:val="0"/>
        <w:spacing w:before="0" w:line="440" w:lineRule="exact"/>
        <w:ind w:left="480" w:hanging="480" w:hangingChars="200"/>
        <w:jc w:val="distribute"/>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eastAsia="zh-CN"/>
        </w:rPr>
        <w:t>……………………………………………</w:t>
      </w:r>
      <w:r>
        <w:rPr>
          <w:rFonts w:hint="eastAsia"/>
          <w:color w:val="auto"/>
          <w:sz w:val="24"/>
          <w:highlight w:val="none"/>
          <w:lang w:val="en-US" w:eastAsia="zh-CN"/>
        </w:rPr>
        <w:t>2</w:t>
      </w:r>
    </w:p>
    <w:p>
      <w:pPr>
        <w:pStyle w:val="10"/>
        <w:adjustRightInd w:val="0"/>
        <w:snapToGrid w:val="0"/>
        <w:spacing w:before="0" w:line="440" w:lineRule="exact"/>
        <w:jc w:val="distribute"/>
        <w:rPr>
          <w:rFonts w:ascii="仿宋" w:hAnsi="仿宋" w:eastAsia="仿宋" w:cstheme="minorBidi"/>
          <w:color w:val="auto"/>
          <w:sz w:val="24"/>
          <w:highlight w:val="none"/>
        </w:rPr>
      </w:pPr>
      <w:r>
        <w:rPr>
          <w:rFonts w:hint="eastAsia"/>
          <w:color w:val="auto"/>
          <w:sz w:val="24"/>
          <w:highlight w:val="none"/>
        </w:rPr>
        <w:t>一、收入支出决算总体情况说明</w:t>
      </w:r>
      <w:r>
        <w:rPr>
          <w:rFonts w:hint="eastAsia"/>
          <w:color w:val="auto"/>
          <w:sz w:val="24"/>
          <w:highlight w:val="none"/>
          <w:lang w:eastAsia="zh-CN"/>
        </w:rPr>
        <w:t>……………………………………………………</w:t>
      </w:r>
      <w:r>
        <w:rPr>
          <w:rFonts w:hint="eastAsia"/>
          <w:color w:val="auto"/>
          <w:sz w:val="24"/>
          <w:highlight w:val="none"/>
          <w:lang w:val="en-US" w:eastAsia="zh-CN"/>
        </w:rPr>
        <w:t>2</w:t>
      </w:r>
    </w:p>
    <w:p>
      <w:pPr>
        <w:pStyle w:val="11"/>
        <w:adjustRightInd w:val="0"/>
        <w:snapToGrid w:val="0"/>
        <w:spacing w:line="440" w:lineRule="exact"/>
        <w:jc w:val="distribute"/>
        <w:rPr>
          <w:rFonts w:ascii="仿宋" w:hAnsi="仿宋" w:eastAsia="仿宋" w:cstheme="minorBidi"/>
          <w:color w:val="auto"/>
          <w:sz w:val="24"/>
          <w:highlight w:val="none"/>
        </w:rPr>
      </w:pPr>
      <w:r>
        <w:rPr>
          <w:rFonts w:hint="eastAsia"/>
          <w:color w:val="auto"/>
          <w:sz w:val="24"/>
          <w:highlight w:val="none"/>
        </w:rPr>
        <w:t>二、收入决算情况说明</w:t>
      </w:r>
      <w:r>
        <w:rPr>
          <w:rFonts w:hint="eastAsia"/>
          <w:color w:val="auto"/>
          <w:sz w:val="24"/>
          <w:highlight w:val="none"/>
          <w:lang w:eastAsia="zh-CN"/>
        </w:rPr>
        <w:t>…………………………………………………………</w:t>
      </w:r>
      <w:r>
        <w:rPr>
          <w:rFonts w:hint="eastAsia"/>
          <w:color w:val="auto"/>
          <w:sz w:val="24"/>
          <w:highlight w:val="none"/>
          <w:lang w:val="en-US" w:eastAsia="zh-CN"/>
        </w:rPr>
        <w:t>3</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r>
        <w:rPr>
          <w:rFonts w:hint="eastAsia"/>
          <w:color w:val="auto"/>
          <w:sz w:val="24"/>
          <w:highlight w:val="none"/>
          <w:lang w:eastAsia="zh-CN"/>
        </w:rPr>
        <w:t>…………………………………………………………</w:t>
      </w:r>
      <w:r>
        <w:rPr>
          <w:rFonts w:hint="eastAsia"/>
          <w:color w:val="auto"/>
          <w:sz w:val="24"/>
          <w:highlight w:val="none"/>
          <w:lang w:val="en-US" w:eastAsia="zh-CN"/>
        </w:rPr>
        <w:t>4</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r>
        <w:rPr>
          <w:rFonts w:hint="eastAsia"/>
          <w:color w:val="auto"/>
          <w:sz w:val="24"/>
          <w:highlight w:val="none"/>
          <w:lang w:eastAsia="zh-CN"/>
        </w:rPr>
        <w:t>……………………………………</w:t>
      </w:r>
      <w:r>
        <w:rPr>
          <w:rFonts w:hint="eastAsia"/>
          <w:color w:val="auto"/>
          <w:sz w:val="24"/>
          <w:highlight w:val="none"/>
          <w:lang w:val="en-US" w:eastAsia="zh-CN"/>
        </w:rPr>
        <w:t>5</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r>
        <w:rPr>
          <w:rFonts w:hint="eastAsia"/>
          <w:color w:val="auto"/>
          <w:sz w:val="24"/>
          <w:highlight w:val="none"/>
          <w:lang w:eastAsia="zh-CN"/>
        </w:rPr>
        <w:t>………………………………</w:t>
      </w:r>
      <w:r>
        <w:rPr>
          <w:rFonts w:hint="eastAsia"/>
          <w:color w:val="auto"/>
          <w:sz w:val="24"/>
          <w:highlight w:val="none"/>
          <w:lang w:val="en-US" w:eastAsia="zh-CN"/>
        </w:rPr>
        <w:t>6</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r>
        <w:rPr>
          <w:rFonts w:hint="eastAsia"/>
          <w:color w:val="auto"/>
          <w:sz w:val="24"/>
          <w:highlight w:val="none"/>
          <w:lang w:eastAsia="zh-CN"/>
        </w:rPr>
        <w:t>…………………………</w:t>
      </w:r>
      <w:r>
        <w:rPr>
          <w:rFonts w:hint="eastAsia"/>
          <w:color w:val="auto"/>
          <w:sz w:val="24"/>
          <w:highlight w:val="none"/>
          <w:lang w:val="en-US" w:eastAsia="zh-CN"/>
        </w:rPr>
        <w:t>8</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eastAsia="zh-CN"/>
        </w:rPr>
        <w:t>………………………………</w:t>
      </w:r>
      <w:r>
        <w:rPr>
          <w:rFonts w:hint="eastAsia"/>
          <w:color w:val="auto"/>
          <w:sz w:val="24"/>
          <w:highlight w:val="none"/>
          <w:lang w:val="en-US" w:eastAsia="zh-CN"/>
        </w:rPr>
        <w:t>8</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八、政府性基金预算支出决算情况说明</w:t>
      </w:r>
      <w:r>
        <w:rPr>
          <w:rFonts w:hint="eastAsia"/>
          <w:color w:val="auto"/>
          <w:sz w:val="24"/>
          <w:highlight w:val="none"/>
          <w:lang w:eastAsia="zh-CN"/>
        </w:rPr>
        <w:t>………………………………………</w:t>
      </w:r>
      <w:r>
        <w:rPr>
          <w:rFonts w:hint="eastAsia"/>
          <w:color w:val="auto"/>
          <w:sz w:val="24"/>
          <w:highlight w:val="none"/>
          <w:lang w:val="en-US" w:eastAsia="zh-CN"/>
        </w:rPr>
        <w:t>9</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九、国有资本经营预算支出决算情况说明</w:t>
      </w:r>
      <w:r>
        <w:rPr>
          <w:rFonts w:hint="eastAsia"/>
          <w:color w:val="auto"/>
          <w:sz w:val="24"/>
          <w:highlight w:val="none"/>
          <w:lang w:eastAsia="zh-CN"/>
        </w:rPr>
        <w:t>……………………………………</w:t>
      </w:r>
      <w:r>
        <w:rPr>
          <w:rFonts w:hint="eastAsia"/>
          <w:color w:val="auto"/>
          <w:sz w:val="24"/>
          <w:highlight w:val="none"/>
          <w:lang w:val="en-US" w:eastAsia="zh-CN"/>
        </w:rPr>
        <w:t>9</w:t>
      </w:r>
    </w:p>
    <w:p>
      <w:pPr>
        <w:pStyle w:val="11"/>
        <w:adjustRightInd w:val="0"/>
        <w:snapToGrid w:val="0"/>
        <w:spacing w:line="440" w:lineRule="exact"/>
        <w:jc w:val="left"/>
        <w:rPr>
          <w:rFonts w:hint="eastAsia"/>
          <w:color w:val="auto"/>
          <w:sz w:val="24"/>
          <w:highlight w:val="none"/>
          <w:lang w:eastAsia="zh-CN"/>
        </w:rPr>
      </w:pPr>
      <w:r>
        <w:rPr>
          <w:rFonts w:hint="eastAsia"/>
          <w:color w:val="auto"/>
          <w:sz w:val="24"/>
          <w:highlight w:val="none"/>
        </w:rPr>
        <w:t>十、其他重要事项的情况说明</w:t>
      </w:r>
      <w:r>
        <w:rPr>
          <w:rFonts w:hint="eastAsia"/>
          <w:color w:val="auto"/>
          <w:sz w:val="24"/>
          <w:highlight w:val="none"/>
          <w:lang w:eastAsia="zh-CN"/>
        </w:rPr>
        <w:t>…………………………………………………</w:t>
      </w:r>
      <w:r>
        <w:rPr>
          <w:rFonts w:hint="eastAsia"/>
          <w:color w:val="auto"/>
          <w:sz w:val="24"/>
          <w:highlight w:val="none"/>
          <w:lang w:val="en-US" w:eastAsia="zh-CN"/>
        </w:rPr>
        <w:t>9</w:t>
      </w: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eastAsia="zh-CN"/>
        </w:rPr>
        <w:t>…………………………………………………………………</w:t>
      </w:r>
      <w:r>
        <w:rPr>
          <w:rFonts w:hint="eastAsia"/>
          <w:color w:val="auto"/>
          <w:sz w:val="24"/>
          <w:highlight w:val="none"/>
          <w:lang w:val="en-US" w:eastAsia="zh-CN"/>
        </w:rPr>
        <w:t>11</w:t>
      </w: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eastAsia="zh-CN"/>
        </w:rPr>
        <w:t>………………………………………………………………………</w:t>
      </w:r>
      <w:r>
        <w:rPr>
          <w:rFonts w:hint="eastAsia"/>
          <w:color w:val="auto"/>
          <w:sz w:val="24"/>
          <w:highlight w:val="none"/>
          <w:lang w:val="en-US" w:eastAsia="zh-CN"/>
        </w:rPr>
        <w:t>13</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eastAsia="zh-CN"/>
        </w:rPr>
        <w:t>………………………………………………………………………</w:t>
      </w:r>
      <w:r>
        <w:rPr>
          <w:rFonts w:hint="eastAsia"/>
          <w:color w:val="auto"/>
          <w:sz w:val="24"/>
          <w:highlight w:val="none"/>
          <w:lang w:val="en-US" w:eastAsia="zh-CN"/>
        </w:rPr>
        <w:t>18</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1"/>
        <w:adjustRightInd w:val="0"/>
        <w:snapToGrid w:val="0"/>
        <w:spacing w:line="440" w:lineRule="exact"/>
        <w:jc w:val="left"/>
        <w:rPr>
          <w:rFonts w:hint="eastAsia"/>
          <w:color w:val="auto"/>
          <w:sz w:val="24"/>
          <w:highlight w:val="none"/>
        </w:r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pPr>
        <w:pStyle w:val="3"/>
        <w:jc w:val="center"/>
        <w:rPr>
          <w:rFonts w:hint="eastAsia" w:ascii="黑体" w:hAnsi="黑体" w:eastAsia="黑体"/>
          <w:b w:val="0"/>
          <w:color w:val="auto"/>
          <w:highlight w:val="none"/>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bookmarkStart w:id="12" w:name="_Toc15396599"/>
      <w:bookmarkStart w:id="13" w:name="_Toc15377196"/>
    </w:p>
    <w:p>
      <w:pPr>
        <w:pStyle w:val="3"/>
        <w:jc w:val="center"/>
        <w:rPr>
          <w:rStyle w:val="24"/>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snapToGrid w:val="0"/>
        <w:spacing w:line="520" w:lineRule="exact"/>
        <w:rPr>
          <w:rStyle w:val="25"/>
          <w:rFonts w:hint="eastAsia" w:ascii="黑体" w:hAnsi="黑体" w:eastAsia="黑体"/>
          <w:b/>
          <w:bCs/>
          <w:color w:val="auto"/>
          <w:highlight w:val="none"/>
          <w:lang w:eastAsia="zh-CN"/>
        </w:rPr>
      </w:pPr>
      <w:bookmarkStart w:id="14" w:name="_Toc15377197"/>
      <w:bookmarkStart w:id="15" w:name="_Toc15396600"/>
      <w:r>
        <w:rPr>
          <w:rStyle w:val="25"/>
          <w:rFonts w:hint="eastAsia" w:ascii="黑体" w:hAnsi="黑体" w:eastAsia="黑体"/>
          <w:b w:val="0"/>
          <w:bCs w:val="0"/>
          <w:color w:val="auto"/>
          <w:highlight w:val="none"/>
          <w:lang w:eastAsia="zh-CN"/>
        </w:rPr>
        <w:t>一、主要职责：</w:t>
      </w:r>
      <w:r>
        <w:rPr>
          <w:rFonts w:hint="eastAsia" w:ascii="仿宋" w:hAnsi="仿宋" w:eastAsia="仿宋"/>
          <w:b/>
          <w:bCs/>
          <w:color w:val="auto"/>
          <w:sz w:val="32"/>
          <w:szCs w:val="32"/>
          <w:highlight w:val="none"/>
          <w:lang w:eastAsia="zh-CN"/>
        </w:rPr>
        <w:t>实施小学义务教育，促进基础教育发展，负责小学学历教育和相关社会服务。</w:t>
      </w:r>
    </w:p>
    <w:p>
      <w:pPr>
        <w:pStyle w:val="4"/>
        <w:numPr>
          <w:ilvl w:val="0"/>
          <w:numId w:val="0"/>
        </w:numPr>
        <w:rPr>
          <w:rFonts w:hint="eastAsia" w:ascii="仿宋" w:hAnsi="仿宋" w:eastAsia="仿宋" w:cs="仿宋"/>
          <w:b/>
          <w:bCs w:val="0"/>
          <w:color w:val="auto"/>
          <w:sz w:val="32"/>
          <w:szCs w:val="32"/>
          <w:highlight w:val="none"/>
          <w:lang w:val="en-US" w:eastAsia="zh-CN"/>
        </w:rPr>
      </w:pPr>
      <w:r>
        <w:rPr>
          <w:rFonts w:hint="eastAsia" w:ascii="黑体" w:hAnsi="黑体" w:eastAsia="黑体"/>
          <w:b w:val="0"/>
          <w:color w:val="auto"/>
          <w:highlight w:val="none"/>
          <w:lang w:val="en-US" w:eastAsia="zh-CN"/>
        </w:rPr>
        <w:t>二、机构设置：</w:t>
      </w:r>
      <w:r>
        <w:rPr>
          <w:rFonts w:hint="eastAsia" w:ascii="仿宋" w:hAnsi="仿宋" w:eastAsia="仿宋" w:cs="仿宋"/>
          <w:b/>
          <w:bCs w:val="0"/>
          <w:color w:val="auto"/>
          <w:sz w:val="32"/>
          <w:szCs w:val="32"/>
          <w:highlight w:val="none"/>
          <w:lang w:val="en-US" w:eastAsia="zh-CN"/>
        </w:rPr>
        <w:t>我校全称是遂宁市安居区三家镇青山明德小学校，是一所乡村完全小学。主管单位是遂宁市安居区教育和体育局。学校内部设行政、教导、德育、安全、少队、后勤、财务等职能机构共同促进学校教育教学工作健康发展。</w:t>
      </w:r>
    </w:p>
    <w:bookmarkEnd w:id="14"/>
    <w:bookmarkEnd w:id="15"/>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16"/>
      <w:bookmarkEnd w:id="17"/>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316.56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46.94</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12.91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学校生源减少，规模缩小，学校建设工程减少。</w:t>
      </w: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eastAsia="zh-CN"/>
        </w:rPr>
        <w:t>支出合计</w:t>
      </w:r>
      <w:r>
        <w:rPr>
          <w:rFonts w:hint="eastAsia" w:ascii="仿宋" w:hAnsi="仿宋" w:eastAsia="仿宋"/>
          <w:color w:val="auto"/>
          <w:sz w:val="32"/>
          <w:szCs w:val="32"/>
          <w:highlight w:val="none"/>
          <w:lang w:val="en-US" w:eastAsia="zh-CN"/>
        </w:rPr>
        <w:t>316.56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46.94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12.91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学校生源减少，规模缩小，学校建设工程减少。</w:t>
      </w:r>
    </w:p>
    <w:p>
      <w:pPr>
        <w:pStyle w:val="2"/>
        <w:rPr>
          <w:rFonts w:hint="eastAsia" w:ascii="仿宋" w:hAnsi="仿宋" w:eastAsia="仿宋"/>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drawing>
          <wp:anchor distT="0" distB="0" distL="114300" distR="114300" simplePos="0" relativeHeight="251659264" behindDoc="0" locked="0" layoutInCell="1" allowOverlap="1">
            <wp:simplePos x="0" y="0"/>
            <wp:positionH relativeFrom="column">
              <wp:posOffset>71120</wp:posOffset>
            </wp:positionH>
            <wp:positionV relativeFrom="paragraph">
              <wp:posOffset>238760</wp:posOffset>
            </wp:positionV>
            <wp:extent cx="5032375" cy="4495800"/>
            <wp:effectExtent l="4445" t="4445" r="11430"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
        <w:rPr>
          <w:rFonts w:hint="eastAsia" w:ascii="仿宋" w:hAnsi="仿宋" w:eastAsia="仿宋"/>
          <w:color w:val="auto"/>
          <w:sz w:val="32"/>
          <w:szCs w:val="32"/>
          <w:highlight w:val="none"/>
          <w:lang w:eastAsia="zh-CN"/>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4004310</wp:posOffset>
                </wp:positionH>
                <wp:positionV relativeFrom="paragraph">
                  <wp:posOffset>42545</wp:posOffset>
                </wp:positionV>
                <wp:extent cx="952500" cy="362585"/>
                <wp:effectExtent l="4445" t="4445" r="14605" b="13970"/>
                <wp:wrapNone/>
                <wp:docPr id="5" name="文本框 5"/>
                <wp:cNvGraphicFramePr/>
                <a:graphic xmlns:a="http://schemas.openxmlformats.org/drawingml/2006/main">
                  <a:graphicData uri="http://schemas.microsoft.com/office/word/2010/wordprocessingShape">
                    <wps:wsp>
                      <wps:cNvSpPr txBox="1"/>
                      <wps:spPr>
                        <a:xfrm>
                          <a:off x="5137785" y="5050155"/>
                          <a:ext cx="952500" cy="36258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lang w:eastAsia="zh-CN"/>
                              </w:rPr>
                            </w:pPr>
                            <w:r>
                              <w:rPr>
                                <w:rFonts w:hint="eastAsia"/>
                                <w:b/>
                                <w:bCs/>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3pt;margin-top:3.35pt;height:28.55pt;width:75pt;z-index:251661312;mso-width-relative:page;mso-height-relative:page;" fillcolor="#FFFFFF [3201]" filled="t" stroked="t" coordsize="21600,21600" o:gfxdata="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9dtVNQA&#10;AAAIAQAADwAAAAAAAAABACAAAAAiAAAAZHJzL2Rvd25yZXYueG1sUEsBAhQAFAAAAAgAh07iQFqw&#10;+t5cAgAAwwQAAA4AAAAAAAAAAQAgAAAAIwEAAGRycy9lMm9Eb2MueG1sUEsFBgAAAAAGAAYAWQEA&#10;APEFAAAAAA==&#10;">
                <v:fill on="t" focussize="0,0"/>
                <v:stroke weight="0.5pt" color="#FFFFFF [3212]" joinstyle="round"/>
                <v:imagedata o:title=""/>
                <o:lock v:ext="edit" aspectratio="f"/>
                <v:textbox>
                  <w:txbxContent>
                    <w:p>
                      <w:pPr>
                        <w:rPr>
                          <w:rFonts w:hint="eastAsia" w:eastAsia="宋体"/>
                          <w:b/>
                          <w:bCs/>
                          <w:lang w:eastAsia="zh-CN"/>
                        </w:rPr>
                      </w:pPr>
                      <w:r>
                        <w:rPr>
                          <w:rFonts w:hint="eastAsia"/>
                          <w:b/>
                          <w:bCs/>
                          <w:lang w:eastAsia="zh-CN"/>
                        </w:rPr>
                        <w:t>单位：万元</w:t>
                      </w:r>
                    </w:p>
                  </w:txbxContent>
                </v:textbox>
              </v:shape>
            </w:pict>
          </mc:Fallback>
        </mc:AlternateContent>
      </w: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3"/>
        <w:numPr>
          <w:ilvl w:val="0"/>
          <w:numId w:val="0"/>
        </w:numPr>
        <w:spacing w:line="600" w:lineRule="exact"/>
        <w:ind w:left="640" w:leftChars="0"/>
        <w:outlineLvl w:val="1"/>
        <w:rPr>
          <w:rFonts w:hint="eastAsia" w:ascii="黑体" w:hAnsi="黑体" w:eastAsia="黑体"/>
          <w:color w:val="auto"/>
          <w:sz w:val="32"/>
          <w:szCs w:val="32"/>
          <w:highlight w:val="none"/>
          <w:lang w:eastAsia="zh-CN"/>
        </w:rPr>
      </w:pPr>
      <w:bookmarkStart w:id="20" w:name="_Toc15377206"/>
      <w:bookmarkStart w:id="21" w:name="_Toc15396604"/>
    </w:p>
    <w:p>
      <w:pPr>
        <w:pStyle w:val="23"/>
        <w:numPr>
          <w:ilvl w:val="0"/>
          <w:numId w:val="0"/>
        </w:numPr>
        <w:spacing w:line="600" w:lineRule="exact"/>
        <w:ind w:left="640" w:leftChars="0"/>
        <w:outlineLvl w:val="1"/>
        <w:rPr>
          <w:rStyle w:val="25"/>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316.56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316.56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outlineLvl w:val="1"/>
        <w:rPr>
          <w:rFonts w:hint="eastAsia" w:ascii="仿宋" w:hAnsi="仿宋" w:eastAsia="仿宋"/>
          <w:b/>
          <w:color w:val="auto"/>
          <w:sz w:val="32"/>
          <w:szCs w:val="32"/>
          <w:highlight w:val="none"/>
        </w:rPr>
      </w:pPr>
      <w:r>
        <w:rPr>
          <w:color w:val="auto"/>
          <w:sz w:val="32"/>
        </w:rPr>
        <mc:AlternateContent>
          <mc:Choice Requires="wps">
            <w:drawing>
              <wp:anchor distT="0" distB="0" distL="114300" distR="114300" simplePos="0" relativeHeight="251662336" behindDoc="0" locked="0" layoutInCell="1" allowOverlap="1">
                <wp:simplePos x="0" y="0"/>
                <wp:positionH relativeFrom="column">
                  <wp:posOffset>3880485</wp:posOffset>
                </wp:positionH>
                <wp:positionV relativeFrom="paragraph">
                  <wp:posOffset>354330</wp:posOffset>
                </wp:positionV>
                <wp:extent cx="952500" cy="362585"/>
                <wp:effectExtent l="4445" t="4445" r="14605" b="13970"/>
                <wp:wrapNone/>
                <wp:docPr id="6" name="文本框 6"/>
                <wp:cNvGraphicFramePr/>
                <a:graphic xmlns:a="http://schemas.openxmlformats.org/drawingml/2006/main">
                  <a:graphicData uri="http://schemas.microsoft.com/office/word/2010/wordprocessingShape">
                    <wps:wsp>
                      <wps:cNvSpPr txBox="1"/>
                      <wps:spPr>
                        <a:xfrm>
                          <a:off x="0" y="0"/>
                          <a:ext cx="952500" cy="36258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lang w:eastAsia="zh-CN"/>
                              </w:rPr>
                            </w:pPr>
                            <w:r>
                              <w:rPr>
                                <w:rFonts w:hint="eastAsia"/>
                                <w:b/>
                                <w:bCs/>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55pt;margin-top:27.9pt;height:28.55pt;width:75pt;z-index:251662336;mso-width-relative:page;mso-height-relative:page;" fillcolor="#FFFFFF [3201]" filled="t" stroked="t" coordsize="21600,21600" o:gfxdata="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PXV/9cAAAAKAQAADwAA&#10;AAAAAAABACAAAAAiAAAAZHJzL2Rvd25yZXYueG1sUEsBAhQAFAAAAAgAh07iQGyyqFxQAgAAtwQA&#10;AA4AAAAAAAAAAQAgAAAAJgEAAGRycy9lMm9Eb2MueG1sUEsFBgAAAAAGAAYAWQEAAOgFAAAAAA==&#10;">
                <v:fill on="t" focussize="0,0"/>
                <v:stroke weight="0.5pt" color="#FFFFFF [3212]" joinstyle="round"/>
                <v:imagedata o:title=""/>
                <o:lock v:ext="edit" aspectratio="f"/>
                <v:textbox>
                  <w:txbxContent>
                    <w:p>
                      <w:pPr>
                        <w:rPr>
                          <w:rFonts w:hint="eastAsia" w:eastAsia="宋体"/>
                          <w:b/>
                          <w:bCs/>
                          <w:lang w:eastAsia="zh-CN"/>
                        </w:rPr>
                      </w:pPr>
                      <w:r>
                        <w:rPr>
                          <w:rFonts w:hint="eastAsia"/>
                          <w:b/>
                          <w:bCs/>
                          <w:lang w:eastAsia="zh-CN"/>
                        </w:rPr>
                        <w:t>单位：万元</w:t>
                      </w:r>
                    </w:p>
                  </w:txbxContent>
                </v:textbox>
              </v:shape>
            </w:pict>
          </mc:Fallback>
        </mc:AlternateContent>
      </w:r>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201295</wp:posOffset>
            </wp:positionH>
            <wp:positionV relativeFrom="paragraph">
              <wp:posOffset>99695</wp:posOffset>
            </wp:positionV>
            <wp:extent cx="5080000" cy="3810000"/>
            <wp:effectExtent l="4445" t="4445" r="20955" b="1460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3" w:firstLineChars="200"/>
        <w:outlineLvl w:val="1"/>
        <w:rPr>
          <w:rFonts w:hint="eastAsia" w:ascii="仿宋" w:hAnsi="仿宋" w:eastAsia="仿宋"/>
          <w:b/>
          <w:color w:val="auto"/>
          <w:sz w:val="32"/>
          <w:szCs w:val="32"/>
          <w:highlight w:val="none"/>
        </w:rPr>
      </w:pPr>
    </w:p>
    <w:p>
      <w:pPr>
        <w:spacing w:line="600" w:lineRule="exact"/>
        <w:ind w:firstLine="643" w:firstLineChars="200"/>
        <w:outlineLvl w:val="1"/>
        <w:rPr>
          <w:rFonts w:hint="eastAsia" w:ascii="仿宋" w:hAnsi="仿宋" w:eastAsia="仿宋"/>
          <w:b/>
          <w:color w:val="auto"/>
          <w:sz w:val="32"/>
          <w:szCs w:val="32"/>
          <w:highlight w:val="none"/>
        </w:rPr>
      </w:pPr>
    </w:p>
    <w:p>
      <w:pPr>
        <w:spacing w:line="600" w:lineRule="exact"/>
        <w:ind w:firstLine="643" w:firstLineChars="200"/>
        <w:outlineLvl w:val="1"/>
        <w:rPr>
          <w:rFonts w:hint="eastAsia" w:ascii="仿宋" w:hAnsi="仿宋" w:eastAsia="仿宋"/>
          <w:b/>
          <w:color w:val="auto"/>
          <w:sz w:val="32"/>
          <w:szCs w:val="32"/>
          <w:highlight w:val="none"/>
        </w:rPr>
      </w:pPr>
    </w:p>
    <w:p>
      <w:pPr>
        <w:spacing w:line="600" w:lineRule="exact"/>
        <w:ind w:firstLine="643" w:firstLineChars="200"/>
        <w:outlineLvl w:val="1"/>
        <w:rPr>
          <w:rFonts w:hint="eastAsia" w:ascii="仿宋" w:hAnsi="仿宋" w:eastAsia="仿宋"/>
          <w:b/>
          <w:color w:val="auto"/>
          <w:sz w:val="32"/>
          <w:szCs w:val="32"/>
          <w:highlight w:val="none"/>
        </w:rPr>
      </w:pPr>
    </w:p>
    <w:p>
      <w:pPr>
        <w:spacing w:line="600" w:lineRule="exact"/>
        <w:ind w:firstLine="643" w:firstLineChars="200"/>
        <w:outlineLvl w:val="1"/>
        <w:rPr>
          <w:rFonts w:hint="eastAsia" w:ascii="仿宋" w:hAnsi="仿宋" w:eastAsia="仿宋"/>
          <w:b/>
          <w:color w:val="auto"/>
          <w:sz w:val="32"/>
          <w:szCs w:val="32"/>
          <w:highlight w:val="none"/>
        </w:rPr>
      </w:pPr>
    </w:p>
    <w:p>
      <w:pPr>
        <w:spacing w:line="600" w:lineRule="exact"/>
        <w:ind w:firstLine="643" w:firstLineChars="200"/>
        <w:outlineLvl w:val="1"/>
        <w:rPr>
          <w:rFonts w:hint="eastAsia" w:ascii="仿宋" w:hAnsi="仿宋" w:eastAsia="仿宋"/>
          <w:b/>
          <w:color w:val="auto"/>
          <w:sz w:val="32"/>
          <w:szCs w:val="32"/>
          <w:highlight w:val="none"/>
        </w:rPr>
      </w:pPr>
    </w:p>
    <w:p>
      <w:pPr>
        <w:spacing w:line="600" w:lineRule="exact"/>
        <w:ind w:firstLine="643" w:firstLineChars="200"/>
        <w:outlineLvl w:val="1"/>
        <w:rPr>
          <w:rFonts w:hint="eastAsia" w:ascii="仿宋" w:hAnsi="仿宋" w:eastAsia="仿宋"/>
          <w:b/>
          <w:color w:val="auto"/>
          <w:sz w:val="32"/>
          <w:szCs w:val="32"/>
          <w:highlight w:val="none"/>
        </w:rPr>
      </w:pPr>
    </w:p>
    <w:p>
      <w:pPr>
        <w:spacing w:line="600" w:lineRule="exact"/>
        <w:ind w:firstLine="643" w:firstLineChars="200"/>
        <w:outlineLvl w:val="1"/>
        <w:rPr>
          <w:rFonts w:hint="eastAsia" w:ascii="仿宋" w:hAnsi="仿宋" w:eastAsia="仿宋"/>
          <w:b/>
          <w:color w:val="auto"/>
          <w:sz w:val="32"/>
          <w:szCs w:val="32"/>
          <w:highlight w:val="none"/>
        </w:rPr>
      </w:pPr>
    </w:p>
    <w:p>
      <w:pPr>
        <w:spacing w:line="600" w:lineRule="exact"/>
        <w:ind w:firstLine="643" w:firstLineChars="200"/>
        <w:outlineLvl w:val="1"/>
        <w:rPr>
          <w:rFonts w:hint="eastAsia" w:ascii="仿宋" w:hAnsi="仿宋" w:eastAsia="仿宋"/>
          <w:b/>
          <w:color w:val="auto"/>
          <w:sz w:val="32"/>
          <w:szCs w:val="32"/>
          <w:highlight w:val="none"/>
        </w:rPr>
      </w:pPr>
    </w:p>
    <w:p>
      <w:pPr>
        <w:spacing w:line="600" w:lineRule="exact"/>
        <w:outlineLvl w:val="1"/>
        <w:rPr>
          <w:rFonts w:ascii="仿宋" w:hAnsi="仿宋" w:eastAsia="仿宋"/>
          <w:color w:val="auto"/>
          <w:sz w:val="32"/>
          <w:szCs w:val="32"/>
          <w:highlight w:val="none"/>
        </w:rPr>
      </w:pPr>
    </w:p>
    <w:p>
      <w:pPr>
        <w:spacing w:line="600" w:lineRule="exact"/>
        <w:ind w:firstLine="1600" w:firstLineChars="5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pPr>
        <w:pStyle w:val="23"/>
        <w:numPr>
          <w:ilvl w:val="0"/>
          <w:numId w:val="0"/>
        </w:numPr>
        <w:spacing w:line="600" w:lineRule="exact"/>
        <w:ind w:left="640" w:leftChars="0"/>
        <w:outlineLvl w:val="1"/>
        <w:rPr>
          <w:rStyle w:val="25"/>
          <w:rFonts w:ascii="黑体" w:hAnsi="黑体" w:eastAsia="黑体"/>
          <w:b w:val="0"/>
          <w:color w:val="auto"/>
          <w:highlight w:val="none"/>
        </w:rPr>
      </w:pPr>
      <w:bookmarkStart w:id="22" w:name="_Toc15396605"/>
      <w:bookmarkStart w:id="23" w:name="_Toc15377207"/>
    </w:p>
    <w:p>
      <w:pPr>
        <w:pStyle w:val="23"/>
        <w:numPr>
          <w:ilvl w:val="0"/>
          <w:numId w:val="0"/>
        </w:numPr>
        <w:spacing w:line="600" w:lineRule="exact"/>
        <w:ind w:left="640" w:leftChars="0"/>
        <w:outlineLvl w:val="1"/>
        <w:rPr>
          <w:rStyle w:val="25"/>
          <w:rFonts w:ascii="黑体" w:hAnsi="黑体" w:eastAsia="黑体"/>
          <w:b w:val="0"/>
          <w:color w:val="auto"/>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316.56</w:t>
      </w:r>
      <w:r>
        <w:rPr>
          <w:rFonts w:hint="eastAsia" w:ascii="仿宋" w:hAnsi="仿宋" w:eastAsia="仿宋"/>
          <w:color w:val="auto"/>
          <w:sz w:val="32"/>
          <w:szCs w:val="32"/>
          <w:highlight w:val="none"/>
        </w:rPr>
        <w:t>万元，其中：</w:t>
      </w:r>
      <w:r>
        <w:rPr>
          <w:rFonts w:hint="eastAsia" w:ascii="仿宋" w:hAnsi="仿宋" w:eastAsia="仿宋"/>
          <w:color w:val="auto"/>
          <w:sz w:val="32"/>
          <w:szCs w:val="32"/>
          <w:highlight w:val="none"/>
          <w:lang w:eastAsia="zh-CN"/>
        </w:rPr>
        <w:t>教育</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265.46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83.86</w:t>
      </w:r>
      <w:r>
        <w:rPr>
          <w:rFonts w:ascii="仿宋" w:hAnsi="仿宋" w:eastAsia="仿宋"/>
          <w:color w:val="auto"/>
          <w:sz w:val="32"/>
          <w:szCs w:val="32"/>
          <w:highlight w:val="none"/>
        </w:rPr>
        <w:t>%</w:t>
      </w:r>
      <w:r>
        <w:rPr>
          <w:rFonts w:hint="eastAsia" w:ascii="仿宋" w:hAnsi="仿宋" w:eastAsia="仿宋"/>
          <w:color w:val="auto"/>
          <w:sz w:val="32"/>
          <w:szCs w:val="32"/>
          <w:highlight w:val="none"/>
        </w:rPr>
        <w:t>；社会保障和就业支出2</w:t>
      </w:r>
      <w:r>
        <w:rPr>
          <w:rFonts w:hint="eastAsia" w:ascii="仿宋" w:hAnsi="仿宋" w:eastAsia="仿宋"/>
          <w:color w:val="auto"/>
          <w:sz w:val="32"/>
          <w:szCs w:val="32"/>
          <w:highlight w:val="none"/>
          <w:lang w:val="en-US" w:eastAsia="zh-CN"/>
        </w:rPr>
        <w:t>3.85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7.53</w:t>
      </w:r>
      <w:r>
        <w:rPr>
          <w:rFonts w:ascii="仿宋" w:hAnsi="仿宋" w:eastAsia="仿宋"/>
          <w:color w:val="auto"/>
          <w:sz w:val="32"/>
          <w:szCs w:val="32"/>
          <w:highlight w:val="none"/>
        </w:rPr>
        <w:t>%</w:t>
      </w:r>
      <w:r>
        <w:rPr>
          <w:rFonts w:hint="eastAsia" w:ascii="仿宋" w:hAnsi="仿宋" w:eastAsia="仿宋"/>
          <w:color w:val="auto"/>
          <w:sz w:val="32"/>
          <w:szCs w:val="32"/>
          <w:highlight w:val="none"/>
        </w:rPr>
        <w:t>；卫生健康支出</w:t>
      </w:r>
      <w:r>
        <w:rPr>
          <w:rFonts w:hint="eastAsia" w:ascii="仿宋" w:hAnsi="仿宋" w:eastAsia="仿宋"/>
          <w:color w:val="auto"/>
          <w:sz w:val="32"/>
          <w:szCs w:val="32"/>
          <w:highlight w:val="none"/>
          <w:lang w:val="en-US" w:eastAsia="zh-CN"/>
        </w:rPr>
        <w:t>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3.06</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；住房保障支出1</w:t>
      </w:r>
      <w:r>
        <w:rPr>
          <w:rFonts w:hint="eastAsia" w:ascii="仿宋" w:hAnsi="仿宋" w:eastAsia="仿宋"/>
          <w:color w:val="auto"/>
          <w:sz w:val="32"/>
          <w:szCs w:val="32"/>
          <w:highlight w:val="none"/>
          <w:lang w:val="en-US" w:eastAsia="zh-CN"/>
        </w:rPr>
        <w:t>7.55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242570</wp:posOffset>
            </wp:positionH>
            <wp:positionV relativeFrom="paragraph">
              <wp:posOffset>242570</wp:posOffset>
            </wp:positionV>
            <wp:extent cx="5080000" cy="3810000"/>
            <wp:effectExtent l="4445" t="4445" r="20955" b="1460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firstLineChars="200"/>
        <w:outlineLvl w:val="1"/>
        <w:rPr>
          <w:rFonts w:hint="eastAsia" w:ascii="仿宋" w:hAnsi="仿宋" w:eastAsia="仿宋"/>
          <w:b/>
          <w:color w:val="auto"/>
          <w:sz w:val="32"/>
          <w:szCs w:val="32"/>
          <w:highlight w:val="none"/>
        </w:rPr>
      </w:pPr>
      <w:r>
        <w:rPr>
          <w:color w:val="auto"/>
          <w:sz w:val="32"/>
        </w:rPr>
        <mc:AlternateContent>
          <mc:Choice Requires="wps">
            <w:drawing>
              <wp:anchor distT="0" distB="0" distL="114300" distR="114300" simplePos="0" relativeHeight="251664384" behindDoc="0" locked="0" layoutInCell="1" allowOverlap="1">
                <wp:simplePos x="0" y="0"/>
                <wp:positionH relativeFrom="column">
                  <wp:posOffset>4023360</wp:posOffset>
                </wp:positionH>
                <wp:positionV relativeFrom="paragraph">
                  <wp:posOffset>268605</wp:posOffset>
                </wp:positionV>
                <wp:extent cx="885825" cy="381000"/>
                <wp:effectExtent l="4445" t="5080" r="5080" b="13970"/>
                <wp:wrapNone/>
                <wp:docPr id="9" name="文本框 9"/>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lang w:eastAsia="zh-CN"/>
                              </w:rPr>
                            </w:pPr>
                            <w:r>
                              <w:rPr>
                                <w:rFonts w:hint="eastAsia"/>
                                <w:b/>
                                <w:bCs/>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6.8pt;margin-top:21.15pt;height:30pt;width:69.75pt;z-index:251664384;mso-width-relative:page;mso-height-relative:page;" fillcolor="#FFFFFF [3201]" filled="t" stroked="t" coordsize="21600,21600" o:gfxdata="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6wCyNgAAAAK&#10;AQAADwAAAAAAAAABACAAAAAiAAAAZHJzL2Rvd25yZXYueG1sUEsBAhQAFAAAAAgAh07iQB4rvb9V&#10;AgAAtwQAAA4AAAAAAAAAAQAgAAAAJwEAAGRycy9lMm9Eb2MueG1sUEsFBgAAAAAGAAYAWQEAAO4F&#10;AAAAAA==&#10;">
                <v:fill on="t" focussize="0,0"/>
                <v:stroke weight="0.5pt" color="#FFFFFF [3212]" joinstyle="round"/>
                <v:imagedata o:title=""/>
                <o:lock v:ext="edit" aspectratio="f"/>
                <v:textbox>
                  <w:txbxContent>
                    <w:p>
                      <w:pPr>
                        <w:rPr>
                          <w:rFonts w:hint="eastAsia" w:eastAsia="宋体"/>
                          <w:b/>
                          <w:bCs/>
                          <w:lang w:eastAsia="zh-CN"/>
                        </w:rPr>
                      </w:pPr>
                      <w:r>
                        <w:rPr>
                          <w:rFonts w:hint="eastAsia"/>
                          <w:b/>
                          <w:bCs/>
                          <w:lang w:eastAsia="zh-CN"/>
                        </w:rPr>
                        <w:t>单位：万元</w:t>
                      </w:r>
                    </w:p>
                  </w:txbxContent>
                </v:textbox>
              </v:shape>
            </w:pict>
          </mc:Fallback>
        </mc:AlternateContent>
      </w:r>
    </w:p>
    <w:p>
      <w:pPr>
        <w:spacing w:line="600" w:lineRule="exact"/>
        <w:ind w:firstLine="643" w:firstLineChars="200"/>
        <w:outlineLvl w:val="1"/>
        <w:rPr>
          <w:rFonts w:hint="eastAsia" w:ascii="仿宋" w:hAnsi="仿宋" w:eastAsia="仿宋"/>
          <w:b/>
          <w:color w:val="auto"/>
          <w:sz w:val="32"/>
          <w:szCs w:val="32"/>
          <w:highlight w:val="none"/>
        </w:rPr>
      </w:pPr>
    </w:p>
    <w:p>
      <w:pPr>
        <w:spacing w:line="600" w:lineRule="exact"/>
        <w:ind w:firstLine="643" w:firstLineChars="200"/>
        <w:outlineLvl w:val="1"/>
        <w:rPr>
          <w:rFonts w:hint="eastAsia" w:ascii="仿宋" w:hAnsi="仿宋" w:eastAsia="仿宋"/>
          <w:b/>
          <w:color w:val="auto"/>
          <w:sz w:val="32"/>
          <w:szCs w:val="32"/>
          <w:highlight w:val="none"/>
        </w:rPr>
      </w:pPr>
    </w:p>
    <w:p>
      <w:pPr>
        <w:spacing w:line="600" w:lineRule="exact"/>
        <w:ind w:firstLine="643" w:firstLineChars="200"/>
        <w:outlineLvl w:val="1"/>
        <w:rPr>
          <w:rFonts w:hint="eastAsia" w:ascii="仿宋" w:hAnsi="仿宋" w:eastAsia="仿宋"/>
          <w:b/>
          <w:color w:val="auto"/>
          <w:sz w:val="32"/>
          <w:szCs w:val="32"/>
          <w:highlight w:val="none"/>
        </w:rPr>
      </w:pPr>
    </w:p>
    <w:p>
      <w:pPr>
        <w:spacing w:line="600" w:lineRule="exact"/>
        <w:ind w:firstLine="643" w:firstLineChars="200"/>
        <w:outlineLvl w:val="1"/>
        <w:rPr>
          <w:rFonts w:hint="eastAsia" w:ascii="仿宋" w:hAnsi="仿宋" w:eastAsia="仿宋"/>
          <w:b/>
          <w:color w:val="auto"/>
          <w:sz w:val="32"/>
          <w:szCs w:val="32"/>
          <w:highlight w:val="none"/>
        </w:rPr>
      </w:pPr>
    </w:p>
    <w:p>
      <w:pPr>
        <w:spacing w:line="600" w:lineRule="exact"/>
        <w:ind w:firstLine="643" w:firstLineChars="200"/>
        <w:outlineLvl w:val="1"/>
        <w:rPr>
          <w:rFonts w:hint="eastAsia" w:ascii="仿宋" w:hAnsi="仿宋" w:eastAsia="仿宋"/>
          <w:b/>
          <w:color w:val="auto"/>
          <w:sz w:val="32"/>
          <w:szCs w:val="32"/>
          <w:highlight w:val="none"/>
        </w:rPr>
      </w:pPr>
    </w:p>
    <w:p>
      <w:pPr>
        <w:spacing w:line="600" w:lineRule="exact"/>
        <w:ind w:firstLine="643" w:firstLineChars="200"/>
        <w:outlineLvl w:val="1"/>
        <w:rPr>
          <w:rFonts w:hint="eastAsia" w:ascii="仿宋" w:hAnsi="仿宋" w:eastAsia="仿宋"/>
          <w:b/>
          <w:color w:val="auto"/>
          <w:sz w:val="32"/>
          <w:szCs w:val="32"/>
          <w:highlight w:val="none"/>
        </w:rPr>
      </w:pPr>
    </w:p>
    <w:p>
      <w:pPr>
        <w:spacing w:line="600" w:lineRule="exact"/>
        <w:ind w:firstLine="643" w:firstLineChars="200"/>
        <w:outlineLvl w:val="1"/>
        <w:rPr>
          <w:rFonts w:hint="eastAsia" w:ascii="仿宋" w:hAnsi="仿宋" w:eastAsia="仿宋"/>
          <w:b/>
          <w:color w:val="auto"/>
          <w:sz w:val="32"/>
          <w:szCs w:val="32"/>
          <w:highlight w:val="none"/>
        </w:rPr>
      </w:pPr>
    </w:p>
    <w:p>
      <w:pPr>
        <w:spacing w:line="600" w:lineRule="exact"/>
        <w:ind w:firstLine="643" w:firstLineChars="200"/>
        <w:outlineLvl w:val="1"/>
        <w:rPr>
          <w:rFonts w:hint="eastAsia" w:ascii="仿宋" w:hAnsi="仿宋" w:eastAsia="仿宋"/>
          <w:b/>
          <w:color w:val="auto"/>
          <w:sz w:val="32"/>
          <w:szCs w:val="32"/>
          <w:highlight w:val="none"/>
        </w:rPr>
      </w:pPr>
    </w:p>
    <w:p>
      <w:pPr>
        <w:spacing w:line="600" w:lineRule="exact"/>
        <w:rPr>
          <w:rFonts w:ascii="仿宋" w:hAnsi="仿宋" w:eastAsia="仿宋"/>
          <w:color w:val="auto"/>
          <w:sz w:val="32"/>
          <w:szCs w:val="32"/>
          <w:highlight w:val="none"/>
          <w:shd w:val="pct10" w:color="auto" w:fill="FFFFFF"/>
        </w:rPr>
      </w:pPr>
    </w:p>
    <w:p>
      <w:pPr>
        <w:spacing w:line="600" w:lineRule="exact"/>
        <w:ind w:firstLine="1600" w:firstLineChars="5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Fonts w:hint="eastAsia" w:ascii="黑体" w:hAnsi="黑体" w:eastAsia="黑体"/>
          <w:color w:val="auto"/>
          <w:sz w:val="32"/>
          <w:szCs w:val="32"/>
          <w:highlight w:val="none"/>
        </w:rPr>
      </w:pPr>
      <w:bookmarkStart w:id="24" w:name="_Toc15377208"/>
      <w:bookmarkStart w:id="25" w:name="_Toc15396606"/>
    </w:p>
    <w:p>
      <w:pPr>
        <w:spacing w:line="600" w:lineRule="exact"/>
        <w:ind w:firstLine="640" w:firstLineChars="200"/>
        <w:outlineLvl w:val="1"/>
        <w:rPr>
          <w:rStyle w:val="25"/>
          <w:rFonts w:ascii="黑体" w:hAnsi="黑体" w:eastAsia="黑体"/>
          <w:b w:val="0"/>
          <w:color w:val="auto"/>
          <w:highlight w:val="none"/>
        </w:rPr>
      </w:pPr>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24"/>
      <w:bookmarkEnd w:id="25"/>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lang w:val="en-US" w:eastAsia="zh-CN"/>
        </w:rPr>
        <w:t>316.56万元，与2021年相比减少46.94万元，减少12.91%。</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学校生源减少，规模缩小，学校建设工程减少。</w:t>
      </w:r>
    </w:p>
    <w:p>
      <w:p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highlight w:val="none"/>
          <w:lang w:val="en-US" w:eastAsia="zh-CN"/>
        </w:rPr>
        <w:t>2022年财政拨款总支出</w:t>
      </w:r>
      <w:r>
        <w:rPr>
          <w:rFonts w:hint="eastAsia" w:ascii="仿宋" w:hAnsi="仿宋" w:eastAsia="仿宋"/>
          <w:color w:val="auto"/>
          <w:sz w:val="32"/>
          <w:szCs w:val="32"/>
          <w:highlight w:val="none"/>
        </w:rPr>
        <w:t>、支总计</w:t>
      </w:r>
      <w:r>
        <w:rPr>
          <w:rFonts w:hint="eastAsia" w:ascii="仿宋" w:hAnsi="仿宋" w:eastAsia="仿宋"/>
          <w:color w:val="auto"/>
          <w:sz w:val="32"/>
          <w:szCs w:val="32"/>
          <w:highlight w:val="none"/>
          <w:lang w:val="en-US" w:eastAsia="zh-CN"/>
        </w:rPr>
        <w:t>316.56万元，</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46.94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12.91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学校生源减少，规模缩小，学校建设工程减少。</w:t>
      </w:r>
    </w:p>
    <w:p>
      <w:pPr>
        <w:spacing w:line="600" w:lineRule="exact"/>
        <w:ind w:firstLine="640"/>
        <w:rPr>
          <w:rFonts w:hint="eastAsia" w:ascii="仿宋" w:hAnsi="仿宋" w:eastAsia="仿宋"/>
          <w:b/>
          <w:color w:val="auto"/>
          <w:sz w:val="32"/>
          <w:szCs w:val="32"/>
          <w:highlight w:val="none"/>
        </w:rPr>
      </w:pPr>
      <w:r>
        <w:rPr>
          <w:rFonts w:hint="eastAsia" w:ascii="仿宋" w:hAnsi="仿宋" w:eastAsia="仿宋"/>
          <w:color w:val="auto"/>
          <w:sz w:val="32"/>
          <w:szCs w:val="32"/>
          <w:lang w:eastAsia="zh-CN"/>
        </w:rPr>
        <w:drawing>
          <wp:anchor distT="0" distB="0" distL="114300" distR="114300" simplePos="0" relativeHeight="251665408" behindDoc="0" locked="0" layoutInCell="1" allowOverlap="1">
            <wp:simplePos x="0" y="0"/>
            <wp:positionH relativeFrom="column">
              <wp:posOffset>213995</wp:posOffset>
            </wp:positionH>
            <wp:positionV relativeFrom="paragraph">
              <wp:posOffset>334010</wp:posOffset>
            </wp:positionV>
            <wp:extent cx="5080000" cy="5114925"/>
            <wp:effectExtent l="4445" t="4445" r="20955" b="508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spacing w:line="600" w:lineRule="exact"/>
        <w:ind w:firstLine="640"/>
        <w:rPr>
          <w:rFonts w:hint="eastAsia" w:ascii="仿宋" w:hAnsi="仿宋" w:eastAsia="仿宋"/>
          <w:b/>
          <w:color w:val="auto"/>
          <w:sz w:val="32"/>
          <w:szCs w:val="32"/>
          <w:highlight w:val="none"/>
        </w:rPr>
      </w:pPr>
      <w:r>
        <w:rPr>
          <w:color w:val="auto"/>
          <w:sz w:val="32"/>
        </w:rPr>
        <mc:AlternateContent>
          <mc:Choice Requires="wps">
            <w:drawing>
              <wp:anchor distT="0" distB="0" distL="114300" distR="114300" simplePos="0" relativeHeight="251666432" behindDoc="0" locked="0" layoutInCell="1" allowOverlap="1">
                <wp:simplePos x="0" y="0"/>
                <wp:positionH relativeFrom="column">
                  <wp:posOffset>4090035</wp:posOffset>
                </wp:positionH>
                <wp:positionV relativeFrom="paragraph">
                  <wp:posOffset>220980</wp:posOffset>
                </wp:positionV>
                <wp:extent cx="885825" cy="381000"/>
                <wp:effectExtent l="4445" t="5080" r="5080" b="13970"/>
                <wp:wrapNone/>
                <wp:docPr id="12" name="文本框 12"/>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lang w:eastAsia="zh-CN"/>
                              </w:rPr>
                            </w:pPr>
                            <w:r>
                              <w:rPr>
                                <w:rFonts w:hint="eastAsia"/>
                                <w:b/>
                                <w:bCs/>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05pt;margin-top:17.4pt;height:30pt;width:69.75pt;z-index:251666432;mso-width-relative:page;mso-height-relative:page;" fillcolor="#FFFFFF [3201]" filled="t" stroked="t" coordsize="21600,21600" o:gfxdata="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JVaRX2AAAAAkB&#10;AAAPAAAAAAAAAAEAIAAAACIAAABkcnMvZG93bnJldi54bWxQSwECFAAUAAAACACHTuJAKB7o8VQC&#10;AAC5BAAADgAAAAAAAAABACAAAAAnAQAAZHJzL2Uyb0RvYy54bWxQSwUGAAAAAAYABgBZAQAA7QUA&#10;AAAA&#10;">
                <v:fill on="t" focussize="0,0"/>
                <v:stroke weight="0.5pt" color="#FFFFFF [3212]" joinstyle="round"/>
                <v:imagedata o:title=""/>
                <o:lock v:ext="edit" aspectratio="f"/>
                <v:textbox>
                  <w:txbxContent>
                    <w:p>
                      <w:pPr>
                        <w:rPr>
                          <w:rFonts w:hint="eastAsia" w:eastAsia="宋体"/>
                          <w:b/>
                          <w:bCs/>
                          <w:lang w:eastAsia="zh-CN"/>
                        </w:rPr>
                      </w:pPr>
                      <w:r>
                        <w:rPr>
                          <w:rFonts w:hint="eastAsia"/>
                          <w:b/>
                          <w:bCs/>
                          <w:lang w:eastAsia="zh-CN"/>
                        </w:rPr>
                        <w:t>单位：万元</w:t>
                      </w:r>
                    </w:p>
                  </w:txbxContent>
                </v:textbox>
              </v:shape>
            </w:pict>
          </mc:Fallback>
        </mc:AlternateContent>
      </w:r>
    </w:p>
    <w:p>
      <w:pPr>
        <w:spacing w:line="600" w:lineRule="exact"/>
        <w:ind w:firstLine="640"/>
        <w:rPr>
          <w:rFonts w:hint="eastAsia" w:ascii="仿宋" w:hAnsi="仿宋" w:eastAsia="仿宋"/>
          <w:b/>
          <w:color w:val="auto"/>
          <w:sz w:val="32"/>
          <w:szCs w:val="32"/>
          <w:highlight w:val="none"/>
        </w:rPr>
      </w:pPr>
    </w:p>
    <w:p>
      <w:pPr>
        <w:spacing w:line="600" w:lineRule="exact"/>
        <w:ind w:firstLine="640"/>
        <w:rPr>
          <w:rFonts w:hint="eastAsia" w:ascii="仿宋" w:hAnsi="仿宋" w:eastAsia="仿宋"/>
          <w:b/>
          <w:color w:val="auto"/>
          <w:sz w:val="32"/>
          <w:szCs w:val="32"/>
          <w:highlight w:val="none"/>
        </w:rPr>
      </w:pPr>
    </w:p>
    <w:p>
      <w:pPr>
        <w:spacing w:line="600" w:lineRule="exact"/>
        <w:ind w:firstLine="640"/>
        <w:rPr>
          <w:rFonts w:hint="eastAsia" w:ascii="仿宋" w:hAnsi="仿宋" w:eastAsia="仿宋"/>
          <w:b/>
          <w:color w:val="auto"/>
          <w:sz w:val="32"/>
          <w:szCs w:val="32"/>
          <w:highlight w:val="none"/>
        </w:rPr>
      </w:pPr>
    </w:p>
    <w:p>
      <w:pPr>
        <w:spacing w:line="600" w:lineRule="exact"/>
        <w:ind w:firstLine="640"/>
        <w:rPr>
          <w:rFonts w:hint="eastAsia" w:ascii="仿宋" w:hAnsi="仿宋" w:eastAsia="仿宋"/>
          <w:b/>
          <w:color w:val="auto"/>
          <w:sz w:val="32"/>
          <w:szCs w:val="32"/>
          <w:highlight w:val="none"/>
        </w:rPr>
      </w:pPr>
    </w:p>
    <w:p>
      <w:pPr>
        <w:spacing w:line="600" w:lineRule="exact"/>
        <w:ind w:firstLine="640"/>
        <w:rPr>
          <w:rFonts w:hint="eastAsia" w:ascii="仿宋" w:hAnsi="仿宋" w:eastAsia="仿宋"/>
          <w:b/>
          <w:color w:val="auto"/>
          <w:sz w:val="32"/>
          <w:szCs w:val="32"/>
          <w:highlight w:val="none"/>
        </w:rPr>
      </w:pPr>
    </w:p>
    <w:p>
      <w:pPr>
        <w:spacing w:line="600" w:lineRule="exact"/>
        <w:ind w:firstLine="640"/>
        <w:rPr>
          <w:rFonts w:hint="eastAsia" w:ascii="仿宋" w:hAnsi="仿宋" w:eastAsia="仿宋"/>
          <w:b/>
          <w:color w:val="auto"/>
          <w:sz w:val="32"/>
          <w:szCs w:val="32"/>
          <w:highlight w:val="none"/>
        </w:rPr>
      </w:pPr>
    </w:p>
    <w:p>
      <w:pPr>
        <w:spacing w:line="600" w:lineRule="exact"/>
        <w:ind w:firstLine="640"/>
        <w:rPr>
          <w:rFonts w:hint="eastAsia" w:ascii="仿宋" w:hAnsi="仿宋" w:eastAsia="仿宋"/>
          <w:b/>
          <w:color w:val="auto"/>
          <w:sz w:val="32"/>
          <w:szCs w:val="32"/>
          <w:highlight w:val="none"/>
        </w:rPr>
      </w:pPr>
    </w:p>
    <w:p>
      <w:pPr>
        <w:spacing w:line="600" w:lineRule="exact"/>
        <w:ind w:firstLine="640"/>
        <w:rPr>
          <w:rFonts w:hint="eastAsia" w:ascii="仿宋" w:hAnsi="仿宋" w:eastAsia="仿宋"/>
          <w:b/>
          <w:color w:val="auto"/>
          <w:sz w:val="32"/>
          <w:szCs w:val="32"/>
          <w:highlight w:val="none"/>
        </w:rPr>
      </w:pPr>
    </w:p>
    <w:p>
      <w:pPr>
        <w:spacing w:line="600" w:lineRule="exact"/>
        <w:ind w:firstLine="640"/>
        <w:rPr>
          <w:rFonts w:hint="eastAsia" w:ascii="仿宋" w:hAnsi="仿宋" w:eastAsia="仿宋"/>
          <w:b/>
          <w:color w:val="auto"/>
          <w:sz w:val="32"/>
          <w:szCs w:val="32"/>
          <w:highlight w:val="none"/>
        </w:rPr>
      </w:pPr>
    </w:p>
    <w:p>
      <w:pPr>
        <w:spacing w:line="600" w:lineRule="exact"/>
        <w:ind w:firstLine="320" w:firstLineChars="100"/>
        <w:rPr>
          <w:rFonts w:hint="eastAsia" w:ascii="仿宋" w:hAnsi="仿宋" w:eastAsia="仿宋"/>
          <w:color w:val="auto"/>
          <w:sz w:val="32"/>
          <w:szCs w:val="32"/>
          <w:highlight w:val="none"/>
        </w:rPr>
      </w:pPr>
    </w:p>
    <w:p>
      <w:pPr>
        <w:spacing w:line="600" w:lineRule="exact"/>
        <w:ind w:firstLine="320" w:firstLineChars="100"/>
        <w:rPr>
          <w:rFonts w:hint="eastAsia" w:ascii="仿宋" w:hAnsi="仿宋" w:eastAsia="仿宋"/>
          <w:color w:val="auto"/>
          <w:sz w:val="32"/>
          <w:szCs w:val="32"/>
          <w:highlight w:val="none"/>
        </w:rPr>
      </w:pPr>
    </w:p>
    <w:p>
      <w:pPr>
        <w:spacing w:line="600" w:lineRule="exact"/>
        <w:ind w:firstLine="320" w:firstLineChars="100"/>
        <w:rPr>
          <w:rFonts w:hint="eastAsia" w:ascii="仿宋" w:hAnsi="仿宋" w:eastAsia="仿宋"/>
          <w:color w:val="auto"/>
          <w:sz w:val="32"/>
          <w:szCs w:val="32"/>
          <w:highlight w:val="none"/>
        </w:rPr>
      </w:pPr>
    </w:p>
    <w:p>
      <w:pPr>
        <w:spacing w:line="600" w:lineRule="exact"/>
        <w:ind w:firstLine="320" w:firstLineChars="100"/>
        <w:rPr>
          <w:rFonts w:hint="eastAsia" w:ascii="仿宋" w:hAnsi="仿宋" w:eastAsia="仿宋"/>
          <w:color w:val="auto"/>
          <w:sz w:val="32"/>
          <w:szCs w:val="32"/>
          <w:highlight w:val="none"/>
        </w:rPr>
      </w:pPr>
    </w:p>
    <w:p>
      <w:pPr>
        <w:spacing w:line="600" w:lineRule="exact"/>
        <w:ind w:firstLine="320" w:firstLineChars="1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Fonts w:hint="eastAsia" w:ascii="黑体" w:hAnsi="黑体" w:eastAsia="黑体"/>
          <w:color w:val="auto"/>
          <w:sz w:val="32"/>
          <w:szCs w:val="32"/>
          <w:highlight w:val="none"/>
        </w:rPr>
      </w:pPr>
      <w:bookmarkStart w:id="26" w:name="_Toc15377209"/>
      <w:bookmarkStart w:id="27" w:name="_Toc15396607"/>
    </w:p>
    <w:p>
      <w:pPr>
        <w:spacing w:line="600" w:lineRule="exact"/>
        <w:ind w:firstLine="640" w:firstLineChars="200"/>
        <w:outlineLvl w:val="1"/>
        <w:rPr>
          <w:rStyle w:val="25"/>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316.56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46.42</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12.79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。主变动原因是</w:t>
      </w:r>
      <w:r>
        <w:rPr>
          <w:rFonts w:hint="eastAsia" w:ascii="仿宋" w:hAnsi="仿宋" w:eastAsia="仿宋"/>
          <w:color w:val="auto"/>
          <w:sz w:val="32"/>
          <w:szCs w:val="32"/>
          <w:highlight w:val="none"/>
          <w:lang w:eastAsia="zh-CN"/>
        </w:rPr>
        <w:t>学校生源减少，规模缩小，学校建设工程减少。</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lang w:eastAsia="zh-CN"/>
        </w:rPr>
        <w:drawing>
          <wp:anchor distT="0" distB="0" distL="114300" distR="114300" simplePos="0" relativeHeight="251667456" behindDoc="0" locked="0" layoutInCell="1" allowOverlap="1">
            <wp:simplePos x="0" y="0"/>
            <wp:positionH relativeFrom="column">
              <wp:posOffset>80645</wp:posOffset>
            </wp:positionH>
            <wp:positionV relativeFrom="paragraph">
              <wp:posOffset>245110</wp:posOffset>
            </wp:positionV>
            <wp:extent cx="5080000" cy="3810000"/>
            <wp:effectExtent l="4445" t="4445" r="20955" b="14605"/>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spacing w:line="600" w:lineRule="exact"/>
        <w:ind w:firstLine="640" w:firstLineChars="200"/>
        <w:rPr>
          <w:rFonts w:ascii="仿宋" w:hAnsi="仿宋" w:eastAsia="仿宋"/>
          <w:color w:val="auto"/>
          <w:sz w:val="32"/>
          <w:szCs w:val="32"/>
          <w:highlight w:val="none"/>
        </w:rPr>
      </w:pPr>
      <w:r>
        <w:rPr>
          <w:color w:val="auto"/>
          <w:sz w:val="32"/>
        </w:rPr>
        <mc:AlternateContent>
          <mc:Choice Requires="wps">
            <w:drawing>
              <wp:anchor distT="0" distB="0" distL="114300" distR="114300" simplePos="0" relativeHeight="251668480" behindDoc="0" locked="0" layoutInCell="1" allowOverlap="1">
                <wp:simplePos x="0" y="0"/>
                <wp:positionH relativeFrom="column">
                  <wp:posOffset>4004310</wp:posOffset>
                </wp:positionH>
                <wp:positionV relativeFrom="paragraph">
                  <wp:posOffset>373380</wp:posOffset>
                </wp:positionV>
                <wp:extent cx="885825" cy="381000"/>
                <wp:effectExtent l="4445" t="5080" r="5080" b="13970"/>
                <wp:wrapNone/>
                <wp:docPr id="15" name="文本框 15"/>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lang w:eastAsia="zh-CN"/>
                              </w:rPr>
                            </w:pPr>
                            <w:r>
                              <w:rPr>
                                <w:rFonts w:hint="eastAsia"/>
                                <w:b/>
                                <w:bCs/>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3pt;margin-top:29.4pt;height:30pt;width:69.75pt;z-index:251668480;mso-width-relative:page;mso-height-relative:page;" fillcolor="#FFFFFF [3201]" filled="t" stroked="t" coordsize="21600,21600" o:gfxdata="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jk0nMNcAAAAKAQAA&#10;DwAAAAAAAAABACAAAAAiAAAAZHJzL2Rvd25yZXYueG1sUEsBAhQAFAAAAAgAh07iQNsyiH1TAgAA&#10;uQQAAA4AAAAAAAAAAQAgAAAAJgEAAGRycy9lMm9Eb2MueG1sUEsFBgAAAAAGAAYAWQEAAOsFAAAA&#10;AA==&#10;">
                <v:fill on="t" focussize="0,0"/>
                <v:stroke weight="0.5pt" color="#FFFFFF [3212]" joinstyle="round"/>
                <v:imagedata o:title=""/>
                <o:lock v:ext="edit" aspectratio="f"/>
                <v:textbox>
                  <w:txbxContent>
                    <w:p>
                      <w:pPr>
                        <w:rPr>
                          <w:rFonts w:hint="eastAsia" w:eastAsia="宋体"/>
                          <w:b/>
                          <w:bCs/>
                          <w:lang w:eastAsia="zh-CN"/>
                        </w:rPr>
                      </w:pPr>
                      <w:r>
                        <w:rPr>
                          <w:rFonts w:hint="eastAsia"/>
                          <w:b/>
                          <w:bCs/>
                          <w:lang w:eastAsia="zh-CN"/>
                        </w:rPr>
                        <w:t>单位：万元</w:t>
                      </w:r>
                    </w:p>
                  </w:txbxContent>
                </v:textbox>
              </v:shape>
            </w:pict>
          </mc:Fallback>
        </mc:AlternateContent>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316.65</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教育</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265.46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83.86</w:t>
      </w:r>
      <w:r>
        <w:rPr>
          <w:rFonts w:ascii="仿宋" w:hAnsi="仿宋" w:eastAsia="仿宋"/>
          <w:color w:val="auto"/>
          <w:sz w:val="32"/>
          <w:szCs w:val="32"/>
          <w:highlight w:val="none"/>
        </w:rPr>
        <w:t>%</w:t>
      </w:r>
      <w:r>
        <w:rPr>
          <w:rFonts w:hint="eastAsia" w:ascii="仿宋" w:hAnsi="仿宋" w:eastAsia="仿宋"/>
          <w:color w:val="auto"/>
          <w:sz w:val="32"/>
          <w:szCs w:val="32"/>
          <w:highlight w:val="none"/>
        </w:rPr>
        <w:t>；社会保障和就业支出2</w:t>
      </w:r>
      <w:r>
        <w:rPr>
          <w:rFonts w:hint="eastAsia" w:ascii="仿宋" w:hAnsi="仿宋" w:eastAsia="仿宋"/>
          <w:color w:val="auto"/>
          <w:sz w:val="32"/>
          <w:szCs w:val="32"/>
          <w:highlight w:val="none"/>
          <w:lang w:val="en-US" w:eastAsia="zh-CN"/>
        </w:rPr>
        <w:t>3.85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7.53</w:t>
      </w:r>
      <w:r>
        <w:rPr>
          <w:rFonts w:ascii="仿宋" w:hAnsi="仿宋" w:eastAsia="仿宋"/>
          <w:color w:val="auto"/>
          <w:sz w:val="32"/>
          <w:szCs w:val="32"/>
          <w:highlight w:val="none"/>
        </w:rPr>
        <w:t>%</w:t>
      </w:r>
      <w:r>
        <w:rPr>
          <w:rFonts w:hint="eastAsia" w:ascii="仿宋" w:hAnsi="仿宋" w:eastAsia="仿宋"/>
          <w:color w:val="auto"/>
          <w:sz w:val="32"/>
          <w:szCs w:val="32"/>
          <w:highlight w:val="none"/>
        </w:rPr>
        <w:t>；卫生健康支出</w:t>
      </w:r>
      <w:r>
        <w:rPr>
          <w:rFonts w:hint="eastAsia" w:ascii="仿宋" w:hAnsi="仿宋" w:eastAsia="仿宋"/>
          <w:color w:val="auto"/>
          <w:sz w:val="32"/>
          <w:szCs w:val="32"/>
          <w:highlight w:val="none"/>
          <w:lang w:val="en-US" w:eastAsia="zh-CN"/>
        </w:rPr>
        <w:t>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3.06</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；住房保障支出1</w:t>
      </w:r>
      <w:r>
        <w:rPr>
          <w:rFonts w:hint="eastAsia" w:ascii="仿宋" w:hAnsi="仿宋" w:eastAsia="仿宋"/>
          <w:color w:val="auto"/>
          <w:sz w:val="32"/>
          <w:szCs w:val="32"/>
          <w:highlight w:val="none"/>
          <w:lang w:val="en-US" w:eastAsia="zh-CN"/>
        </w:rPr>
        <w:t>7.55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outlineLvl w:val="1"/>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9504" behindDoc="0" locked="0" layoutInCell="1" allowOverlap="1">
            <wp:simplePos x="0" y="0"/>
            <wp:positionH relativeFrom="column">
              <wp:posOffset>817880</wp:posOffset>
            </wp:positionH>
            <wp:positionV relativeFrom="paragraph">
              <wp:posOffset>76200</wp:posOffset>
            </wp:positionV>
            <wp:extent cx="3881120" cy="2895600"/>
            <wp:effectExtent l="4445" t="4445" r="19685" b="14605"/>
            <wp:wrapNone/>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spacing w:line="600" w:lineRule="exact"/>
        <w:ind w:firstLine="640" w:firstLineChars="200"/>
        <w:outlineLvl w:val="1"/>
        <w:rPr>
          <w:rFonts w:hint="eastAsia" w:ascii="仿宋" w:hAnsi="仿宋" w:eastAsia="仿宋"/>
          <w:color w:val="auto"/>
          <w:sz w:val="32"/>
          <w:szCs w:val="32"/>
          <w:highlight w:val="none"/>
        </w:rPr>
      </w:pPr>
      <w:r>
        <w:rPr>
          <w:color w:val="auto"/>
          <w:sz w:val="32"/>
        </w:rPr>
        <mc:AlternateContent>
          <mc:Choice Requires="wps">
            <w:drawing>
              <wp:anchor distT="0" distB="0" distL="114300" distR="114300" simplePos="0" relativeHeight="251670528" behindDoc="0" locked="0" layoutInCell="1" allowOverlap="1">
                <wp:simplePos x="0" y="0"/>
                <wp:positionH relativeFrom="column">
                  <wp:posOffset>3594100</wp:posOffset>
                </wp:positionH>
                <wp:positionV relativeFrom="paragraph">
                  <wp:posOffset>62865</wp:posOffset>
                </wp:positionV>
                <wp:extent cx="905510" cy="352425"/>
                <wp:effectExtent l="4445" t="4445" r="23495" b="5080"/>
                <wp:wrapNone/>
                <wp:docPr id="17" name="文本框 17"/>
                <wp:cNvGraphicFramePr/>
                <a:graphic xmlns:a="http://schemas.openxmlformats.org/drawingml/2006/main">
                  <a:graphicData uri="http://schemas.microsoft.com/office/word/2010/wordprocessingShape">
                    <wps:wsp>
                      <wps:cNvSpPr txBox="1"/>
                      <wps:spPr>
                        <a:xfrm>
                          <a:off x="0" y="0"/>
                          <a:ext cx="905510" cy="3524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lang w:eastAsia="zh-CN"/>
                              </w:rPr>
                            </w:pPr>
                            <w:r>
                              <w:rPr>
                                <w:rFonts w:hint="eastAsia"/>
                                <w:b/>
                                <w:bCs/>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3pt;margin-top:4.95pt;height:27.75pt;width:71.3pt;z-index:251670528;mso-width-relative:page;mso-height-relative:page;" fillcolor="#FFFFFF [3201]" filled="t" stroked="t" coordsize="21600,21600" o:gfxdata="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bXvut9cAAAAIAQAADwAA&#10;AAAAAAABACAAAAAiAAAAZHJzL2Rvd25yZXYueG1sUEsBAhQAFAAAAAgAh07iQLGcUzRQAgAAuQQA&#10;AA4AAAAAAAAAAQAgAAAAJgEAAGRycy9lMm9Eb2MueG1sUEsFBgAAAAAGAAYAWQEAAOgFAAAAAA==&#10;">
                <v:fill on="t" focussize="0,0"/>
                <v:stroke weight="0.5pt" color="#FFFFFF [3212]" joinstyle="round"/>
                <v:imagedata o:title=""/>
                <o:lock v:ext="edit" aspectratio="f"/>
                <v:textbox>
                  <w:txbxContent>
                    <w:p>
                      <w:pPr>
                        <w:rPr>
                          <w:rFonts w:hint="eastAsia" w:eastAsia="宋体"/>
                          <w:b/>
                          <w:bCs/>
                          <w:lang w:eastAsia="zh-CN"/>
                        </w:rPr>
                      </w:pPr>
                      <w:r>
                        <w:rPr>
                          <w:rFonts w:hint="eastAsia"/>
                          <w:b/>
                          <w:bCs/>
                          <w:lang w:eastAsia="zh-CN"/>
                        </w:rPr>
                        <w:t>单位：万元</w:t>
                      </w:r>
                    </w:p>
                  </w:txbxContent>
                </v:textbox>
              </v:shape>
            </w:pict>
          </mc:Fallback>
        </mc:AlternateContent>
      </w:r>
    </w:p>
    <w:p>
      <w:pPr>
        <w:spacing w:line="600" w:lineRule="exact"/>
        <w:ind w:firstLine="640" w:firstLineChars="200"/>
        <w:outlineLvl w:val="1"/>
        <w:rPr>
          <w:rFonts w:hint="eastAsia" w:ascii="仿宋" w:hAnsi="仿宋" w:eastAsia="仿宋"/>
          <w:color w:val="auto"/>
          <w:sz w:val="32"/>
          <w:szCs w:val="32"/>
          <w:highlight w:val="none"/>
        </w:rPr>
      </w:pPr>
    </w:p>
    <w:p>
      <w:pPr>
        <w:spacing w:line="600" w:lineRule="exact"/>
        <w:ind w:firstLine="640" w:firstLineChars="200"/>
        <w:outlineLvl w:val="1"/>
        <w:rPr>
          <w:rFonts w:hint="eastAsia" w:ascii="仿宋" w:hAnsi="仿宋" w:eastAsia="仿宋"/>
          <w:color w:val="auto"/>
          <w:sz w:val="32"/>
          <w:szCs w:val="32"/>
          <w:highlight w:val="none"/>
        </w:rPr>
      </w:pPr>
    </w:p>
    <w:p>
      <w:pPr>
        <w:spacing w:line="600" w:lineRule="exact"/>
        <w:ind w:firstLine="640" w:firstLineChars="200"/>
        <w:outlineLvl w:val="1"/>
        <w:rPr>
          <w:rFonts w:hint="eastAsia" w:ascii="仿宋" w:hAnsi="仿宋" w:eastAsia="仿宋"/>
          <w:color w:val="auto"/>
          <w:sz w:val="32"/>
          <w:szCs w:val="32"/>
          <w:highlight w:val="none"/>
          <w:lang w:eastAsia="zh-CN"/>
        </w:rPr>
      </w:pPr>
    </w:p>
    <w:p>
      <w:pPr>
        <w:spacing w:line="600" w:lineRule="exact"/>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213"/>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316.56万元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31"/>
      <w:bookmarkEnd w:id="32"/>
      <w:bookmarkEnd w:id="33"/>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1</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教育（类）</w:t>
      </w:r>
      <w:r>
        <w:rPr>
          <w:rStyle w:val="14"/>
          <w:rFonts w:hint="eastAsia" w:ascii="仿宋" w:hAnsi="仿宋" w:eastAsia="仿宋"/>
          <w:bCs/>
          <w:color w:val="auto"/>
          <w:sz w:val="32"/>
          <w:szCs w:val="32"/>
          <w:highlight w:val="none"/>
          <w:lang w:eastAsia="zh-CN"/>
        </w:rPr>
        <w:t>普通教育</w:t>
      </w:r>
      <w:r>
        <w:rPr>
          <w:rStyle w:val="14"/>
          <w:rFonts w:hint="eastAsia" w:ascii="仿宋" w:hAnsi="仿宋" w:eastAsia="仿宋"/>
          <w:bCs/>
          <w:color w:val="auto"/>
          <w:sz w:val="32"/>
          <w:szCs w:val="32"/>
          <w:highlight w:val="none"/>
        </w:rPr>
        <w:t>（款）学前教育（项）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3.23</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2</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教育（类）</w:t>
      </w:r>
      <w:r>
        <w:rPr>
          <w:rStyle w:val="14"/>
          <w:rFonts w:hint="eastAsia" w:ascii="仿宋" w:hAnsi="仿宋" w:eastAsia="仿宋"/>
          <w:bCs/>
          <w:color w:val="auto"/>
          <w:sz w:val="32"/>
          <w:szCs w:val="32"/>
          <w:highlight w:val="none"/>
          <w:lang w:eastAsia="zh-CN"/>
        </w:rPr>
        <w:t>普通教育</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小学</w:t>
      </w:r>
      <w:r>
        <w:rPr>
          <w:rStyle w:val="14"/>
          <w:rFonts w:hint="eastAsia" w:ascii="仿宋" w:hAnsi="仿宋" w:eastAsia="仿宋"/>
          <w:bCs/>
          <w:color w:val="auto"/>
          <w:sz w:val="32"/>
          <w:szCs w:val="32"/>
          <w:highlight w:val="none"/>
        </w:rPr>
        <w:t>教育（项）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233.32</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3</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教育（类）</w:t>
      </w:r>
      <w:r>
        <w:rPr>
          <w:rStyle w:val="14"/>
          <w:rFonts w:hint="eastAsia" w:ascii="仿宋" w:hAnsi="仿宋" w:eastAsia="仿宋"/>
          <w:bCs/>
          <w:color w:val="auto"/>
          <w:sz w:val="32"/>
          <w:szCs w:val="32"/>
          <w:highlight w:val="none"/>
          <w:lang w:eastAsia="zh-CN"/>
        </w:rPr>
        <w:t>普通教育</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其他普通</w:t>
      </w:r>
      <w:r>
        <w:rPr>
          <w:rStyle w:val="14"/>
          <w:rFonts w:hint="eastAsia" w:ascii="仿宋" w:hAnsi="仿宋" w:eastAsia="仿宋"/>
          <w:bCs/>
          <w:color w:val="auto"/>
          <w:sz w:val="32"/>
          <w:szCs w:val="32"/>
          <w:highlight w:val="none"/>
        </w:rPr>
        <w:t>教育</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27.26</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4</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教育（类）</w:t>
      </w:r>
      <w:r>
        <w:rPr>
          <w:rStyle w:val="14"/>
          <w:rFonts w:hint="eastAsia" w:ascii="仿宋" w:hAnsi="仿宋" w:eastAsia="仿宋"/>
          <w:bCs/>
          <w:color w:val="auto"/>
          <w:sz w:val="32"/>
          <w:szCs w:val="32"/>
          <w:highlight w:val="none"/>
          <w:lang w:eastAsia="zh-CN"/>
        </w:rPr>
        <w:t>其他教育支出</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其他教育支出</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1.65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5</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行政事业单位养老支出</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事业单位离退休</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4.5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6</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行政事业单位养老支出</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机关事业单位基本养老保险缴费支出</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18.39</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7</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其他</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其他</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0.96</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Style w:val="14"/>
          <w:rFonts w:hint="eastAsia" w:ascii="仿宋" w:hAnsi="仿宋" w:eastAsia="仿宋"/>
          <w:b w:val="0"/>
          <w:bCs/>
          <w:color w:val="auto"/>
          <w:sz w:val="32"/>
          <w:szCs w:val="32"/>
          <w:highlight w:val="none"/>
          <w:lang w:eastAsia="zh-CN"/>
        </w:rPr>
      </w:pPr>
      <w:r>
        <w:rPr>
          <w:rStyle w:val="14"/>
          <w:rFonts w:hint="eastAsia" w:ascii="仿宋" w:hAnsi="仿宋" w:eastAsia="仿宋"/>
          <w:bCs/>
          <w:color w:val="auto"/>
          <w:sz w:val="32"/>
          <w:szCs w:val="32"/>
          <w:highlight w:val="none"/>
          <w:lang w:val="en-US" w:eastAsia="zh-CN"/>
        </w:rPr>
        <w:t>8</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行政事业单位医疗</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事业单位医疗</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9.7</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w:t>
      </w:r>
    </w:p>
    <w:p>
      <w:pPr>
        <w:spacing w:line="600" w:lineRule="exact"/>
        <w:ind w:firstLine="643" w:firstLineChars="200"/>
        <w:rPr>
          <w:rStyle w:val="14"/>
          <w:rFonts w:ascii="仿宋" w:hAnsi="仿宋" w:eastAsia="仿宋"/>
          <w:b w:val="0"/>
          <w:bCs/>
          <w:color w:val="auto"/>
          <w:sz w:val="32"/>
          <w:szCs w:val="32"/>
          <w:highlight w:val="yellow"/>
        </w:rPr>
      </w:pPr>
      <w:r>
        <w:rPr>
          <w:rStyle w:val="14"/>
          <w:rFonts w:hint="eastAsia" w:ascii="仿宋" w:hAnsi="仿宋" w:eastAsia="仿宋"/>
          <w:bCs/>
          <w:color w:val="auto"/>
          <w:sz w:val="32"/>
          <w:szCs w:val="32"/>
          <w:highlight w:val="none"/>
          <w:lang w:val="en-US" w:eastAsia="zh-CN"/>
        </w:rPr>
        <w:t>9</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住房保障</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（类）住房改革</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（款）住房公积金（项）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17.55</w:t>
      </w:r>
      <w:r>
        <w:rPr>
          <w:rStyle w:val="14"/>
          <w:rFonts w:hint="eastAsia" w:ascii="仿宋" w:hAnsi="仿宋" w:eastAsia="仿宋"/>
          <w:b w:val="0"/>
          <w:bCs/>
          <w:color w:val="auto"/>
          <w:sz w:val="32"/>
          <w:szCs w:val="32"/>
          <w:highlight w:val="none"/>
          <w:lang w:eastAsia="zh-CN"/>
        </w:rPr>
        <w:t>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34"/>
      <w:bookmarkEnd w:id="35"/>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316.56</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286.82</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28.33</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5"/>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5"/>
          <w:rFonts w:hint="eastAsia" w:ascii="黑体" w:hAnsi="黑体" w:eastAsia="黑体"/>
          <w:b w:val="0"/>
          <w:color w:val="auto"/>
          <w:highlight w:val="none"/>
        </w:rPr>
        <w:t>财政拨款</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较上年无变化</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Fonts w:ascii="黑体" w:eastAsia="黑体"/>
          <w:color w:val="auto"/>
          <w:sz w:val="32"/>
          <w:szCs w:val="32"/>
          <w:highlight w:val="none"/>
        </w:rPr>
      </w:pPr>
      <w:bookmarkStart w:id="40" w:name="_Toc15396610"/>
      <w:bookmarkStart w:id="41" w:name="_Toc15377218"/>
    </w:p>
    <w:p>
      <w:pPr>
        <w:spacing w:line="600" w:lineRule="exact"/>
        <w:ind w:firstLine="640"/>
        <w:outlineLvl w:val="1"/>
        <w:rPr>
          <w:rStyle w:val="25"/>
          <w:rFonts w:ascii="黑体" w:hAnsi="黑体" w:eastAsia="黑体"/>
          <w:color w:val="auto"/>
          <w:highlight w:val="none"/>
        </w:rPr>
      </w:pPr>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2"/>
        </w:numPr>
        <w:spacing w:line="600" w:lineRule="exact"/>
        <w:ind w:firstLine="640"/>
        <w:outlineLvl w:val="1"/>
        <w:rPr>
          <w:rStyle w:val="25"/>
          <w:rFonts w:ascii="黑体" w:hAnsi="黑体" w:eastAsia="黑体"/>
          <w:b w:val="0"/>
          <w:color w:val="auto"/>
          <w:highlight w:val="none"/>
        </w:rPr>
      </w:pPr>
      <w:bookmarkStart w:id="42" w:name="_Toc15377219"/>
      <w:bookmarkStart w:id="43" w:name="_Toc15396611"/>
      <w:r>
        <w:rPr>
          <w:rStyle w:val="25"/>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5"/>
          <w:rFonts w:hint="eastAsia" w:ascii="黑体" w:hAnsi="黑体" w:eastAsia="黑体"/>
          <w:b w:val="0"/>
          <w:color w:val="auto"/>
          <w:highlight w:val="none"/>
        </w:rPr>
      </w:pPr>
      <w:bookmarkStart w:id="44" w:name="_Toc15377221"/>
      <w:bookmarkStart w:id="45" w:name="_Toc15396612"/>
      <w:r>
        <w:rPr>
          <w:rStyle w:val="25"/>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Style w:val="14"/>
          <w:rFonts w:hint="eastAsia" w:ascii="仿宋" w:hAnsi="仿宋" w:eastAsia="仿宋"/>
          <w:b w:val="0"/>
          <w:bCs/>
          <w:color w:val="auto"/>
          <w:sz w:val="32"/>
          <w:szCs w:val="32"/>
          <w:highlight w:val="none"/>
          <w:lang w:eastAsia="zh-CN"/>
        </w:rPr>
        <w:t>我校无机关运行经费支出</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我校无政府采购项目，</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numPr>
          <w:ilvl w:val="0"/>
          <w:numId w:val="3"/>
        </w:num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预算绩效管理情况</w:t>
      </w:r>
    </w:p>
    <w:p>
      <w:pPr>
        <w:numPr>
          <w:ilvl w:val="0"/>
          <w:numId w:val="0"/>
        </w:numPr>
        <w:autoSpaceDE w:val="0"/>
        <w:autoSpaceDN w:val="0"/>
        <w:adjustRightInd w:val="0"/>
        <w:spacing w:line="600" w:lineRule="exact"/>
        <w:ind w:firstLine="640" w:firstLineChars="200"/>
        <w:jc w:val="left"/>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学前教育、小学教育、其他普通教育支出</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w:t>
      </w:r>
      <w:r>
        <w:rPr>
          <w:rFonts w:hint="eastAsia" w:ascii="仿宋_GB2312" w:hAnsi="仿宋_GB2312" w:eastAsia="仿宋_GB2312" w:cs="仿宋_GB2312"/>
          <w:color w:val="auto"/>
          <w:sz w:val="32"/>
          <w:szCs w:val="32"/>
          <w:highlight w:val="none"/>
          <w:lang w:eastAsia="zh-CN"/>
        </w:rPr>
        <w:t>对这</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个项目开展绩效监控，组织对</w:t>
      </w:r>
      <w:r>
        <w:rPr>
          <w:rFonts w:hint="eastAsia" w:ascii="仿宋_GB2312" w:hAnsi="仿宋_GB2312" w:eastAsia="仿宋_GB2312" w:cs="仿宋_GB2312"/>
          <w:color w:val="auto"/>
          <w:sz w:val="32"/>
          <w:szCs w:val="32"/>
          <w:highlight w:val="none"/>
          <w:lang w:eastAsia="zh-CN"/>
        </w:rPr>
        <w:t>这</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个项目开展绩效自评，绩效自评表详见</w:t>
      </w:r>
      <w:r>
        <w:rPr>
          <w:rFonts w:hint="eastAsia" w:ascii="仿宋" w:hAnsi="仿宋" w:eastAsia="仿宋" w:cs="仿宋"/>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numPr>
          <w:ilvl w:val="0"/>
          <w:numId w:val="4"/>
        </w:numPr>
        <w:spacing w:line="600" w:lineRule="exact"/>
        <w:ind w:firstLine="660" w:firstLineChars="150"/>
        <w:jc w:val="center"/>
        <w:outlineLvl w:val="0"/>
        <w:rPr>
          <w:rStyle w:val="24"/>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eastAsia="zh-CN"/>
        </w:rPr>
        <w:t>普通教育</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学前教育、小学教育</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学校学前教育和小学教育的公用经费和人员经费等资金</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w:t>
      </w:r>
      <w:r>
        <w:rPr>
          <w:rStyle w:val="14"/>
          <w:rFonts w:hint="eastAsia" w:ascii="仿宋" w:hAnsi="仿宋" w:eastAsia="仿宋"/>
          <w:b w:val="0"/>
          <w:bCs w:val="0"/>
          <w:color w:val="auto"/>
          <w:sz w:val="32"/>
          <w:szCs w:val="32"/>
          <w:highlight w:val="none"/>
          <w:lang w:eastAsia="zh-CN"/>
        </w:rPr>
        <w:t>行政事业单位养老支出</w:t>
      </w:r>
      <w:r>
        <w:rPr>
          <w:rStyle w:val="14"/>
          <w:rFonts w:hint="eastAsia" w:ascii="仿宋" w:hAnsi="仿宋" w:eastAsia="仿宋"/>
          <w:b w:val="0"/>
          <w:bCs w:val="0"/>
          <w:color w:val="auto"/>
          <w:sz w:val="32"/>
          <w:szCs w:val="32"/>
          <w:highlight w:val="none"/>
        </w:rPr>
        <w:t>（款）</w:t>
      </w:r>
      <w:r>
        <w:rPr>
          <w:rStyle w:val="14"/>
          <w:rFonts w:hint="eastAsia" w:ascii="仿宋" w:hAnsi="仿宋" w:eastAsia="仿宋"/>
          <w:b w:val="0"/>
          <w:bCs w:val="0"/>
          <w:color w:val="auto"/>
          <w:sz w:val="32"/>
          <w:szCs w:val="32"/>
          <w:highlight w:val="none"/>
          <w:lang w:eastAsia="zh-CN"/>
        </w:rPr>
        <w:t>事业单位离退休</w:t>
      </w:r>
      <w:r>
        <w:rPr>
          <w:rStyle w:val="14"/>
          <w:rFonts w:hint="eastAsia" w:ascii="仿宋" w:hAnsi="仿宋" w:eastAsia="仿宋"/>
          <w:b w:val="0"/>
          <w:bCs w:val="0"/>
          <w:color w:val="auto"/>
          <w:sz w:val="32"/>
          <w:szCs w:val="32"/>
          <w:highlight w:val="none"/>
        </w:rPr>
        <w:t>（项）</w:t>
      </w:r>
      <w:r>
        <w:rPr>
          <w:rFonts w:hint="eastAsia" w:ascii="仿宋_GB2312" w:eastAsia="仿宋_GB2312"/>
          <w:b w:val="0"/>
          <w:bCs w:val="0"/>
          <w:color w:val="auto"/>
          <w:sz w:val="32"/>
          <w:szCs w:val="32"/>
          <w:highlight w:val="none"/>
        </w:rPr>
        <w:t>：</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学校教职工养老保险、失业保险、工伤保险及离退休等资金</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 w:hAnsi="仿宋" w:eastAsia="仿宋"/>
          <w:b w:val="0"/>
          <w:bCs w:val="0"/>
          <w:color w:val="auto"/>
          <w:sz w:val="32"/>
          <w:szCs w:val="32"/>
          <w:highlight w:val="none"/>
        </w:rPr>
        <w:t>卫生健康</w:t>
      </w:r>
      <w:r>
        <w:rPr>
          <w:rFonts w:hint="eastAsia" w:ascii="仿宋" w:hAnsi="仿宋" w:eastAsia="仿宋"/>
          <w:b w:val="0"/>
          <w:bCs w:val="0"/>
          <w:color w:val="auto"/>
          <w:sz w:val="32"/>
          <w:szCs w:val="32"/>
          <w:highlight w:val="none"/>
          <w:lang w:eastAsia="zh-CN"/>
        </w:rPr>
        <w:t>支出</w:t>
      </w:r>
      <w:r>
        <w:rPr>
          <w:rStyle w:val="14"/>
          <w:rFonts w:hint="eastAsia" w:ascii="仿宋" w:hAnsi="仿宋" w:eastAsia="仿宋"/>
          <w:b w:val="0"/>
          <w:bCs w:val="0"/>
          <w:color w:val="auto"/>
          <w:sz w:val="32"/>
          <w:szCs w:val="32"/>
          <w:highlight w:val="none"/>
        </w:rPr>
        <w:t>（类）</w:t>
      </w:r>
      <w:r>
        <w:rPr>
          <w:rStyle w:val="14"/>
          <w:rFonts w:hint="eastAsia" w:ascii="仿宋" w:hAnsi="仿宋" w:eastAsia="仿宋"/>
          <w:b w:val="0"/>
          <w:bCs w:val="0"/>
          <w:color w:val="auto"/>
          <w:sz w:val="32"/>
          <w:szCs w:val="32"/>
          <w:highlight w:val="none"/>
          <w:lang w:eastAsia="zh-CN"/>
        </w:rPr>
        <w:t>行政事业单位医疗</w:t>
      </w:r>
      <w:r>
        <w:rPr>
          <w:rStyle w:val="14"/>
          <w:rFonts w:hint="eastAsia" w:ascii="仿宋" w:hAnsi="仿宋" w:eastAsia="仿宋"/>
          <w:b w:val="0"/>
          <w:bCs w:val="0"/>
          <w:color w:val="auto"/>
          <w:sz w:val="32"/>
          <w:szCs w:val="32"/>
          <w:highlight w:val="none"/>
        </w:rPr>
        <w:t>（款）</w:t>
      </w:r>
      <w:r>
        <w:rPr>
          <w:rStyle w:val="14"/>
          <w:rFonts w:hint="eastAsia" w:ascii="仿宋" w:hAnsi="仿宋" w:eastAsia="仿宋"/>
          <w:b w:val="0"/>
          <w:bCs w:val="0"/>
          <w:color w:val="auto"/>
          <w:sz w:val="32"/>
          <w:szCs w:val="32"/>
          <w:highlight w:val="none"/>
          <w:lang w:eastAsia="zh-CN"/>
        </w:rPr>
        <w:t>事业单位医疗</w:t>
      </w:r>
      <w:r>
        <w:rPr>
          <w:rStyle w:val="14"/>
          <w:rFonts w:hint="eastAsia" w:ascii="仿宋" w:hAnsi="仿宋" w:eastAsia="仿宋"/>
          <w:b w:val="0"/>
          <w:bCs w:val="0"/>
          <w:color w:val="auto"/>
          <w:sz w:val="32"/>
          <w:szCs w:val="32"/>
          <w:highlight w:val="none"/>
        </w:rPr>
        <w:t>（项）</w:t>
      </w:r>
      <w:r>
        <w:rPr>
          <w:rFonts w:hint="eastAsia" w:ascii="仿宋_GB2312" w:eastAsia="仿宋_GB2312"/>
          <w:b w:val="0"/>
          <w:bCs w:val="0"/>
          <w:color w:val="auto"/>
          <w:sz w:val="32"/>
          <w:szCs w:val="32"/>
          <w:highlight w:val="none"/>
        </w:rPr>
        <w:t>：</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学校教职工医疗保险、生育保险等资金</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Style w:val="14"/>
          <w:rFonts w:hint="eastAsia" w:ascii="仿宋" w:hAnsi="仿宋" w:eastAsia="仿宋"/>
          <w:b w:val="0"/>
          <w:bCs w:val="0"/>
          <w:color w:val="auto"/>
          <w:sz w:val="32"/>
          <w:szCs w:val="32"/>
          <w:highlight w:val="none"/>
        </w:rPr>
        <w:t>住房保障</w:t>
      </w:r>
      <w:r>
        <w:rPr>
          <w:rStyle w:val="14"/>
          <w:rFonts w:hint="eastAsia" w:ascii="仿宋" w:hAnsi="仿宋" w:eastAsia="仿宋"/>
          <w:b w:val="0"/>
          <w:bCs w:val="0"/>
          <w:color w:val="auto"/>
          <w:sz w:val="32"/>
          <w:szCs w:val="32"/>
          <w:highlight w:val="none"/>
          <w:lang w:eastAsia="zh-CN"/>
        </w:rPr>
        <w:t>支出</w:t>
      </w:r>
      <w:r>
        <w:rPr>
          <w:rStyle w:val="14"/>
          <w:rFonts w:hint="eastAsia" w:ascii="仿宋" w:hAnsi="仿宋" w:eastAsia="仿宋"/>
          <w:b w:val="0"/>
          <w:bCs w:val="0"/>
          <w:color w:val="auto"/>
          <w:sz w:val="32"/>
          <w:szCs w:val="32"/>
          <w:highlight w:val="none"/>
        </w:rPr>
        <w:t>（类）住房改革</w:t>
      </w:r>
      <w:r>
        <w:rPr>
          <w:rStyle w:val="14"/>
          <w:rFonts w:hint="eastAsia" w:ascii="仿宋" w:hAnsi="仿宋" w:eastAsia="仿宋"/>
          <w:b w:val="0"/>
          <w:bCs w:val="0"/>
          <w:color w:val="auto"/>
          <w:sz w:val="32"/>
          <w:szCs w:val="32"/>
          <w:highlight w:val="none"/>
          <w:lang w:eastAsia="zh-CN"/>
        </w:rPr>
        <w:t>支出</w:t>
      </w:r>
      <w:r>
        <w:rPr>
          <w:rStyle w:val="14"/>
          <w:rFonts w:hint="eastAsia" w:ascii="仿宋" w:hAnsi="仿宋" w:eastAsia="仿宋"/>
          <w:b w:val="0"/>
          <w:bCs w:val="0"/>
          <w:color w:val="auto"/>
          <w:sz w:val="32"/>
          <w:szCs w:val="32"/>
          <w:highlight w:val="none"/>
        </w:rPr>
        <w:t>（款）住房公积金（项）</w:t>
      </w:r>
      <w:r>
        <w:rPr>
          <w:rFonts w:hint="eastAsia" w:ascii="仿宋_GB2312" w:eastAsia="仿宋_GB2312"/>
          <w:b w:val="0"/>
          <w:bCs w:val="0"/>
          <w:color w:val="auto"/>
          <w:sz w:val="32"/>
          <w:szCs w:val="32"/>
          <w:highlight w:val="none"/>
        </w:rPr>
        <w:t>：</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学校教职工住房公积金资金</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hint="eastAsia" w:ascii="黑体" w:hAnsi="黑体" w:eastAsia="黑体"/>
          <w:color w:val="auto"/>
          <w:sz w:val="44"/>
          <w:szCs w:val="44"/>
          <w:highlight w:val="none"/>
        </w:rPr>
      </w:pPr>
      <w:bookmarkStart w:id="51" w:name="_Toc15396614"/>
      <w:bookmarkStart w:id="52" w:name="_Toc15377226"/>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sectPr>
          <w:footerReference r:id="rId10" w:type="first"/>
          <w:footerReference r:id="rId9" w:type="default"/>
          <w:pgSz w:w="11906" w:h="16838"/>
          <w:pgMar w:top="1440" w:right="1800" w:bottom="1440" w:left="1800" w:header="851" w:footer="992" w:gutter="0"/>
          <w:pgNumType w:fmt="decimal" w:start="1"/>
          <w:cols w:space="425" w:num="1"/>
          <w:docGrid w:type="lines" w:linePitch="312" w:charSpace="0"/>
        </w:sectPr>
      </w:pPr>
    </w:p>
    <w:p>
      <w:pPr>
        <w:spacing w:line="600" w:lineRule="exact"/>
        <w:jc w:val="center"/>
        <w:outlineLvl w:val="0"/>
        <w:rPr>
          <w:rFonts w:hint="eastAsia" w:ascii="仿宋_GB2312" w:hAnsi="Calibri" w:eastAsia="仿宋_GB2312" w:cs="仿宋"/>
          <w:color w:val="auto"/>
          <w:kern w:val="0"/>
          <w:sz w:val="32"/>
          <w:szCs w:val="32"/>
          <w:highlight w:val="none"/>
          <w:lang w:val="en-US" w:eastAsia="zh-CN" w:bidi="ar-SA"/>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lang w:eastAsia="zh-CN"/>
        </w:rPr>
        <w:t>四</w:t>
      </w:r>
      <w:r>
        <w:rPr>
          <w:rStyle w:val="24"/>
          <w:rFonts w:hint="eastAsia" w:ascii="黑体" w:hAnsi="黑体" w:eastAsia="黑体"/>
          <w:b w:val="0"/>
          <w:color w:val="auto"/>
          <w:highlight w:val="none"/>
        </w:rPr>
        <w:t>部分</w:t>
      </w:r>
      <w:r>
        <w:rPr>
          <w:rStyle w:val="24"/>
          <w:rFonts w:hint="eastAsia" w:ascii="黑体" w:hAnsi="黑体" w:eastAsia="黑体"/>
          <w:b w:val="0"/>
          <w:color w:val="auto"/>
          <w:highlight w:val="none"/>
          <w:lang w:val="en-US" w:eastAsia="zh-CN"/>
        </w:rPr>
        <w:t xml:space="preserve"> </w:t>
      </w:r>
      <w:r>
        <w:rPr>
          <w:rStyle w:val="24"/>
          <w:rFonts w:hint="eastAsia" w:ascii="黑体" w:hAnsi="黑体" w:eastAsia="黑体"/>
          <w:b w:val="0"/>
          <w:color w:val="auto"/>
          <w:highlight w:val="none"/>
        </w:rPr>
        <w:t>附件</w:t>
      </w:r>
      <w:bookmarkEnd w:id="51"/>
      <w:bookmarkStart w:id="53" w:name="_Toc15396618"/>
    </w:p>
    <w:p>
      <w:pPr>
        <w:pStyle w:val="2"/>
        <w:rPr>
          <w:rFonts w:hint="eastAsia" w:ascii="仿宋_GB2312" w:hAnsi="Calibri" w:eastAsia="仿宋_GB2312" w:cs="仿宋"/>
          <w:color w:val="auto"/>
          <w:kern w:val="0"/>
          <w:sz w:val="32"/>
          <w:szCs w:val="32"/>
          <w:highlight w:val="none"/>
          <w:lang w:val="en-US" w:eastAsia="zh-CN" w:bidi="ar-SA"/>
        </w:rPr>
      </w:pPr>
    </w:p>
    <w:tbl>
      <w:tblPr>
        <w:tblStyle w:val="12"/>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0"/>
        <w:gridCol w:w="2257"/>
        <w:gridCol w:w="520"/>
        <w:gridCol w:w="1672"/>
        <w:gridCol w:w="520"/>
        <w:gridCol w:w="1090"/>
        <w:gridCol w:w="505"/>
        <w:gridCol w:w="486"/>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51090422T000006602396-2022年义教免作业本费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免去学校所有学生的作业本费。</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全部免除，每人每期免除15元。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340" w:firstLineChars="1300"/>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每生每期直接发放价值</w:t>
            </w:r>
            <w:r>
              <w:rPr>
                <w:rFonts w:hint="eastAsia" w:ascii="宋体" w:hAnsi="宋体" w:eastAsia="宋体" w:cs="宋体"/>
                <w:i w:val="0"/>
                <w:iCs w:val="0"/>
                <w:color w:val="000000"/>
                <w:sz w:val="18"/>
                <w:szCs w:val="18"/>
                <w:u w:val="none"/>
                <w:lang w:val="en-US" w:eastAsia="zh-CN"/>
              </w:rPr>
              <w:t>15元的作业本。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完成率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2500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全部完成对学校学生作业本费的减免，学生感受到了党和国家的温暖。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继续实施学生作业本减免，让国家政策落实到每一个学生。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项目负责人：侯强</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财务负责人：王新强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对本校四类儿童和贫困学生给予</w:t>
            </w:r>
            <w:r>
              <w:rPr>
                <w:rFonts w:ascii="宋体" w:hAnsi="宋体" w:eastAsia="宋体" w:cs="宋体"/>
                <w:i w:val="0"/>
                <w:iCs w:val="0"/>
                <w:color w:val="000000"/>
                <w:kern w:val="0"/>
                <w:sz w:val="18"/>
                <w:szCs w:val="18"/>
                <w:u w:val="none"/>
                <w:lang w:val="en-US" w:eastAsia="zh-CN" w:bidi="ar"/>
              </w:rPr>
              <w:t>困难学生生活补助</w:t>
            </w:r>
            <w:r>
              <w:rPr>
                <w:rFonts w:hint="eastAsia" w:ascii="宋体" w:hAnsi="宋体" w:eastAsia="宋体" w:cs="宋体"/>
                <w:i w:val="0"/>
                <w:iCs w:val="0"/>
                <w:color w:val="000000"/>
                <w:kern w:val="0"/>
                <w:sz w:val="18"/>
                <w:szCs w:val="18"/>
                <w:u w:val="none"/>
                <w:lang w:val="en-US" w:eastAsia="zh-CN" w:bidi="ar"/>
              </w:rPr>
              <w:t>。</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eastAsia="zh-CN"/>
              </w:rPr>
              <w:t>给予</w:t>
            </w:r>
            <w:r>
              <w:rPr>
                <w:rFonts w:hint="eastAsia" w:ascii="宋体" w:hAnsi="宋体" w:eastAsia="宋体" w:cs="宋体"/>
                <w:i w:val="0"/>
                <w:iCs w:val="0"/>
                <w:color w:val="000000"/>
                <w:sz w:val="18"/>
                <w:szCs w:val="18"/>
                <w:u w:val="none"/>
                <w:lang w:eastAsia="zh-CN"/>
              </w:rPr>
              <w:t>本校四类儿童和贫困学生</w:t>
            </w:r>
            <w:r>
              <w:rPr>
                <w:rFonts w:hint="eastAsia" w:ascii="宋体" w:hAnsi="宋体" w:cs="宋体"/>
                <w:i w:val="0"/>
                <w:iCs w:val="0"/>
                <w:color w:val="000000"/>
                <w:sz w:val="18"/>
                <w:szCs w:val="18"/>
                <w:u w:val="none"/>
                <w:lang w:eastAsia="zh-CN"/>
              </w:rPr>
              <w:t>每人每期</w:t>
            </w:r>
            <w:r>
              <w:rPr>
                <w:rFonts w:hint="eastAsia" w:ascii="宋体" w:hAnsi="宋体" w:cs="宋体"/>
                <w:i w:val="0"/>
                <w:iCs w:val="0"/>
                <w:color w:val="000000"/>
                <w:sz w:val="18"/>
                <w:szCs w:val="18"/>
                <w:u w:val="none"/>
                <w:lang w:val="en-US" w:eastAsia="zh-CN"/>
              </w:rPr>
              <w:t>250元生活补助。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查询四类儿童和贫困学生，学生申请，班级评审，校级终审，上报学生资助中心，打卡发放。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0.83</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0.83</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eastAsia="zh-CN"/>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eastAsia="zh-CN"/>
              </w:rPr>
              <w:t>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eastAsia="zh-CN"/>
              </w:rPr>
              <w:t>完成率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eastAsia="zh-CN"/>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8300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全部完成对学校四类学生和贫困学生的生活补助，学生感受到了党和国家的温暖。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继续实施贫困学生生活补助，让国家政策落实到每一个贫困学生。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项目负责人：侯强</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财务负责人：王新强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51090422T000006818424-幼儿资助及幼儿发展资金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对本校四类儿童和贫困学生给予</w:t>
            </w:r>
            <w:r>
              <w:rPr>
                <w:rFonts w:ascii="宋体" w:hAnsi="宋体" w:eastAsia="宋体" w:cs="宋体"/>
                <w:i w:val="0"/>
                <w:iCs w:val="0"/>
                <w:color w:val="000000"/>
                <w:kern w:val="0"/>
                <w:sz w:val="18"/>
                <w:szCs w:val="18"/>
                <w:u w:val="none"/>
                <w:lang w:val="en-US" w:eastAsia="zh-CN" w:bidi="ar"/>
              </w:rPr>
              <w:t>困难学生</w:t>
            </w:r>
            <w:r>
              <w:rPr>
                <w:rFonts w:hint="eastAsia" w:ascii="宋体" w:hAnsi="宋体" w:eastAsia="宋体" w:cs="宋体"/>
                <w:i w:val="0"/>
                <w:iCs w:val="0"/>
                <w:color w:val="000000"/>
                <w:kern w:val="0"/>
                <w:sz w:val="18"/>
                <w:szCs w:val="18"/>
                <w:u w:val="none"/>
                <w:lang w:val="en-US" w:eastAsia="zh-CN" w:bidi="ar"/>
              </w:rPr>
              <w:t>保教费减免。</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z w:val="18"/>
                <w:szCs w:val="18"/>
                <w:u w:val="none"/>
                <w:lang w:eastAsia="zh-CN"/>
              </w:rPr>
              <w:t>给予</w:t>
            </w:r>
            <w:r>
              <w:rPr>
                <w:rFonts w:hint="eastAsia" w:ascii="宋体" w:hAnsi="宋体" w:eastAsia="宋体" w:cs="宋体"/>
                <w:i w:val="0"/>
                <w:iCs w:val="0"/>
                <w:color w:val="000000"/>
                <w:sz w:val="18"/>
                <w:szCs w:val="18"/>
                <w:u w:val="none"/>
                <w:lang w:eastAsia="zh-CN"/>
              </w:rPr>
              <w:t>本校</w:t>
            </w:r>
            <w:r>
              <w:rPr>
                <w:rFonts w:hint="eastAsia" w:ascii="宋体" w:hAnsi="宋体" w:cs="宋体"/>
                <w:i w:val="0"/>
                <w:iCs w:val="0"/>
                <w:color w:val="000000"/>
                <w:sz w:val="18"/>
                <w:szCs w:val="18"/>
                <w:u w:val="none"/>
                <w:lang w:val="en-US" w:eastAsia="zh-CN"/>
              </w:rPr>
              <w:t>2021年前入园</w:t>
            </w:r>
            <w:r>
              <w:rPr>
                <w:rFonts w:hint="eastAsia" w:ascii="宋体" w:hAnsi="宋体" w:eastAsia="宋体" w:cs="宋体"/>
                <w:i w:val="0"/>
                <w:iCs w:val="0"/>
                <w:color w:val="000000"/>
                <w:sz w:val="18"/>
                <w:szCs w:val="18"/>
                <w:u w:val="none"/>
                <w:lang w:eastAsia="zh-CN"/>
              </w:rPr>
              <w:t>四类儿童</w:t>
            </w:r>
            <w:r>
              <w:rPr>
                <w:rFonts w:hint="eastAsia" w:ascii="宋体" w:hAnsi="宋体" w:cs="宋体"/>
                <w:i w:val="0"/>
                <w:iCs w:val="0"/>
                <w:color w:val="000000"/>
                <w:sz w:val="18"/>
                <w:szCs w:val="18"/>
                <w:u w:val="none"/>
                <w:lang w:eastAsia="zh-CN"/>
              </w:rPr>
              <w:t>每人每期</w:t>
            </w:r>
            <w:r>
              <w:rPr>
                <w:rFonts w:hint="eastAsia" w:ascii="宋体" w:hAnsi="宋体" w:cs="宋体"/>
                <w:i w:val="0"/>
                <w:iCs w:val="0"/>
                <w:color w:val="000000"/>
                <w:sz w:val="18"/>
                <w:szCs w:val="18"/>
                <w:u w:val="none"/>
                <w:lang w:val="en-US" w:eastAsia="zh-CN"/>
              </w:rPr>
              <w:t>650元的保教费减免</w:t>
            </w:r>
            <w:r>
              <w:rPr>
                <w:rFonts w:hint="eastAsia" w:ascii="宋体" w:hAnsi="宋体" w:eastAsia="宋体" w:cs="宋体"/>
                <w:i w:val="0"/>
                <w:iCs w:val="0"/>
                <w:color w:val="000000"/>
                <w:sz w:val="18"/>
                <w:szCs w:val="18"/>
                <w:u w:val="none"/>
                <w:lang w:eastAsia="zh-CN"/>
              </w:rPr>
              <w:t>和贫困</w:t>
            </w:r>
            <w:r>
              <w:rPr>
                <w:rFonts w:hint="eastAsia" w:ascii="宋体" w:hAnsi="宋体" w:cs="宋体"/>
                <w:i w:val="0"/>
                <w:iCs w:val="0"/>
                <w:color w:val="000000"/>
                <w:sz w:val="18"/>
                <w:szCs w:val="18"/>
                <w:u w:val="none"/>
                <w:lang w:eastAsia="zh-CN"/>
              </w:rPr>
              <w:t>儿童每人每期</w:t>
            </w:r>
            <w:r>
              <w:rPr>
                <w:rFonts w:hint="eastAsia" w:ascii="宋体" w:hAnsi="宋体" w:cs="宋体"/>
                <w:i w:val="0"/>
                <w:iCs w:val="0"/>
                <w:color w:val="000000"/>
                <w:sz w:val="18"/>
                <w:szCs w:val="18"/>
                <w:u w:val="none"/>
                <w:lang w:val="en-US" w:eastAsia="zh-CN"/>
              </w:rPr>
              <w:t>500元的保教费减免。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查询四类儿童和贫困学生，学生申请，班级评审，校级终审，上报学生资助中心，打卡发放。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0.33</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0.33</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eastAsia="zh-CN"/>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eastAsia="zh-CN"/>
              </w:rPr>
              <w:t>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eastAsia="zh-CN"/>
              </w:rPr>
              <w:t>完成率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eastAsia="zh-CN"/>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8300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全部完成对学校四类儿童和贫困儿童的保教费减免，学生感受到了党和国家的温暖。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继续实施贫困儿童保教费减免，让国家政策落实到每一个贫困学生。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项目负责人：侯强</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财务负责人：王新强</w:t>
            </w:r>
          </w:p>
        </w:tc>
      </w:tr>
    </w:tbl>
    <w:p>
      <w:pPr>
        <w:pStyle w:val="2"/>
        <w:rPr>
          <w:rFonts w:hint="eastAsia" w:ascii="仿宋_GB2312" w:hAnsi="Calibri" w:eastAsia="仿宋_GB2312" w:cs="仿宋"/>
          <w:color w:val="auto"/>
          <w:kern w:val="0"/>
          <w:sz w:val="32"/>
          <w:szCs w:val="32"/>
          <w:highlight w:val="none"/>
          <w:lang w:val="en-US" w:eastAsia="zh-CN" w:bidi="ar-SA"/>
        </w:rPr>
        <w:sectPr>
          <w:footerReference r:id="rId11" w:type="default"/>
          <w:type w:val="continuous"/>
          <w:pgSz w:w="16838" w:h="11906" w:orient="landscape"/>
          <w:pgMar w:top="1800" w:right="1440" w:bottom="1800" w:left="1440" w:header="851" w:footer="992" w:gutter="0"/>
          <w:pgNumType w:fmt="decimal"/>
          <w:cols w:space="425" w:num="1"/>
          <w:docGrid w:type="lines" w:linePitch="312" w:charSpace="0"/>
        </w:sectPr>
      </w:pPr>
    </w:p>
    <w:p>
      <w:pPr>
        <w:pStyle w:val="2"/>
        <w:rPr>
          <w:rFonts w:hint="eastAsia" w:ascii="仿宋_GB2312" w:hAnsi="Calibri" w:eastAsia="仿宋_GB2312" w:cs="仿宋"/>
          <w:color w:val="auto"/>
          <w:kern w:val="0"/>
          <w:sz w:val="32"/>
          <w:szCs w:val="32"/>
          <w:highlight w:val="none"/>
          <w:lang w:val="en-US" w:eastAsia="zh-CN" w:bidi="ar-SA"/>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52"/>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57"/>
    </w:p>
    <w:p>
      <w:pPr>
        <w:pStyle w:val="4"/>
        <w:rPr>
          <w:rStyle w:val="25"/>
          <w:rFonts w:ascii="仿宋" w:hAnsi="仿宋" w:eastAsia="仿宋"/>
          <w:b w:val="0"/>
          <w:bCs w:val="0"/>
          <w:color w:val="auto"/>
          <w:highlight w:val="none"/>
        </w:rPr>
      </w:pPr>
      <w:bookmarkStart w:id="58"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5"/>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bookmarkStart w:id="64" w:name="_Toc15396629"/>
      <w:r>
        <w:rPr>
          <w:rStyle w:val="25"/>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p>
    <w:p>
      <w:pPr>
        <w:pStyle w:val="4"/>
        <w:rPr>
          <w:rFonts w:ascii="仿宋" w:hAnsi="仿宋" w:eastAsia="仿宋"/>
          <w:color w:val="auto"/>
          <w:highlight w:val="none"/>
        </w:rPr>
      </w:pPr>
      <w:bookmarkStart w:id="65" w:name="_Toc15396630"/>
      <w:r>
        <w:rPr>
          <w:rStyle w:val="25"/>
          <w:rFonts w:hint="eastAsia" w:ascii="仿宋" w:hAnsi="仿宋" w:eastAsia="仿宋"/>
          <w:b w:val="0"/>
          <w:bCs w:val="0"/>
          <w:color w:val="auto"/>
          <w:highlight w:val="none"/>
        </w:rPr>
        <w:t>十二、</w:t>
      </w:r>
      <w:bookmarkEnd w:id="65"/>
      <w:r>
        <w:rPr>
          <w:rStyle w:val="25"/>
          <w:rFonts w:hint="eastAsia" w:ascii="仿宋" w:hAnsi="仿宋" w:eastAsia="仿宋"/>
          <w:b w:val="0"/>
          <w:bCs w:val="0"/>
          <w:color w:val="auto"/>
          <w:highlight w:val="none"/>
          <w:lang w:eastAsia="zh-CN"/>
        </w:rPr>
        <w:t>国有资本经营预算财政拨款支出决算表</w:t>
      </w:r>
    </w:p>
    <w:p>
      <w:pPr>
        <w:pStyle w:val="4"/>
        <w:rPr>
          <w:rFonts w:hint="eastAsia" w:eastAsia="仿宋"/>
          <w:color w:val="auto"/>
          <w:highlight w:val="none"/>
          <w:lang w:eastAsia="zh-CN"/>
        </w:rPr>
      </w:pPr>
      <w:bookmarkStart w:id="66" w:name="_Toc15396631"/>
      <w:r>
        <w:rPr>
          <w:rStyle w:val="25"/>
          <w:rFonts w:hint="eastAsia" w:ascii="仿宋" w:hAnsi="仿宋" w:eastAsia="仿宋"/>
          <w:b w:val="0"/>
          <w:bCs w:val="0"/>
          <w:color w:val="auto"/>
          <w:highlight w:val="none"/>
        </w:rPr>
        <w:t>十三、</w:t>
      </w:r>
      <w:bookmarkEnd w:id="66"/>
      <w:r>
        <w:rPr>
          <w:rStyle w:val="25"/>
          <w:rFonts w:hint="eastAsia" w:ascii="仿宋" w:hAnsi="仿宋" w:eastAsia="仿宋"/>
          <w:b w:val="0"/>
          <w:bCs w:val="0"/>
          <w:color w:val="auto"/>
          <w:highlight w:val="none"/>
          <w:lang w:eastAsia="zh-CN"/>
        </w:rPr>
        <w:t>财政拨款“三公”经费支出决算表</w:t>
      </w:r>
    </w:p>
    <w:sectPr>
      <w:footerReference r:id="rId12" w:type="default"/>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宋体"/>
        <w:lang w:val="en-US"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09FE10"/>
    <w:multiLevelType w:val="singleLevel"/>
    <w:tmpl w:val="C209FE10"/>
    <w:lvl w:ilvl="0" w:tentative="0">
      <w:start w:val="4"/>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ZWI1YTVmYjBhNWUxY2VmZTcxY2Y0NDAwYTc2Mz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E5EB3"/>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A807714"/>
    <w:rsid w:val="0B8A37D8"/>
    <w:rsid w:val="0DB71EC1"/>
    <w:rsid w:val="0F0C5B71"/>
    <w:rsid w:val="10C055FF"/>
    <w:rsid w:val="118107EC"/>
    <w:rsid w:val="11DD6519"/>
    <w:rsid w:val="16BB723D"/>
    <w:rsid w:val="18015F3F"/>
    <w:rsid w:val="1BE8440E"/>
    <w:rsid w:val="1D077978"/>
    <w:rsid w:val="1D155CEE"/>
    <w:rsid w:val="20F57F95"/>
    <w:rsid w:val="236C71C7"/>
    <w:rsid w:val="240371BF"/>
    <w:rsid w:val="24347800"/>
    <w:rsid w:val="25260712"/>
    <w:rsid w:val="25711CC6"/>
    <w:rsid w:val="25C741E6"/>
    <w:rsid w:val="27842671"/>
    <w:rsid w:val="289F599A"/>
    <w:rsid w:val="29FD04D3"/>
    <w:rsid w:val="2ABE7A3E"/>
    <w:rsid w:val="2CA234A8"/>
    <w:rsid w:val="2EFA178C"/>
    <w:rsid w:val="30B46D73"/>
    <w:rsid w:val="319F7F4E"/>
    <w:rsid w:val="343502BD"/>
    <w:rsid w:val="364F3CC4"/>
    <w:rsid w:val="383D272C"/>
    <w:rsid w:val="384400E0"/>
    <w:rsid w:val="3938118D"/>
    <w:rsid w:val="39AE70AB"/>
    <w:rsid w:val="3AB66C4F"/>
    <w:rsid w:val="3C0C0783"/>
    <w:rsid w:val="3CD4741F"/>
    <w:rsid w:val="3F9F3A96"/>
    <w:rsid w:val="46C741C1"/>
    <w:rsid w:val="47392CA0"/>
    <w:rsid w:val="480768FB"/>
    <w:rsid w:val="48BF60AB"/>
    <w:rsid w:val="493C27E9"/>
    <w:rsid w:val="496F39ED"/>
    <w:rsid w:val="49FF41D3"/>
    <w:rsid w:val="4BE068DB"/>
    <w:rsid w:val="4BF6002B"/>
    <w:rsid w:val="4C8A7EA4"/>
    <w:rsid w:val="4EA665C4"/>
    <w:rsid w:val="4ECE2238"/>
    <w:rsid w:val="4FC067CC"/>
    <w:rsid w:val="4FC65F97"/>
    <w:rsid w:val="50E52366"/>
    <w:rsid w:val="51DB4B86"/>
    <w:rsid w:val="55333C3E"/>
    <w:rsid w:val="5627380D"/>
    <w:rsid w:val="57644E28"/>
    <w:rsid w:val="5F700CDD"/>
    <w:rsid w:val="628836EC"/>
    <w:rsid w:val="64C57194"/>
    <w:rsid w:val="64CA39A1"/>
    <w:rsid w:val="661A0861"/>
    <w:rsid w:val="69630ADE"/>
    <w:rsid w:val="69893F26"/>
    <w:rsid w:val="6C4A05C8"/>
    <w:rsid w:val="6D3B1A89"/>
    <w:rsid w:val="6FF85970"/>
    <w:rsid w:val="71B72DEF"/>
    <w:rsid w:val="71BF4EC2"/>
    <w:rsid w:val="72734D90"/>
    <w:rsid w:val="72A9042B"/>
    <w:rsid w:val="72E353FB"/>
    <w:rsid w:val="7412278C"/>
    <w:rsid w:val="75705230"/>
    <w:rsid w:val="769907B6"/>
    <w:rsid w:val="77FC724F"/>
    <w:rsid w:val="79E7B28D"/>
    <w:rsid w:val="7ABE1ECD"/>
    <w:rsid w:val="7ADE3C00"/>
    <w:rsid w:val="7EAA5731"/>
    <w:rsid w:val="7EF667A6"/>
    <w:rsid w:val="7F48086E"/>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ysClr val="windowText" lastClr="000000"/>
                </a:solidFill>
              </a:rPr>
              <a:t>收、支决算总计变动情况图</a:t>
            </a:r>
            <a:endParaRPr b="1">
              <a:solidFill>
                <a:sysClr val="windowText" lastClr="000000"/>
              </a:solidFill>
            </a:endParaRPr>
          </a:p>
        </c:rich>
      </c:tx>
      <c:layout>
        <c:manualLayout>
          <c:xMode val="edge"/>
          <c:yMode val="edge"/>
          <c:x val="0.280946372239748"/>
          <c:y val="0.0190677966101695"/>
        </c:manualLayout>
      </c:layout>
      <c:overlay val="0"/>
      <c:spPr>
        <a:noFill/>
        <a:ln>
          <a:noFill/>
        </a:ln>
        <a:effectLst/>
      </c:spPr>
    </c:title>
    <c:autoTitleDeleted val="0"/>
    <c:plotArea>
      <c:layout>
        <c:manualLayout>
          <c:layoutTarget val="inner"/>
          <c:xMode val="edge"/>
          <c:yMode val="edge"/>
          <c:x val="0.0660694006309148"/>
          <c:y val="0.147033898305085"/>
          <c:w val="0.930145110410095"/>
          <c:h val="0.728728813559322"/>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363.5</c:v>
                </c:pt>
                <c:pt idx="1">
                  <c:v>316.56</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2021年</c:v>
                </c:pt>
                <c:pt idx="1">
                  <c:v>2022年</c:v>
                </c:pt>
              </c:strCache>
            </c:strRef>
          </c:cat>
          <c:val>
            <c:numRef>
              <c:f>Sheet1!$C$2:$C$3</c:f>
              <c:numCache>
                <c:formatCode>General</c:formatCode>
                <c:ptCount val="2"/>
                <c:pt idx="0">
                  <c:v>363.5</c:v>
                </c:pt>
                <c:pt idx="1">
                  <c:v>316.56</c:v>
                </c:pt>
              </c:numCache>
            </c:numRef>
          </c:val>
        </c:ser>
        <c:dLbls>
          <c:showLegendKey val="0"/>
          <c:showVal val="0"/>
          <c:showCatName val="0"/>
          <c:showSerName val="0"/>
          <c:showPercent val="0"/>
          <c:showBubbleSize val="0"/>
        </c:dLbls>
        <c:gapWidth val="219"/>
        <c:overlap val="-27"/>
        <c:axId val="393508658"/>
        <c:axId val="21631457"/>
      </c:barChart>
      <c:catAx>
        <c:axId val="3935086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631457"/>
        <c:crosses val="autoZero"/>
        <c:auto val="1"/>
        <c:lblAlgn val="ctr"/>
        <c:lblOffset val="100"/>
        <c:noMultiLvlLbl val="0"/>
      </c:catAx>
      <c:valAx>
        <c:axId val="216314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50865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1" i="0" u="none" strike="noStrike" kern="1200" baseline="0">
                <a:solidFill>
                  <a:schemeClr val="dk1">
                    <a:lumMod val="75000"/>
                    <a:lumOff val="25000"/>
                  </a:schemeClr>
                </a:solidFill>
                <a:latin typeface="+mn-lt"/>
                <a:ea typeface="+mn-ea"/>
                <a:cs typeface="+mn-cs"/>
              </a:defRPr>
            </a:pPr>
            <a:r>
              <a:rPr sz="1680"/>
              <a:t>收入决算结构图</a:t>
            </a:r>
            <a:endParaRPr sz="1680"/>
          </a:p>
        </c:rich>
      </c:tx>
      <c:layout/>
      <c:overlay val="0"/>
      <c:spPr>
        <a:noFill/>
        <a:ln>
          <a:noFill/>
        </a:ln>
        <a:effectLst/>
      </c:spPr>
    </c:title>
    <c:autoTitleDeleted val="0"/>
    <c:plotArea>
      <c:layout>
        <c:manualLayout>
          <c:layoutTarget val="inner"/>
          <c:xMode val="edge"/>
          <c:yMode val="edge"/>
          <c:x val="0.02275"/>
          <c:y val="0.139666666666667"/>
          <c:w val="0.61525"/>
          <c:h val="0.820333333333333"/>
        </c:manualLayout>
      </c:layout>
      <c:pieChart>
        <c:varyColors val="1"/>
        <c:ser>
          <c:idx val="0"/>
          <c:order val="0"/>
          <c:tx>
            <c:strRef>
              <c:f>Sheet1!$B$1</c:f>
              <c:strCache>
                <c:ptCount val="1"/>
                <c:pt idx="0">
                  <c:v>收入金额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Lbls>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4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316.56</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175"/>
          <c:y val="0.181833333333333"/>
          <c:w val="0.33325"/>
          <c:h val="0.795"/>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14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sz="14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1" i="0" u="none" strike="noStrike" kern="1200" spc="0" baseline="0">
                <a:solidFill>
                  <a:schemeClr val="tx1">
                    <a:lumMod val="65000"/>
                    <a:lumOff val="35000"/>
                  </a:schemeClr>
                </a:solidFill>
                <a:latin typeface="+mn-lt"/>
                <a:ea typeface="+mn-ea"/>
                <a:cs typeface="+mn-cs"/>
              </a:defRPr>
            </a:pPr>
            <a:r>
              <a:rPr sz="1680" b="1"/>
              <a:t>支出决算结构图</a:t>
            </a:r>
            <a:endParaRPr sz="1680" b="1"/>
          </a:p>
        </c:rich>
      </c:tx>
      <c:layout/>
      <c:overlay val="0"/>
      <c:spPr>
        <a:noFill/>
        <a:ln>
          <a:noFill/>
        </a:ln>
        <a:effectLst/>
      </c:spPr>
    </c:title>
    <c:autoTitleDeleted val="0"/>
    <c:plotArea>
      <c:layout/>
      <c:pieChart>
        <c:varyColors val="1"/>
        <c:ser>
          <c:idx val="0"/>
          <c:order val="0"/>
          <c:tx>
            <c:strRef>
              <c:f>Sheet1!$B$1</c:f>
              <c:strCache>
                <c:ptCount val="1"/>
                <c:pt idx="0">
                  <c:v>支出金额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265.46</c:v>
                </c:pt>
                <c:pt idx="1">
                  <c:v>23.85</c:v>
                </c:pt>
                <c:pt idx="2">
                  <c:v>9.7</c:v>
                </c:pt>
                <c:pt idx="3">
                  <c:v>17.55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400" b="1"/>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solidFill>
                  <a:sysClr val="windowText" lastClr="000000"/>
                </a:solidFill>
              </a:rPr>
              <a:t>财政拨款收、支决算总计变动情况</a:t>
            </a:r>
            <a:endParaRPr b="1">
              <a:solidFill>
                <a:sysClr val="windowText" lastClr="000000"/>
              </a:solidFill>
            </a:endParaRPr>
          </a:p>
        </c:rich>
      </c:tx>
      <c:layout/>
      <c:overlay val="0"/>
      <c:spPr>
        <a:noFill/>
        <a:ln>
          <a:noFill/>
        </a:ln>
        <a:effectLst/>
      </c:spPr>
    </c:title>
    <c:autoTitleDeleted val="0"/>
    <c:plotArea>
      <c:layout>
        <c:manualLayout>
          <c:layoutTarget val="inner"/>
          <c:xMode val="edge"/>
          <c:yMode val="edge"/>
          <c:x val="0.044575"/>
          <c:y val="0.1295"/>
          <c:w val="0.927925"/>
          <c:h val="0.716566666666667"/>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363.5</c:v>
                </c:pt>
                <c:pt idx="1">
                  <c:v>316.56</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2021年</c:v>
                </c:pt>
                <c:pt idx="1">
                  <c:v>2022年</c:v>
                </c:pt>
              </c:strCache>
            </c:strRef>
          </c:cat>
          <c:val>
            <c:numRef>
              <c:f>Sheet1!$C$2:$C$3</c:f>
              <c:numCache>
                <c:formatCode>General</c:formatCode>
                <c:ptCount val="2"/>
                <c:pt idx="0">
                  <c:v>363.5</c:v>
                </c:pt>
                <c:pt idx="1">
                  <c:v>316.56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973790793"/>
        <c:axId val="728289034"/>
      </c:barChart>
      <c:catAx>
        <c:axId val="9737907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728289034"/>
        <c:crosses val="autoZero"/>
        <c:auto val="1"/>
        <c:lblAlgn val="ctr"/>
        <c:lblOffset val="100"/>
        <c:noMultiLvlLbl val="0"/>
      </c:catAx>
      <c:valAx>
        <c:axId val="72828903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973790793"/>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1" i="0" u="none" strike="noStrike" kern="1200" spc="0" baseline="0">
                <a:solidFill>
                  <a:schemeClr val="tx1">
                    <a:lumMod val="65000"/>
                    <a:lumOff val="35000"/>
                  </a:schemeClr>
                </a:solidFill>
                <a:latin typeface="+mn-lt"/>
                <a:ea typeface="+mn-ea"/>
                <a:cs typeface="+mn-cs"/>
              </a:defRPr>
            </a:pPr>
            <a:r>
              <a:rPr sz="1680" b="1"/>
              <a:t>一般公共预算财政拨款支出决算变动情况</a:t>
            </a:r>
            <a:endParaRPr sz="1680"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支出金额</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362.98</c:v>
                </c:pt>
                <c:pt idx="1">
                  <c:v>316.56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257061013"/>
        <c:axId val="207069725"/>
      </c:barChart>
      <c:catAx>
        <c:axId val="2570610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crossAx val="207069725"/>
        <c:crosses val="autoZero"/>
        <c:auto val="1"/>
        <c:lblAlgn val="ctr"/>
        <c:lblOffset val="100"/>
        <c:noMultiLvlLbl val="0"/>
      </c:catAx>
      <c:valAx>
        <c:axId val="20706972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crossAx val="257061013"/>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1"/>
        <c:delete val="1"/>
      </c:legendEntry>
      <c:legendEntry>
        <c:idx val="2"/>
        <c:delete val="1"/>
      </c:legendEntry>
      <c:layout>
        <c:manualLayout>
          <c:xMode val="edge"/>
          <c:yMode val="edge"/>
          <c:x val="0.4225"/>
          <c:y val="0.8905"/>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400" b="1"/>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1" i="0" u="none" strike="noStrike" kern="1200" spc="0" baseline="0">
                <a:solidFill>
                  <a:schemeClr val="tx1">
                    <a:lumMod val="65000"/>
                    <a:lumOff val="35000"/>
                  </a:schemeClr>
                </a:solidFill>
                <a:latin typeface="+mn-lt"/>
                <a:ea typeface="+mn-ea"/>
                <a:cs typeface="+mn-cs"/>
              </a:defRPr>
            </a:pPr>
            <a:r>
              <a:rPr sz="1680" b="1"/>
              <a:t>支出决算结构图</a:t>
            </a:r>
            <a:endParaRPr sz="1680" b="1"/>
          </a:p>
        </c:rich>
      </c:tx>
      <c:layout/>
      <c:overlay val="0"/>
      <c:spPr>
        <a:noFill/>
        <a:ln>
          <a:noFill/>
        </a:ln>
        <a:effectLst/>
      </c:spPr>
    </c:title>
    <c:autoTitleDeleted val="0"/>
    <c:plotArea>
      <c:layout/>
      <c:pieChart>
        <c:varyColors val="1"/>
        <c:ser>
          <c:idx val="0"/>
          <c:order val="0"/>
          <c:tx>
            <c:strRef>
              <c:f>Sheet1!$B$1</c:f>
              <c:strCache>
                <c:ptCount val="1"/>
                <c:pt idx="0">
                  <c:v>支出金额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265.46</c:v>
                </c:pt>
                <c:pt idx="1">
                  <c:v>23.85</c:v>
                </c:pt>
                <c:pt idx="2">
                  <c:v>9.7</c:v>
                </c:pt>
                <c:pt idx="3">
                  <c:v>17.55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400" b="1"/>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5710</Words>
  <Characters>6395</Characters>
  <Lines>61</Lines>
  <Paragraphs>17</Paragraphs>
  <TotalTime>17</TotalTime>
  <ScaleCrop>false</ScaleCrop>
  <LinksUpToDate>false</LinksUpToDate>
  <CharactersWithSpaces>6422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2023-07-31T02:35:00Z</cp:lastPrinted>
  <dcterms:modified xsi:type="dcterms:W3CDTF">2023-08-25T02:59:42Z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50711E0FDF274960A4ECED48D8572E92_12</vt:lpwstr>
  </property>
</Properties>
</file>