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96597"/>
      <w:bookmarkStart w:id="4" w:name="_Toc15378441"/>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8442"/>
      <w:bookmarkStart w:id="8" w:name="_Toc15396476"/>
      <w:bookmarkStart w:id="9" w:name="_Toc15377194"/>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遂宁市安居区特殊教育学校单位决算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t>8</w:t>
      </w:r>
      <w:r>
        <w:rPr>
          <w:rFonts w:hint="eastAsia"/>
        </w:rPr>
        <w:t>月</w:t>
      </w:r>
      <w:r>
        <w:t>25</w:t>
      </w:r>
      <w:r>
        <w:rPr>
          <w:rFonts w:hint="eastAsia"/>
        </w:rPr>
        <w:t>日</w:t>
      </w:r>
    </w:p>
    <w:p/>
    <w:p>
      <w:pPr>
        <w:pStyle w:val="10"/>
        <w:adjustRightInd w:val="0"/>
        <w:snapToGrid w:val="0"/>
        <w:spacing w:before="0" w:line="440" w:lineRule="exact"/>
        <w:jc w:val="left"/>
        <w:rPr>
          <w:rFonts w:hint="eastAsia" w:eastAsia="仿宋" w:cstheme="minorBidi"/>
          <w:sz w:val="22"/>
          <w:szCs w:val="22"/>
          <w:lang w:val="en-US" w:eastAsia="zh-CN"/>
        </w:rPr>
      </w:pPr>
      <w:r>
        <w:rPr>
          <w:rFonts w:hint="eastAsia"/>
          <w:sz w:val="24"/>
        </w:rPr>
        <w:t>第一部分</w:t>
      </w:r>
      <w:r>
        <w:rPr>
          <w:sz w:val="24"/>
        </w:rPr>
        <w:t xml:space="preserve"> </w:t>
      </w:r>
      <w:r>
        <w:rPr>
          <w:rFonts w:hint="eastAsia"/>
          <w:sz w:val="24"/>
        </w:rPr>
        <w:t>单位概况</w:t>
      </w:r>
      <w:r>
        <w:rPr>
          <w:color w:val="auto"/>
        </w:rPr>
        <w:tab/>
      </w:r>
      <w:r>
        <w:rPr>
          <w:rFonts w:hint="eastAsia"/>
          <w:color w:val="auto"/>
          <w:sz w:val="21"/>
          <w:szCs w:val="21"/>
          <w:lang w:val="en-US" w:eastAsia="zh-CN"/>
        </w:rPr>
        <w:t>4</w:t>
      </w:r>
    </w:p>
    <w:p>
      <w:pPr>
        <w:pStyle w:val="11"/>
        <w:adjustRightInd w:val="0"/>
        <w:snapToGrid w:val="0"/>
        <w:spacing w:line="440" w:lineRule="exact"/>
        <w:jc w:val="left"/>
        <w:rPr>
          <w:rFonts w:hint="eastAsia" w:eastAsia="宋体"/>
          <w:sz w:val="24"/>
          <w:lang w:val="en-US" w:eastAsia="zh-CN"/>
        </w:rPr>
      </w:pPr>
      <w:r>
        <w:rPr>
          <w:rFonts w:hint="eastAsia"/>
          <w:sz w:val="24"/>
        </w:rPr>
        <w:t>一、主要职责</w:t>
      </w:r>
      <w:r>
        <w:rPr>
          <w:color w:val="auto"/>
        </w:rPr>
        <w:tab/>
      </w:r>
      <w:r>
        <w:rPr>
          <w:rFonts w:hint="eastAsia" w:ascii="仿宋" w:hAnsi="仿宋" w:eastAsia="仿宋" w:cs="仿宋"/>
          <w:color w:val="auto"/>
          <w:lang w:val="en-US" w:eastAsia="zh-CN"/>
        </w:rPr>
        <w:t>4</w:t>
      </w:r>
    </w:p>
    <w:p>
      <w:pPr>
        <w:pStyle w:val="11"/>
        <w:adjustRightInd w:val="0"/>
        <w:snapToGrid w:val="0"/>
        <w:spacing w:line="440" w:lineRule="exact"/>
        <w:jc w:val="left"/>
        <w:rPr>
          <w:rFonts w:hint="eastAsia" w:eastAsia="宋体"/>
          <w:lang w:val="en-US" w:eastAsia="zh-CN"/>
        </w:rPr>
      </w:pPr>
      <w:r>
        <w:rPr>
          <w:rFonts w:hint="eastAsia"/>
          <w:sz w:val="24"/>
        </w:rPr>
        <w:t>二、机构设置</w:t>
      </w:r>
      <w:r>
        <w:rPr>
          <w:color w:val="auto"/>
        </w:rPr>
        <w:tab/>
      </w:r>
      <w:r>
        <w:rPr>
          <w:rFonts w:hint="eastAsia"/>
          <w:color w:val="auto"/>
          <w:lang w:val="en-US" w:eastAsia="zh-CN"/>
        </w:rPr>
        <w:t>4</w:t>
      </w:r>
    </w:p>
    <w:p>
      <w:pPr>
        <w:pStyle w:val="10"/>
        <w:adjustRightInd w:val="0"/>
        <w:snapToGrid w:val="0"/>
        <w:spacing w:before="0" w:line="440" w:lineRule="exact"/>
        <w:jc w:val="left"/>
        <w:rPr>
          <w:rFonts w:hint="eastAsia" w:eastAsia="仿宋"/>
          <w:sz w:val="24"/>
          <w:szCs w:val="24"/>
          <w:lang w:val="en-US" w:eastAsia="zh-CN"/>
        </w:rPr>
      </w:pPr>
      <w:r>
        <w:rPr>
          <w:rFonts w:hint="eastAsia"/>
          <w:sz w:val="24"/>
        </w:rPr>
        <w:t>第二部分 2022年度单位决算情况说明</w:t>
      </w:r>
      <w:r>
        <w:rPr>
          <w:color w:val="auto"/>
        </w:rPr>
        <w:tab/>
      </w:r>
      <w:r>
        <w:rPr>
          <w:rFonts w:hint="eastAsia"/>
          <w:color w:val="auto"/>
          <w:sz w:val="21"/>
          <w:szCs w:val="21"/>
          <w:lang w:val="en-US" w:eastAsia="zh-CN"/>
        </w:rPr>
        <w:t>4</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color w:val="auto"/>
        </w:rPr>
        <w:tab/>
      </w:r>
      <w:r>
        <w:rPr>
          <w:rFonts w:hint="eastAsia"/>
          <w:color w:val="auto"/>
          <w:lang w:val="en-US" w:eastAsia="zh-CN"/>
        </w:rPr>
        <w:t>4</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color w:val="auto"/>
        </w:rPr>
        <w:tab/>
      </w:r>
      <w:r>
        <w:rPr>
          <w:rFonts w:hint="eastAsia"/>
          <w:color w:val="auto"/>
          <w:lang w:val="en-US" w:eastAsia="zh-CN"/>
        </w:rPr>
        <w:t>4</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color w:val="auto"/>
        </w:rPr>
        <w:tab/>
      </w:r>
      <w:r>
        <w:rPr>
          <w:rFonts w:hint="eastAsia"/>
          <w:color w:val="auto"/>
          <w:lang w:val="en-US" w:eastAsia="zh-CN"/>
        </w:rPr>
        <w:t>5</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color w:val="auto"/>
        </w:rPr>
        <w:tab/>
      </w:r>
      <w:r>
        <w:rPr>
          <w:rFonts w:hint="eastAsia"/>
          <w:color w:val="auto"/>
          <w:lang w:val="en-US" w:eastAsia="zh-CN"/>
        </w:rPr>
        <w:t>5</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color w:val="auto"/>
        </w:rPr>
        <w:tab/>
      </w:r>
      <w:r>
        <w:rPr>
          <w:rFonts w:hint="eastAsia"/>
          <w:color w:val="auto"/>
          <w:lang w:val="en-US" w:eastAsia="zh-CN"/>
        </w:rPr>
        <w:t>6</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六、一般公共预算财政拨款基本支出决算情况说明</w:t>
      </w:r>
      <w:r>
        <w:rPr>
          <w:color w:val="auto"/>
        </w:rPr>
        <w:tab/>
      </w:r>
      <w:r>
        <w:rPr>
          <w:rFonts w:hint="eastAsia"/>
          <w:color w:val="auto"/>
          <w:lang w:val="en-US" w:eastAsia="zh-CN"/>
        </w:rPr>
        <w:t>8</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七、财政拨款“三公”经费支出决算情况说明</w:t>
      </w:r>
      <w:r>
        <w:rPr>
          <w:color w:val="auto"/>
        </w:rPr>
        <w:tab/>
      </w:r>
      <w:r>
        <w:rPr>
          <w:rFonts w:hint="eastAsia"/>
          <w:color w:val="auto"/>
          <w:lang w:val="en-US" w:eastAsia="zh-CN"/>
        </w:rPr>
        <w:t>8</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八、政府性基金预算支出决算情况说明</w:t>
      </w:r>
      <w:r>
        <w:rPr>
          <w:color w:val="auto"/>
        </w:rPr>
        <w:tab/>
      </w:r>
      <w:r>
        <w:rPr>
          <w:rFonts w:hint="eastAsia"/>
          <w:color w:val="auto"/>
          <w:lang w:val="en-US" w:eastAsia="zh-CN"/>
        </w:rPr>
        <w:t>9</w:t>
      </w:r>
    </w:p>
    <w:p>
      <w:pPr>
        <w:pStyle w:val="11"/>
        <w:adjustRightInd w:val="0"/>
        <w:snapToGrid w:val="0"/>
        <w:spacing w:line="440" w:lineRule="exact"/>
        <w:jc w:val="left"/>
        <w:rPr>
          <w:rFonts w:hint="eastAsia" w:eastAsia="宋体"/>
          <w:sz w:val="24"/>
          <w:lang w:val="en-US" w:eastAsia="zh-CN"/>
        </w:rPr>
      </w:pPr>
      <w:r>
        <w:rPr>
          <w:rFonts w:hint="eastAsia"/>
          <w:sz w:val="24"/>
        </w:rPr>
        <w:t>九、国有资本经营预算支出决算情况说明</w:t>
      </w:r>
      <w:r>
        <w:rPr>
          <w:color w:val="auto"/>
        </w:rPr>
        <w:tab/>
      </w:r>
      <w:r>
        <w:rPr>
          <w:rFonts w:hint="eastAsia"/>
          <w:color w:val="auto"/>
          <w:lang w:val="en-US" w:eastAsia="zh-CN"/>
        </w:rPr>
        <w:t>9</w:t>
      </w:r>
    </w:p>
    <w:p>
      <w:pPr>
        <w:pStyle w:val="11"/>
        <w:adjustRightInd w:val="0"/>
        <w:snapToGrid w:val="0"/>
        <w:spacing w:line="440" w:lineRule="exact"/>
        <w:jc w:val="left"/>
        <w:rPr>
          <w:rFonts w:hint="eastAsia" w:eastAsia="宋体"/>
          <w:sz w:val="24"/>
          <w:lang w:val="en-US" w:eastAsia="zh-CN"/>
        </w:rPr>
      </w:pPr>
      <w:r>
        <w:rPr>
          <w:rFonts w:hint="eastAsia"/>
          <w:sz w:val="24"/>
        </w:rPr>
        <w:t>十、其他重要事项的情况说明</w:t>
      </w:r>
      <w:r>
        <w:rPr>
          <w:color w:val="auto"/>
        </w:rPr>
        <w:tab/>
      </w:r>
      <w:r>
        <w:rPr>
          <w:rFonts w:hint="eastAsia"/>
          <w:color w:val="auto"/>
          <w:lang w:val="en-US" w:eastAsia="zh-CN"/>
        </w:rPr>
        <w:t>9</w:t>
      </w:r>
    </w:p>
    <w:p>
      <w:pPr>
        <w:pStyle w:val="10"/>
        <w:adjustRightInd w:val="0"/>
        <w:snapToGrid w:val="0"/>
        <w:spacing w:before="0" w:line="440" w:lineRule="exact"/>
        <w:jc w:val="left"/>
        <w:rPr>
          <w:rFonts w:hint="default" w:eastAsia="仿宋" w:cstheme="minorBidi"/>
          <w:sz w:val="21"/>
          <w:szCs w:val="21"/>
          <w:lang w:val="en-US" w:eastAsia="zh-CN"/>
        </w:rPr>
      </w:pPr>
      <w:r>
        <w:rPr>
          <w:rFonts w:hint="eastAsia"/>
          <w:sz w:val="24"/>
        </w:rPr>
        <w:t>第三部分</w:t>
      </w:r>
      <w:r>
        <w:rPr>
          <w:sz w:val="24"/>
        </w:rPr>
        <w:t xml:space="preserve"> </w:t>
      </w:r>
      <w:r>
        <w:rPr>
          <w:rFonts w:hint="eastAsia"/>
          <w:sz w:val="24"/>
        </w:rPr>
        <w:t>名词解释</w:t>
      </w:r>
      <w:r>
        <w:rPr>
          <w:color w:val="auto"/>
        </w:rPr>
        <w:tab/>
      </w:r>
      <w:r>
        <w:rPr>
          <w:rFonts w:hint="eastAsia"/>
          <w:color w:val="auto"/>
          <w:sz w:val="21"/>
          <w:szCs w:val="21"/>
          <w:lang w:val="en-US" w:eastAsia="zh-CN"/>
        </w:rPr>
        <w:t>11</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color w:val="auto"/>
        </w:rPr>
        <w:tab/>
      </w:r>
      <w:r>
        <w:rPr>
          <w:rFonts w:hint="eastAsia"/>
          <w:color w:val="auto"/>
          <w:sz w:val="21"/>
          <w:szCs w:val="21"/>
          <w:lang w:val="en-US" w:eastAsia="zh-CN"/>
        </w:rPr>
        <w:t>13</w:t>
      </w:r>
    </w:p>
    <w:p>
      <w:pPr>
        <w:pStyle w:val="10"/>
        <w:adjustRightInd w:val="0"/>
        <w:snapToGrid w:val="0"/>
        <w:spacing w:before="0" w:line="440" w:lineRule="exact"/>
        <w:jc w:val="left"/>
        <w:rPr>
          <w:rFonts w:hint="default" w:eastAsia="仿宋" w:cstheme="minorBidi"/>
          <w:sz w:val="21"/>
          <w:szCs w:val="21"/>
          <w:lang w:val="en-US" w:eastAsia="zh-CN"/>
        </w:rPr>
      </w:pPr>
      <w:r>
        <w:rPr>
          <w:rFonts w:hint="eastAsia"/>
          <w:sz w:val="24"/>
        </w:rPr>
        <w:t>第五部分</w:t>
      </w:r>
      <w:r>
        <w:rPr>
          <w:sz w:val="24"/>
        </w:rPr>
        <w:t xml:space="preserve"> </w:t>
      </w:r>
      <w:r>
        <w:rPr>
          <w:rFonts w:hint="eastAsia"/>
          <w:sz w:val="24"/>
        </w:rPr>
        <w:t>附表</w:t>
      </w:r>
      <w:r>
        <w:rPr>
          <w:color w:val="auto"/>
        </w:rPr>
        <w:tab/>
      </w:r>
      <w:r>
        <w:rPr>
          <w:rFonts w:hint="eastAsia"/>
          <w:color w:val="auto"/>
          <w:sz w:val="21"/>
          <w:szCs w:val="21"/>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一、收入支出决算总表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二、收入决算表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三、支出决算表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五、财政拨款支出决算明细表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color w:val="auto"/>
        </w:rPr>
        <w:tab/>
      </w:r>
      <w:r>
        <w:rPr>
          <w:rFonts w:hint="eastAsia"/>
          <w:color w:val="auto"/>
          <w:lang w:val="en-US" w:eastAsia="zh-CN"/>
        </w:rPr>
        <w:t>14</w:t>
      </w:r>
    </w:p>
    <w:p>
      <w:pPr>
        <w:pStyle w:val="11"/>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color w:val="auto"/>
        </w:rPr>
        <w:tab/>
      </w:r>
      <w:r>
        <w:rPr>
          <w:rFonts w:hint="eastAsia"/>
          <w:color w:val="auto"/>
          <w:lang w:val="en-US" w:eastAsia="zh-CN"/>
        </w:rPr>
        <w:t>14</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pageBreakBefore w:val="0"/>
        <w:widowControl w:val="0"/>
        <w:numPr>
          <w:ilvl w:val="0"/>
          <w:numId w:val="1"/>
        </w:numPr>
        <w:kinsoku/>
        <w:wordWrap/>
        <w:overflowPunct/>
        <w:topLinePunct w:val="0"/>
        <w:autoSpaceDE/>
        <w:autoSpaceDN/>
        <w:bidi w:val="0"/>
        <w:adjustRightInd/>
        <w:spacing w:before="0" w:after="0"/>
        <w:textAlignment w:val="auto"/>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pageBreakBefore w:val="0"/>
        <w:widowControl w:val="0"/>
        <w:kinsoku/>
        <w:wordWrap/>
        <w:overflowPunct/>
        <w:topLinePunct w:val="0"/>
        <w:autoSpaceDE/>
        <w:autoSpaceDN/>
        <w:bidi w:val="0"/>
        <w:adjustRightInd/>
        <w:ind w:firstLine="707" w:firstLineChars="221"/>
        <w:textAlignment w:val="auto"/>
      </w:pPr>
      <w:r>
        <w:rPr>
          <w:rFonts w:hint="eastAsia" w:ascii="仿宋_GB2312" w:hAnsi="仿宋" w:eastAsia="仿宋_GB2312"/>
          <w:sz w:val="32"/>
          <w:szCs w:val="32"/>
        </w:rPr>
        <w:t>为本区适龄残疾儿童提供九年义务教育，发展全区特殊教育事业，培养学生良好的品行，劳动能力，促进残疾儿童健康发展，为其将来融入主流社会、幸福生活实施教育。</w:t>
      </w:r>
    </w:p>
    <w:p>
      <w:pPr>
        <w:pStyle w:val="4"/>
        <w:pageBreakBefore w:val="0"/>
        <w:widowControl w:val="0"/>
        <w:kinsoku/>
        <w:wordWrap/>
        <w:overflowPunct/>
        <w:topLinePunct w:val="0"/>
        <w:autoSpaceDE/>
        <w:autoSpaceDN/>
        <w:bidi w:val="0"/>
        <w:adjustRightInd/>
        <w:spacing w:before="0" w:after="0"/>
        <w:textAlignment w:val="auto"/>
        <w:rPr>
          <w:rFonts w:ascii="黑体" w:hAnsi="黑体" w:eastAsia="黑体"/>
          <w:b w:val="0"/>
        </w:rPr>
      </w:pPr>
      <w:r>
        <w:rPr>
          <w:rFonts w:hint="eastAsia" w:ascii="黑体" w:hAnsi="黑体" w:eastAsia="黑体"/>
          <w:b w:val="0"/>
        </w:rPr>
        <w:t>二、机构设置</w:t>
      </w:r>
    </w:p>
    <w:p>
      <w:pPr>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kern w:val="0"/>
          <w:sz w:val="32"/>
          <w:szCs w:val="32"/>
        </w:rPr>
      </w:pPr>
      <w:r>
        <w:rPr>
          <w:rFonts w:hint="eastAsia" w:ascii="仿宋_GB2312" w:hAnsi="仿宋" w:eastAsia="仿宋_GB2312"/>
          <w:sz w:val="32"/>
          <w:szCs w:val="32"/>
        </w:rPr>
        <w:t>机构数1个，附属机构无。编制数41人，实有在编36人。</w:t>
      </w:r>
      <w:bookmarkEnd w:id="14"/>
      <w:bookmarkEnd w:id="15"/>
    </w:p>
    <w:p>
      <w:pPr>
        <w:pStyle w:val="3"/>
        <w:pageBreakBefore w:val="0"/>
        <w:widowControl w:val="0"/>
        <w:kinsoku/>
        <w:wordWrap/>
        <w:overflowPunct/>
        <w:topLinePunct w:val="0"/>
        <w:autoSpaceDE/>
        <w:autoSpaceDN/>
        <w:bidi w:val="0"/>
        <w:adjustRightInd/>
        <w:spacing w:before="0" w:after="0"/>
        <w:ind w:right="440"/>
        <w:jc w:val="center"/>
        <w:textAlignment w:val="auto"/>
        <w:rPr>
          <w:rStyle w:val="24"/>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Pr>
        <w:pageBreakBefore w:val="0"/>
        <w:widowControl w:val="0"/>
        <w:kinsoku/>
        <w:wordWrap/>
        <w:overflowPunct/>
        <w:topLinePunct w:val="0"/>
        <w:autoSpaceDE/>
        <w:autoSpaceDN/>
        <w:bidi w:val="0"/>
        <w:adjustRightInd/>
        <w:textAlignment w:val="auto"/>
      </w:pPr>
    </w:p>
    <w:p>
      <w:pPr>
        <w:pStyle w:val="23"/>
        <w:pageBreakBefore w:val="0"/>
        <w:widowControl w:val="0"/>
        <w:numPr>
          <w:ilvl w:val="0"/>
          <w:numId w:val="2"/>
        </w:numPr>
        <w:kinsoku/>
        <w:wordWrap/>
        <w:overflowPunct/>
        <w:topLinePunct w:val="0"/>
        <w:autoSpaceDE/>
        <w:autoSpaceDN/>
        <w:bidi w:val="0"/>
        <w:adjustRightInd/>
        <w:spacing w:line="600" w:lineRule="exact"/>
        <w:ind w:firstLineChars="0"/>
        <w:textAlignment w:val="auto"/>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2022年度收、支总计</w:t>
      </w:r>
      <w:r>
        <w:rPr>
          <w:rFonts w:ascii="仿宋_GB2312" w:eastAsia="仿宋_GB2312" w:cs="仿宋_GB2312" w:hAnsiTheme="minorHAnsi"/>
          <w:color w:val="000000"/>
          <w:sz w:val="32"/>
          <w:szCs w:val="32"/>
          <w:lang w:val="zh-CN"/>
        </w:rPr>
        <w:t>774.47</w:t>
      </w:r>
      <w:r>
        <w:rPr>
          <w:rFonts w:hint="eastAsia" w:ascii="仿宋" w:hAnsi="仿宋" w:eastAsia="仿宋"/>
          <w:sz w:val="32"/>
          <w:szCs w:val="32"/>
        </w:rPr>
        <w:t>万元。与2021年相比，收、支总计各增加</w:t>
      </w:r>
      <w:r>
        <w:rPr>
          <w:rFonts w:ascii="仿宋_GB2312" w:eastAsia="仿宋_GB2312" w:cs="仿宋_GB2312" w:hAnsiTheme="minorHAnsi"/>
          <w:color w:val="000000"/>
          <w:sz w:val="32"/>
          <w:szCs w:val="32"/>
          <w:lang w:val="zh-CN"/>
        </w:rPr>
        <w:t>185.66</w:t>
      </w:r>
      <w:r>
        <w:rPr>
          <w:rFonts w:hint="eastAsia" w:ascii="仿宋" w:hAnsi="仿宋" w:eastAsia="仿宋"/>
          <w:sz w:val="32"/>
          <w:szCs w:val="32"/>
        </w:rPr>
        <w:t>万元，增长</w:t>
      </w:r>
      <w:r>
        <w:rPr>
          <w:rFonts w:ascii="仿宋" w:hAnsi="仿宋" w:eastAsia="仿宋"/>
          <w:sz w:val="32"/>
          <w:szCs w:val="32"/>
        </w:rPr>
        <w:t>31.53%</w:t>
      </w:r>
      <w:r>
        <w:rPr>
          <w:rFonts w:hint="eastAsia" w:ascii="仿宋" w:hAnsi="仿宋" w:eastAsia="仿宋"/>
          <w:sz w:val="32"/>
          <w:szCs w:val="32"/>
        </w:rPr>
        <w:t>。主要变动原因是政府增加投入。</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
        <w:spacing w:before="93"/>
      </w:pPr>
      <w:r>
        <w:drawing>
          <wp:inline distT="0" distB="0" distL="0" distR="0">
            <wp:extent cx="2162810" cy="1322070"/>
            <wp:effectExtent l="0" t="0" r="8890" b="0"/>
            <wp:docPr id="14424574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57451" name="图片 1"/>
                    <pic:cNvPicPr>
                      <a:picLocks noChangeAspect="1"/>
                    </pic:cNvPicPr>
                  </pic:nvPicPr>
                  <pic:blipFill>
                    <a:blip r:embed="rId6"/>
                    <a:stretch>
                      <a:fillRect/>
                    </a:stretch>
                  </pic:blipFill>
                  <pic:spPr>
                    <a:xfrm>
                      <a:off x="0" y="0"/>
                      <a:ext cx="2163170" cy="1322507"/>
                    </a:xfrm>
                    <a:prstGeom prst="rect">
                      <a:avLst/>
                    </a:prstGeom>
                  </pic:spPr>
                </pic:pic>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_GB2312" w:eastAsia="仿宋_GB2312" w:cs="仿宋_GB2312" w:hAnsiTheme="minorHAnsi"/>
          <w:color w:val="000000"/>
          <w:sz w:val="32"/>
          <w:szCs w:val="32"/>
          <w:lang w:val="zh-CN"/>
        </w:rPr>
        <w:t>774.47</w:t>
      </w:r>
      <w:r>
        <w:rPr>
          <w:rFonts w:hint="eastAsia" w:ascii="仿宋" w:hAnsi="仿宋" w:eastAsia="仿宋"/>
          <w:sz w:val="32"/>
          <w:szCs w:val="32"/>
        </w:rPr>
        <w:t>万元，其中：一般公共预算财政拨款收入</w:t>
      </w:r>
      <w:r>
        <w:rPr>
          <w:rFonts w:ascii="仿宋_GB2312" w:eastAsia="仿宋_GB2312" w:cs="仿宋_GB2312" w:hAnsiTheme="minorHAnsi"/>
          <w:color w:val="000000"/>
          <w:sz w:val="32"/>
          <w:szCs w:val="32"/>
          <w:lang w:val="zh-CN"/>
        </w:rPr>
        <w:t>763.86</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98.6%</w:t>
      </w:r>
      <w:r>
        <w:rPr>
          <w:rFonts w:hint="eastAsia" w:ascii="仿宋_GB2312" w:eastAsia="仿宋_GB2312" w:cs="仿宋_GB2312" w:hAnsiTheme="minorHAnsi"/>
          <w:color w:val="000000"/>
          <w:sz w:val="32"/>
          <w:szCs w:val="32"/>
          <w:lang w:val="zh-CN"/>
        </w:rPr>
        <w:t>；政府性基金预算财政拨款收入</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；国有资本经营预算财政拨款收入</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；上级补助收入</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；事业收入</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；经营收入</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；附属单位上缴收入</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；其他收入</w:t>
      </w:r>
      <w:r>
        <w:rPr>
          <w:rFonts w:ascii="仿宋_GB2312" w:eastAsia="仿宋_GB2312" w:cs="仿宋_GB2312" w:hAnsiTheme="minorHAnsi"/>
          <w:color w:val="000000"/>
          <w:sz w:val="32"/>
          <w:szCs w:val="32"/>
          <w:lang w:val="zh-CN"/>
        </w:rPr>
        <w:t>10.61</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1.4%</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r>
        <w:drawing>
          <wp:inline distT="0" distB="0" distL="0" distR="0">
            <wp:extent cx="1876425" cy="1233170"/>
            <wp:effectExtent l="0" t="0" r="0" b="5080"/>
            <wp:docPr id="151916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6779" name="图片 1"/>
                    <pic:cNvPicPr>
                      <a:picLocks noChangeAspect="1"/>
                    </pic:cNvPicPr>
                  </pic:nvPicPr>
                  <pic:blipFill>
                    <a:blip r:embed="rId7"/>
                    <a:stretch>
                      <a:fillRect/>
                    </a:stretch>
                  </pic:blipFill>
                  <pic:spPr>
                    <a:xfrm>
                      <a:off x="0" y="0"/>
                      <a:ext cx="1898045" cy="1247910"/>
                    </a:xfrm>
                    <a:prstGeom prst="rect">
                      <a:avLst/>
                    </a:prstGeom>
                  </pic:spPr>
                </pic:pic>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_GB2312" w:eastAsia="仿宋_GB2312" w:cs="仿宋_GB2312" w:hAnsiTheme="minorHAnsi"/>
          <w:color w:val="000000"/>
          <w:sz w:val="32"/>
          <w:szCs w:val="32"/>
          <w:lang w:val="zh-CN"/>
        </w:rPr>
        <w:t>774.47</w:t>
      </w:r>
      <w:r>
        <w:rPr>
          <w:rFonts w:hint="eastAsia" w:ascii="仿宋_GB2312" w:eastAsia="仿宋_GB2312" w:cs="仿宋_GB2312" w:hAnsiTheme="minorHAnsi"/>
          <w:color w:val="000000"/>
          <w:sz w:val="32"/>
          <w:szCs w:val="32"/>
          <w:lang w:val="zh-CN"/>
        </w:rPr>
        <w:t>万元，其中：基本支出</w:t>
      </w:r>
      <w:r>
        <w:rPr>
          <w:rFonts w:ascii="仿宋_GB2312" w:eastAsia="仿宋_GB2312" w:cs="仿宋_GB2312" w:hAnsiTheme="minorHAnsi"/>
          <w:color w:val="000000"/>
          <w:sz w:val="32"/>
          <w:szCs w:val="32"/>
          <w:lang w:val="zh-CN"/>
        </w:rPr>
        <w:t>622.11</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80.3%</w:t>
      </w:r>
      <w:r>
        <w:rPr>
          <w:rFonts w:hint="eastAsia" w:ascii="仿宋_GB2312" w:eastAsia="仿宋_GB2312" w:cs="仿宋_GB2312" w:hAnsiTheme="minorHAnsi"/>
          <w:color w:val="000000"/>
          <w:sz w:val="32"/>
          <w:szCs w:val="32"/>
          <w:lang w:val="zh-CN"/>
        </w:rPr>
        <w:t>；项目支出</w:t>
      </w:r>
      <w:r>
        <w:rPr>
          <w:rFonts w:ascii="仿宋_GB2312" w:eastAsia="仿宋_GB2312" w:cs="仿宋_GB2312" w:hAnsiTheme="minorHAnsi"/>
          <w:color w:val="000000"/>
          <w:sz w:val="32"/>
          <w:szCs w:val="32"/>
          <w:lang w:val="zh-CN"/>
        </w:rPr>
        <w:t>152.36</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19.7%</w:t>
      </w:r>
      <w:r>
        <w:rPr>
          <w:rFonts w:hint="eastAsia" w:ascii="仿宋_GB2312" w:eastAsia="仿宋_GB2312" w:cs="仿宋_GB2312" w:hAnsiTheme="minorHAnsi"/>
          <w:color w:val="000000"/>
          <w:sz w:val="32"/>
          <w:szCs w:val="32"/>
          <w:lang w:val="zh-CN"/>
        </w:rPr>
        <w:t>；上缴上级支出</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；经营支出</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；对附属单位补助支出</w:t>
      </w:r>
      <w:r>
        <w:rPr>
          <w:rFonts w:ascii="仿宋_GB2312" w:eastAsia="仿宋_GB2312" w:cs="仿宋_GB2312" w:hAnsiTheme="minorHAnsi"/>
          <w:color w:val="000000"/>
          <w:sz w:val="32"/>
          <w:szCs w:val="32"/>
          <w:lang w:val="zh-CN"/>
        </w:rPr>
        <w:t>0</w:t>
      </w:r>
      <w:r>
        <w:rPr>
          <w:rFonts w:hint="eastAsia" w:ascii="仿宋_GB2312" w:eastAsia="仿宋_GB2312" w:cs="仿宋_GB2312" w:hAnsiTheme="minorHAnsi"/>
          <w:color w:val="000000"/>
          <w:sz w:val="32"/>
          <w:szCs w:val="32"/>
          <w:lang w:val="zh-CN"/>
        </w:rPr>
        <w:t>万元，占</w:t>
      </w:r>
      <w:r>
        <w:rPr>
          <w:rFonts w:ascii="仿宋_GB2312" w:eastAsia="仿宋_GB2312" w:cs="仿宋_GB2312" w:hAnsiTheme="minorHAnsi"/>
          <w:color w:val="000000"/>
          <w:sz w:val="32"/>
          <w:szCs w:val="32"/>
          <w:lang w:val="zh-CN"/>
        </w:rPr>
        <w:t>0%</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378460</wp:posOffset>
            </wp:positionH>
            <wp:positionV relativeFrom="paragraph">
              <wp:posOffset>384175</wp:posOffset>
            </wp:positionV>
            <wp:extent cx="2613025" cy="1995805"/>
            <wp:effectExtent l="0" t="0" r="0" b="4445"/>
            <wp:wrapTopAndBottom/>
            <wp:docPr id="20588462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46252" name="图片 1"/>
                    <pic:cNvPicPr>
                      <a:picLocks noChangeAspect="1"/>
                    </pic:cNvPicPr>
                  </pic:nvPicPr>
                  <pic:blipFill>
                    <a:blip r:embed="rId8"/>
                    <a:stretch>
                      <a:fillRect/>
                    </a:stretch>
                  </pic:blipFill>
                  <pic:spPr>
                    <a:xfrm>
                      <a:off x="0" y="0"/>
                      <a:ext cx="2613025" cy="1995805"/>
                    </a:xfrm>
                    <a:prstGeom prst="rect">
                      <a:avLst/>
                    </a:prstGeom>
                  </pic:spPr>
                </pic:pic>
              </a:graphicData>
            </a:graphic>
          </wp:anchor>
        </w:drawing>
      </w: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_GB2312" w:eastAsia="仿宋_GB2312" w:cs="仿宋_GB2312" w:hAnsiTheme="minorHAnsi"/>
          <w:color w:val="000000"/>
          <w:sz w:val="32"/>
          <w:szCs w:val="32"/>
          <w:lang w:val="zh-CN"/>
        </w:rPr>
        <w:t>763.86</w:t>
      </w:r>
      <w:r>
        <w:rPr>
          <w:rFonts w:hint="eastAsia" w:ascii="仿宋_GB2312" w:eastAsia="仿宋_GB2312" w:cs="仿宋_GB2312" w:hAnsiTheme="minorHAnsi"/>
          <w:color w:val="000000"/>
          <w:sz w:val="32"/>
          <w:szCs w:val="32"/>
          <w:lang w:val="zh-CN"/>
        </w:rPr>
        <w:t>万元。与</w:t>
      </w:r>
      <w:r>
        <w:rPr>
          <w:rFonts w:ascii="仿宋_GB2312" w:eastAsia="仿宋_GB2312" w:cs="仿宋_GB2312" w:hAnsiTheme="minorHAnsi"/>
          <w:color w:val="000000"/>
          <w:sz w:val="32"/>
          <w:szCs w:val="32"/>
          <w:lang w:val="zh-CN"/>
        </w:rPr>
        <w:t>2021</w:t>
      </w:r>
      <w:r>
        <w:rPr>
          <w:rFonts w:hint="eastAsia" w:ascii="仿宋_GB2312" w:eastAsia="仿宋_GB2312" w:cs="仿宋_GB2312" w:hAnsiTheme="minorHAnsi"/>
          <w:color w:val="000000"/>
          <w:sz w:val="32"/>
          <w:szCs w:val="32"/>
          <w:lang w:val="zh-CN"/>
        </w:rPr>
        <w:t>年相比，财政拨款收、支总计各增加</w:t>
      </w:r>
      <w:r>
        <w:rPr>
          <w:rFonts w:ascii="仿宋_GB2312" w:eastAsia="仿宋_GB2312" w:cs="仿宋_GB2312" w:hAnsiTheme="minorHAnsi"/>
          <w:color w:val="000000"/>
          <w:sz w:val="32"/>
          <w:szCs w:val="32"/>
          <w:lang w:val="zh-CN"/>
        </w:rPr>
        <w:t>175.05</w:t>
      </w:r>
      <w:r>
        <w:rPr>
          <w:rFonts w:hint="eastAsia" w:ascii="仿宋_GB2312" w:eastAsia="仿宋_GB2312" w:cs="仿宋_GB2312" w:hAnsiTheme="minorHAnsi"/>
          <w:color w:val="000000"/>
          <w:sz w:val="32"/>
          <w:szCs w:val="32"/>
          <w:lang w:val="zh-CN"/>
        </w:rPr>
        <w:t>万元，增长</w:t>
      </w:r>
      <w:r>
        <w:rPr>
          <w:rFonts w:ascii="仿宋_GB2312" w:eastAsia="仿宋_GB2312" w:cs="仿宋_GB2312" w:hAnsiTheme="minorHAnsi"/>
          <w:color w:val="000000"/>
          <w:sz w:val="32"/>
          <w:szCs w:val="32"/>
          <w:lang w:val="zh-CN"/>
        </w:rPr>
        <w:t>29.73%</w:t>
      </w:r>
      <w:r>
        <w:rPr>
          <w:rFonts w:hint="eastAsia" w:ascii="仿宋" w:hAnsi="仿宋" w:eastAsia="仿宋"/>
          <w:sz w:val="32"/>
          <w:szCs w:val="32"/>
        </w:rPr>
        <w:t>。主要变动原因是政府增加投入。</w:t>
      </w:r>
    </w:p>
    <w:p>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207645</wp:posOffset>
            </wp:positionH>
            <wp:positionV relativeFrom="paragraph">
              <wp:posOffset>435610</wp:posOffset>
            </wp:positionV>
            <wp:extent cx="2783840" cy="1991995"/>
            <wp:effectExtent l="0" t="0" r="0" b="8890"/>
            <wp:wrapTopAndBottom/>
            <wp:docPr id="14440053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05392" name="图片 1"/>
                    <pic:cNvPicPr>
                      <a:picLocks noChangeAspect="1"/>
                    </pic:cNvPicPr>
                  </pic:nvPicPr>
                  <pic:blipFill>
                    <a:blip r:embed="rId9"/>
                    <a:stretch>
                      <a:fillRect/>
                    </a:stretch>
                  </pic:blipFill>
                  <pic:spPr>
                    <a:xfrm>
                      <a:off x="0" y="0"/>
                      <a:ext cx="2784143" cy="1991733"/>
                    </a:xfrm>
                    <a:prstGeom prst="rect">
                      <a:avLst/>
                    </a:prstGeom>
                  </pic:spPr>
                </pic:pic>
              </a:graphicData>
            </a:graphic>
          </wp:anchor>
        </w:drawing>
      </w: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_GB2312" w:eastAsia="仿宋_GB2312" w:cs="仿宋_GB2312" w:hAnsiTheme="minorHAnsi"/>
          <w:color w:val="000000"/>
          <w:sz w:val="32"/>
          <w:szCs w:val="32"/>
          <w:lang w:val="zh-CN"/>
        </w:rPr>
        <w:t>763.86</w:t>
      </w:r>
      <w:r>
        <w:rPr>
          <w:rFonts w:hint="eastAsia" w:ascii="仿宋_GB2312" w:eastAsia="仿宋_GB2312" w:cs="仿宋_GB2312" w:hAnsiTheme="minorHAnsi"/>
          <w:color w:val="000000"/>
          <w:sz w:val="32"/>
          <w:szCs w:val="32"/>
          <w:lang w:val="zh-CN"/>
        </w:rPr>
        <w:t>万元，占本年支出合计的</w:t>
      </w:r>
      <w:r>
        <w:rPr>
          <w:rFonts w:ascii="仿宋_GB2312" w:eastAsia="仿宋_GB2312" w:cs="仿宋_GB2312" w:hAnsiTheme="minorHAnsi"/>
          <w:color w:val="000000"/>
          <w:sz w:val="32"/>
          <w:szCs w:val="32"/>
          <w:lang w:val="zh-CN"/>
        </w:rPr>
        <w:t>98.6%</w:t>
      </w:r>
      <w:r>
        <w:rPr>
          <w:rFonts w:hint="eastAsia" w:ascii="仿宋_GB2312" w:eastAsia="仿宋_GB2312" w:cs="仿宋_GB2312" w:hAnsiTheme="minorHAnsi"/>
          <w:color w:val="000000"/>
          <w:sz w:val="32"/>
          <w:szCs w:val="32"/>
          <w:lang w:val="zh-CN"/>
        </w:rPr>
        <w:t>。与</w:t>
      </w:r>
      <w:r>
        <w:rPr>
          <w:rFonts w:ascii="仿宋_GB2312" w:eastAsia="仿宋_GB2312" w:cs="仿宋_GB2312" w:hAnsiTheme="minorHAnsi"/>
          <w:color w:val="000000"/>
          <w:sz w:val="32"/>
          <w:szCs w:val="32"/>
          <w:lang w:val="zh-CN"/>
        </w:rPr>
        <w:t>2021</w:t>
      </w:r>
      <w:r>
        <w:rPr>
          <w:rFonts w:hint="eastAsia" w:ascii="仿宋_GB2312" w:eastAsia="仿宋_GB2312" w:cs="仿宋_GB2312" w:hAnsiTheme="minorHAnsi"/>
          <w:color w:val="000000"/>
          <w:sz w:val="32"/>
          <w:szCs w:val="32"/>
          <w:lang w:val="zh-CN"/>
        </w:rPr>
        <w:t>年相比，一般公共预算财政拨款支出增加</w:t>
      </w:r>
      <w:r>
        <w:rPr>
          <w:rFonts w:ascii="仿宋_GB2312" w:eastAsia="仿宋_GB2312" w:cs="仿宋_GB2312" w:hAnsiTheme="minorHAnsi"/>
          <w:color w:val="000000"/>
          <w:sz w:val="32"/>
          <w:szCs w:val="32"/>
          <w:lang w:val="zh-CN"/>
        </w:rPr>
        <w:t>175.05</w:t>
      </w:r>
      <w:r>
        <w:rPr>
          <w:rFonts w:hint="eastAsia" w:ascii="仿宋_GB2312" w:eastAsia="仿宋_GB2312" w:cs="仿宋_GB2312" w:hAnsiTheme="minorHAnsi"/>
          <w:color w:val="000000"/>
          <w:sz w:val="32"/>
          <w:szCs w:val="32"/>
          <w:lang w:val="zh-CN"/>
        </w:rPr>
        <w:t>万元，增长</w:t>
      </w:r>
      <w:r>
        <w:rPr>
          <w:rFonts w:ascii="仿宋_GB2312" w:eastAsia="仿宋_GB2312" w:cs="仿宋_GB2312" w:hAnsiTheme="minorHAnsi"/>
          <w:color w:val="000000"/>
          <w:sz w:val="32"/>
          <w:szCs w:val="32"/>
          <w:lang w:val="zh-CN"/>
        </w:rPr>
        <w:t>/</w:t>
      </w:r>
      <w:r>
        <w:rPr>
          <w:rFonts w:hint="eastAsia" w:ascii="仿宋_GB2312" w:eastAsia="仿宋_GB2312" w:cs="仿宋_GB2312" w:hAnsiTheme="minorHAnsi"/>
          <w:color w:val="000000"/>
          <w:sz w:val="32"/>
          <w:szCs w:val="32"/>
          <w:lang w:val="zh-CN"/>
        </w:rPr>
        <w:t>下降</w:t>
      </w:r>
      <w:r>
        <w:rPr>
          <w:rFonts w:ascii="仿宋_GB2312" w:eastAsia="仿宋_GB2312" w:cs="仿宋_GB2312" w:hAnsiTheme="minorHAnsi"/>
          <w:color w:val="000000"/>
          <w:sz w:val="32"/>
          <w:szCs w:val="32"/>
          <w:lang w:val="zh-CN"/>
        </w:rPr>
        <w:t>29.73%</w:t>
      </w:r>
      <w:r>
        <w:rPr>
          <w:rFonts w:hint="eastAsia" w:ascii="仿宋_GB2312" w:eastAsia="仿宋_GB2312" w:cs="仿宋_GB2312" w:hAnsiTheme="minorHAnsi"/>
          <w:color w:val="000000"/>
          <w:sz w:val="32"/>
          <w:szCs w:val="32"/>
          <w:lang w:val="zh-CN"/>
        </w:rPr>
        <w:t>。</w:t>
      </w:r>
      <w:r>
        <w:rPr>
          <w:rFonts w:hint="eastAsia" w:ascii="仿宋" w:hAnsi="仿宋" w:eastAsia="仿宋"/>
          <w:sz w:val="32"/>
          <w:szCs w:val="32"/>
        </w:rPr>
        <w:t>主要变动原因是政府增加投入。</w:t>
      </w:r>
    </w:p>
    <w:p>
      <w:pPr>
        <w:spacing w:line="600" w:lineRule="exact"/>
        <w:ind w:firstLine="420" w:firstLineChars="20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548640</wp:posOffset>
            </wp:positionH>
            <wp:positionV relativeFrom="paragraph">
              <wp:posOffset>897255</wp:posOffset>
            </wp:positionV>
            <wp:extent cx="2770505" cy="1790065"/>
            <wp:effectExtent l="0" t="0" r="0" b="1270"/>
            <wp:wrapTopAndBottom/>
            <wp:docPr id="13485882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88280" name="图片 1"/>
                    <pic:cNvPicPr>
                      <a:picLocks noChangeAspect="1"/>
                    </pic:cNvPicPr>
                  </pic:nvPicPr>
                  <pic:blipFill>
                    <a:blip r:embed="rId10"/>
                    <a:stretch>
                      <a:fillRect/>
                    </a:stretch>
                  </pic:blipFill>
                  <pic:spPr>
                    <a:xfrm>
                      <a:off x="0" y="0"/>
                      <a:ext cx="2770496" cy="1789850"/>
                    </a:xfrm>
                    <a:prstGeom prst="rect">
                      <a:avLst/>
                    </a:prstGeom>
                  </pic:spPr>
                </pic:pic>
              </a:graphicData>
            </a:graphic>
          </wp:anchor>
        </w:drawing>
      </w: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763.86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教育支出</w:t>
      </w:r>
      <w:r>
        <w:rPr>
          <w:rFonts w:ascii="仿宋" w:hAnsi="仿宋" w:eastAsia="仿宋"/>
          <w:sz w:val="32"/>
          <w:szCs w:val="32"/>
        </w:rPr>
        <w:t>651.2</w:t>
      </w:r>
      <w:r>
        <w:rPr>
          <w:rFonts w:hint="eastAsia" w:ascii="仿宋" w:hAnsi="仿宋" w:eastAsia="仿宋"/>
          <w:sz w:val="32"/>
          <w:szCs w:val="32"/>
        </w:rPr>
        <w:t>万元，占</w:t>
      </w:r>
      <w:r>
        <w:rPr>
          <w:rFonts w:ascii="仿宋" w:hAnsi="仿宋" w:eastAsia="仿宋"/>
          <w:sz w:val="32"/>
          <w:szCs w:val="32"/>
        </w:rPr>
        <w:t>85.3%</w:t>
      </w:r>
      <w:r>
        <w:rPr>
          <w:rFonts w:hint="eastAsia" w:ascii="仿宋" w:hAnsi="仿宋" w:eastAsia="仿宋"/>
          <w:sz w:val="32"/>
          <w:szCs w:val="32"/>
        </w:rPr>
        <w:t>；社会保障和就业支出</w:t>
      </w:r>
      <w:r>
        <w:rPr>
          <w:rFonts w:ascii="仿宋" w:hAnsi="仿宋" w:eastAsia="仿宋"/>
          <w:sz w:val="32"/>
          <w:szCs w:val="32"/>
        </w:rPr>
        <w:t>46.78</w:t>
      </w:r>
      <w:r>
        <w:rPr>
          <w:rFonts w:hint="eastAsia" w:ascii="仿宋" w:hAnsi="仿宋" w:eastAsia="仿宋"/>
          <w:sz w:val="32"/>
          <w:szCs w:val="32"/>
        </w:rPr>
        <w:t>万元，占</w:t>
      </w:r>
      <w:r>
        <w:rPr>
          <w:rFonts w:ascii="仿宋" w:hAnsi="仿宋" w:eastAsia="仿宋"/>
          <w:sz w:val="32"/>
          <w:szCs w:val="32"/>
        </w:rPr>
        <w:t>6.1%</w:t>
      </w:r>
      <w:r>
        <w:rPr>
          <w:rFonts w:hint="eastAsia" w:ascii="仿宋" w:hAnsi="仿宋" w:eastAsia="仿宋"/>
          <w:sz w:val="32"/>
          <w:szCs w:val="32"/>
        </w:rPr>
        <w:t>；卫生健康支出</w:t>
      </w:r>
      <w:r>
        <w:rPr>
          <w:rFonts w:ascii="仿宋" w:hAnsi="仿宋" w:eastAsia="仿宋"/>
          <w:sz w:val="32"/>
          <w:szCs w:val="32"/>
        </w:rPr>
        <w:t>21.26</w:t>
      </w:r>
      <w:r>
        <w:rPr>
          <w:rFonts w:hint="eastAsia" w:ascii="仿宋" w:hAnsi="仿宋" w:eastAsia="仿宋"/>
          <w:sz w:val="32"/>
          <w:szCs w:val="32"/>
        </w:rPr>
        <w:t>万元，占</w:t>
      </w:r>
      <w:r>
        <w:rPr>
          <w:rFonts w:ascii="仿宋" w:hAnsi="仿宋" w:eastAsia="仿宋"/>
          <w:sz w:val="32"/>
          <w:szCs w:val="32"/>
        </w:rPr>
        <w:t>2.8%</w:t>
      </w:r>
      <w:r>
        <w:rPr>
          <w:rFonts w:hint="eastAsia" w:ascii="仿宋" w:hAnsi="仿宋" w:eastAsia="仿宋"/>
          <w:sz w:val="32"/>
          <w:szCs w:val="32"/>
        </w:rPr>
        <w:t>；住房保障支出</w:t>
      </w:r>
      <w:r>
        <w:rPr>
          <w:rFonts w:ascii="仿宋" w:hAnsi="仿宋" w:eastAsia="仿宋"/>
          <w:sz w:val="32"/>
          <w:szCs w:val="32"/>
        </w:rPr>
        <w:t>44.62</w:t>
      </w:r>
      <w:r>
        <w:rPr>
          <w:rFonts w:hint="eastAsia" w:ascii="仿宋" w:hAnsi="仿宋" w:eastAsia="仿宋"/>
          <w:sz w:val="32"/>
          <w:szCs w:val="32"/>
        </w:rPr>
        <w:t>万元，占</w:t>
      </w:r>
      <w:r>
        <w:rPr>
          <w:rFonts w:ascii="仿宋" w:hAnsi="仿宋" w:eastAsia="仿宋"/>
          <w:sz w:val="32"/>
          <w:szCs w:val="32"/>
        </w:rPr>
        <w:t>5.8%</w:t>
      </w:r>
      <w:r>
        <w:rPr>
          <w:rFonts w:hint="eastAsia" w:ascii="仿宋" w:hAnsi="仿宋" w:eastAsia="仿宋"/>
          <w:sz w:val="32"/>
          <w:szCs w:val="32"/>
        </w:rPr>
        <w:t>。</w:t>
      </w:r>
      <w:r>
        <w:drawing>
          <wp:anchor distT="0" distB="0" distL="114300" distR="114300" simplePos="0" relativeHeight="251662336" behindDoc="0" locked="0" layoutInCell="1" allowOverlap="1">
            <wp:simplePos x="0" y="0"/>
            <wp:positionH relativeFrom="column">
              <wp:posOffset>227965</wp:posOffset>
            </wp:positionH>
            <wp:positionV relativeFrom="paragraph">
              <wp:posOffset>781685</wp:posOffset>
            </wp:positionV>
            <wp:extent cx="1963420" cy="1453515"/>
            <wp:effectExtent l="0" t="0" r="0" b="0"/>
            <wp:wrapTopAndBottom/>
            <wp:docPr id="15081987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98782" name="图片 1"/>
                    <pic:cNvPicPr>
                      <a:picLocks noChangeAspect="1"/>
                    </pic:cNvPicPr>
                  </pic:nvPicPr>
                  <pic:blipFill>
                    <a:blip r:embed="rId11"/>
                    <a:stretch>
                      <a:fillRect/>
                    </a:stretch>
                  </pic:blipFill>
                  <pic:spPr>
                    <a:xfrm>
                      <a:off x="0" y="0"/>
                      <a:ext cx="1963650" cy="1453486"/>
                    </a:xfrm>
                    <a:prstGeom prst="rect">
                      <a:avLst/>
                    </a:prstGeom>
                  </pic:spPr>
                </pic:pic>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Style w:val="14"/>
          <w:rFonts w:hint="eastAsia" w:ascii="仿宋" w:hAnsi="仿宋" w:eastAsia="仿宋"/>
          <w:bCs/>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ascii="仿宋_GB2312" w:eastAsia="仿宋_GB2312" w:cs="仿宋_GB2312" w:hAnsiTheme="minorHAnsi"/>
          <w:b/>
          <w:bCs/>
          <w:color w:val="000000"/>
          <w:sz w:val="32"/>
          <w:szCs w:val="32"/>
          <w:lang w:val="zh-CN"/>
        </w:rPr>
        <w:t>763.86</w:t>
      </w:r>
      <w:r>
        <w:rPr>
          <w:rFonts w:hint="eastAsia" w:ascii="仿宋_GB2312" w:eastAsia="仿宋_GB2312" w:cs="仿宋_GB2312" w:hAnsiTheme="minorHAnsi"/>
          <w:b/>
          <w:bCs/>
          <w:color w:val="000000"/>
          <w:sz w:val="32"/>
          <w:szCs w:val="32"/>
          <w:lang w:val="zh-CN"/>
        </w:rPr>
        <w:t>万元</w:t>
      </w:r>
      <w:r>
        <w:rPr>
          <w:rFonts w:hint="eastAsia" w:ascii="仿宋_GB2312" w:eastAsia="仿宋_GB2312" w:cs="仿宋_GB2312" w:hAnsiTheme="minorHAnsi"/>
          <w:color w:val="000000"/>
          <w:sz w:val="32"/>
          <w:szCs w:val="32"/>
          <w:lang w:val="zh-CN"/>
        </w:rPr>
        <w:t>，</w:t>
      </w:r>
      <w:r>
        <w:rPr>
          <w:rFonts w:hint="eastAsia" w:ascii="仿宋_GB2312" w:eastAsia="仿宋_GB2312" w:cs="仿宋_GB2312" w:hAnsiTheme="minorHAnsi"/>
          <w:b/>
          <w:bCs/>
          <w:color w:val="000000"/>
          <w:sz w:val="32"/>
          <w:szCs w:val="32"/>
          <w:lang w:val="zh-CN"/>
        </w:rPr>
        <w:t>完成预算</w:t>
      </w:r>
      <w:r>
        <w:rPr>
          <w:rFonts w:ascii="仿宋_GB2312" w:eastAsia="仿宋_GB2312" w:cs="仿宋_GB2312" w:hAnsiTheme="minorHAnsi"/>
          <w:b/>
          <w:bCs/>
          <w:color w:val="000000"/>
          <w:sz w:val="32"/>
          <w:szCs w:val="32"/>
          <w:lang w:val="zh-CN"/>
        </w:rPr>
        <w:t>100%</w:t>
      </w:r>
      <w:r>
        <w:rPr>
          <w:rStyle w:val="14"/>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4"/>
          <w:rFonts w:hint="eastAsia" w:ascii="仿宋" w:hAnsi="仿宋" w:eastAsia="仿宋"/>
          <w:b w:val="0"/>
          <w:bCs/>
          <w:sz w:val="32"/>
          <w:szCs w:val="32"/>
          <w:lang w:eastAsia="zh-CN"/>
        </w:rPr>
      </w:pPr>
      <w:r>
        <w:rPr>
          <w:rFonts w:hint="eastAsia" w:ascii="仿宋_GB2312" w:hAnsi="仿宋_GB2312" w:eastAsia="仿宋_GB2312"/>
          <w:b/>
          <w:color w:val="000000"/>
          <w:kern w:val="2"/>
          <w:sz w:val="32"/>
          <w:szCs w:val="24"/>
          <w:lang w:val="en-US" w:eastAsia="zh-CN"/>
        </w:rPr>
        <w:t>1、教育（类）教育管理事务（款）其他教育管理事务支出（项）:</w:t>
      </w:r>
      <w:r>
        <w:rPr>
          <w:rStyle w:val="14"/>
          <w:rFonts w:ascii="仿宋_GB2312"/>
          <w:bCs/>
          <w:color w:val="auto"/>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651.20</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lang w:eastAsia="zh-CN"/>
        </w:rPr>
        <w:t>。</w:t>
      </w:r>
    </w:p>
    <w:p>
      <w:pPr>
        <w:numPr>
          <w:ilvl w:val="0"/>
          <w:numId w:val="0"/>
        </w:num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2、社会保障和就业（类）行政事业单位养老（款）机关事业单位基本养老保险缴费（项）:</w:t>
      </w:r>
      <w:r>
        <w:rPr>
          <w:rStyle w:val="14"/>
          <w:rFonts w:ascii="仿宋_GB2312"/>
          <w:bCs/>
          <w:color w:val="auto"/>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46.78</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3、卫生健康（类）行政事业单位医疗（款）事业单位医疗（项）:</w:t>
      </w:r>
      <w:r>
        <w:rPr>
          <w:rStyle w:val="14"/>
          <w:rFonts w:hint="eastAsia" w:ascii="仿宋" w:hAnsi="仿宋" w:eastAsia="仿宋"/>
          <w:b w:val="0"/>
          <w:bCs/>
          <w:sz w:val="32"/>
          <w:szCs w:val="32"/>
        </w:rPr>
        <w:t>支出决算为</w:t>
      </w:r>
      <w:r>
        <w:rPr>
          <w:rStyle w:val="14"/>
          <w:rFonts w:ascii="仿宋" w:hAnsi="仿宋" w:eastAsia="仿宋"/>
          <w:b w:val="0"/>
          <w:bCs/>
          <w:sz w:val="32"/>
          <w:szCs w:val="32"/>
        </w:rPr>
        <w:t>21.26</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cs="Times New Roman"/>
          <w:bCs/>
          <w:color w:val="auto"/>
          <w:sz w:val="32"/>
          <w:szCs w:val="32"/>
          <w:lang w:val="en-US" w:eastAsia="zh-CN"/>
        </w:rPr>
        <w:t>4. 住房保障（类）住房改革（款）住房公积金（项）:</w:t>
      </w:r>
      <w:r>
        <w:rPr>
          <w:rStyle w:val="14"/>
          <w:rFonts w:hint="eastAsia" w:ascii="仿宋" w:hAnsi="仿宋" w:eastAsia="仿宋"/>
          <w:b w:val="0"/>
          <w:bCs/>
          <w:sz w:val="32"/>
          <w:szCs w:val="32"/>
        </w:rPr>
        <w:t>支出决算为</w:t>
      </w:r>
      <w:r>
        <w:rPr>
          <w:rStyle w:val="14"/>
          <w:rFonts w:ascii="仿宋" w:hAnsi="仿宋" w:eastAsia="仿宋"/>
          <w:b w:val="0"/>
          <w:bCs/>
          <w:sz w:val="32"/>
          <w:szCs w:val="32"/>
        </w:rPr>
        <w:t>44.6,2</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_GB2312" w:eastAsia="仿宋_GB2312" w:cs="仿宋_GB2312" w:hAnsiTheme="minorHAnsi"/>
          <w:color w:val="000000"/>
          <w:sz w:val="32"/>
          <w:szCs w:val="32"/>
          <w:lang w:val="zh-CN"/>
        </w:rPr>
        <w:t>621.94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_GB2312" w:eastAsia="仿宋_GB2312" w:cs="仿宋_GB2312" w:hAnsiTheme="minorHAnsi"/>
          <w:color w:val="000000"/>
          <w:sz w:val="32"/>
          <w:szCs w:val="32"/>
          <w:lang w:val="zh-CN"/>
        </w:rPr>
        <w:t>532.77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_GB2312" w:eastAsia="仿宋_GB2312" w:cs="仿宋_GB2312" w:hAnsiTheme="minorHAnsi"/>
          <w:color w:val="000000"/>
          <w:sz w:val="32"/>
          <w:szCs w:val="32"/>
          <w:lang w:val="zh-CN"/>
        </w:rPr>
        <w:t>89.17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36" w:name="_Toc15396609"/>
      <w:bookmarkStart w:id="37"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，较上年增加/减少</w:t>
      </w:r>
      <w:r>
        <w:rPr>
          <w:rFonts w:ascii="仿宋" w:hAnsi="仿宋" w:eastAsia="仿宋"/>
          <w:sz w:val="32"/>
          <w:szCs w:val="32"/>
        </w:rPr>
        <w:t>0</w:t>
      </w:r>
      <w:r>
        <w:rPr>
          <w:rFonts w:hint="eastAsia" w:ascii="仿宋" w:hAnsi="仿宋" w:eastAsia="仿宋"/>
          <w:sz w:val="32"/>
          <w:szCs w:val="32"/>
        </w:rPr>
        <w:t>万元，增长/下降</w:t>
      </w:r>
      <w:r>
        <w:rPr>
          <w:rFonts w:ascii="仿宋" w:hAnsi="仿宋" w:eastAsia="仿宋"/>
          <w:sz w:val="32"/>
          <w:szCs w:val="32"/>
        </w:rPr>
        <w:t>0</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0</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bookmarkStart w:id="40" w:name="_Toc15377218"/>
      <w:bookmarkStart w:id="41"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4" w:name="_Toc15396612"/>
      <w:bookmarkStart w:id="45" w:name="_Toc15377221"/>
      <w:r>
        <w:rPr>
          <w:rStyle w:val="25"/>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w:t>
      </w:r>
      <w:r>
        <w:rPr>
          <w:rFonts w:ascii="仿宋_GB2312" w:eastAsia="仿宋_GB2312"/>
          <w:sz w:val="32"/>
          <w:szCs w:val="32"/>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s="仿宋_GB2312" w:hAnsiTheme="minorHAnsi"/>
          <w:color w:val="000000"/>
          <w:sz w:val="32"/>
          <w:szCs w:val="32"/>
          <w:lang w:val="zh-CN"/>
        </w:rPr>
        <w:t>四川省遂宁市安居区特殊教育学校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根据预算绩效管理要求，本单位在2022年度预算编制阶段，组织对安居区特殊教育学校项目1</w:t>
      </w:r>
      <w:r>
        <w:rPr>
          <w:rFonts w:hAnsi="仿宋_GB2312" w:cs="仿宋_GB2312"/>
          <w:sz w:val="32"/>
          <w:szCs w:val="32"/>
        </w:rPr>
        <w:t>4</w:t>
      </w:r>
      <w:r>
        <w:rPr>
          <w:rFonts w:hint="eastAsia" w:hAnsi="仿宋_GB2312" w:cs="仿宋_GB2312"/>
          <w:sz w:val="32"/>
          <w:szCs w:val="32"/>
        </w:rPr>
        <w:t>个项目开展了预算事前绩效评估，对1</w:t>
      </w:r>
      <w:r>
        <w:rPr>
          <w:rFonts w:hAnsi="仿宋_GB2312" w:cs="仿宋_GB2312"/>
          <w:sz w:val="32"/>
          <w:szCs w:val="32"/>
        </w:rPr>
        <w:t>4</w:t>
      </w:r>
      <w:r>
        <w:rPr>
          <w:rFonts w:hint="eastAsia" w:hAnsi="仿宋_GB2312" w:cs="仿宋_GB2312"/>
          <w:sz w:val="32"/>
          <w:szCs w:val="32"/>
        </w:rPr>
        <w:t>个项目编制了绩效目标，预算执行过程中，选取1</w:t>
      </w:r>
      <w:r>
        <w:rPr>
          <w:rFonts w:hAnsi="仿宋_GB2312" w:cs="仿宋_GB2312"/>
          <w:sz w:val="32"/>
          <w:szCs w:val="32"/>
        </w:rPr>
        <w:t>4</w:t>
      </w:r>
      <w:r>
        <w:rPr>
          <w:rFonts w:hint="eastAsia" w:hAnsi="仿宋_GB2312" w:cs="仿宋_GB2312"/>
          <w:sz w:val="32"/>
          <w:szCs w:val="32"/>
        </w:rPr>
        <w:t>个项目开展绩效监控，组织对</w:t>
      </w:r>
      <w:r>
        <w:rPr>
          <w:rFonts w:hAnsi="仿宋_GB2312" w:cs="仿宋_GB2312"/>
          <w:sz w:val="32"/>
          <w:szCs w:val="32"/>
        </w:rPr>
        <w:t>14</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教育类2050701指特殊学校教育，2050299-其他普通教育支出，2050799-其他特殊教育支出，2050203-初中教育。</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社会保障和就业类2080505指机关事业单位基本养老保险缴费支出，2089999-其他社会保障和就业支出。</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卫生健康类2101102：指事业单位医疗。</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住房保障类2210201：指住房公积金。</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4"/>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1028"/>
        <w:gridCol w:w="843"/>
        <w:gridCol w:w="1198"/>
        <w:gridCol w:w="406"/>
        <w:gridCol w:w="743"/>
        <w:gridCol w:w="397"/>
        <w:gridCol w:w="856"/>
        <w:gridCol w:w="576"/>
        <w:gridCol w:w="576"/>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51090421R000000028492-工资性支出-事业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遂宁市安居区特殊教育学校部门</w:t>
            </w:r>
          </w:p>
        </w:tc>
        <w:tc>
          <w:tcPr>
            <w:tcW w:w="501" w:type="pct"/>
            <w:tcBorders>
              <w:top w:val="nil"/>
              <w:left w:val="nil"/>
              <w:bottom w:val="nil"/>
              <w:right w:val="nil"/>
            </w:tcBorders>
            <w:shd w:val="clear"/>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452"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lang w:val="en-US" w:eastAsia="zh-CN" w:bidi="ar"/>
              </w:rPr>
              <w:t>全部按要求完成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hint="default" w:ascii="宋体" w:hAnsi="宋体" w:eastAsia="宋体" w:cs="宋体"/>
                <w:color w:val="000000"/>
                <w:sz w:val="18"/>
                <w:szCs w:val="18"/>
                <w:lang w:val="en-US" w:eastAsia="zh-CN"/>
              </w:rPr>
              <w:t>本项目涉及教职工</w:t>
            </w:r>
            <w:r>
              <w:rPr>
                <w:rFonts w:hint="eastAsia" w:ascii="宋体" w:hAnsi="宋体" w:eastAsia="宋体" w:cs="宋体"/>
                <w:color w:val="000000"/>
                <w:sz w:val="18"/>
                <w:szCs w:val="18"/>
                <w:lang w:val="en-US" w:eastAsia="zh-CN"/>
              </w:rPr>
              <w:t>的工资待遇</w:t>
            </w:r>
            <w:r>
              <w:rPr>
                <w:rFonts w:hint="default" w:ascii="宋体" w:hAnsi="宋体" w:eastAsia="宋体" w:cs="宋体"/>
                <w:color w:val="000000"/>
                <w:sz w:val="18"/>
                <w:szCs w:val="18"/>
                <w:lang w:val="en-US" w:eastAsia="zh-CN"/>
              </w:rPr>
              <w:t>，按要求按月足额</w:t>
            </w:r>
            <w:r>
              <w:rPr>
                <w:rFonts w:hint="eastAsia" w:ascii="宋体" w:hAnsi="宋体" w:eastAsia="宋体" w:cs="宋体"/>
                <w:color w:val="000000"/>
                <w:sz w:val="18"/>
                <w:szCs w:val="18"/>
                <w:lang w:val="en-US" w:eastAsia="zh-CN"/>
              </w:rPr>
              <w:t>发放工资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248.73</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420.11</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420.11</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7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预算增加是因为增人及增资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248.73</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420.11</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420.11</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547"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color w:val="000000"/>
                <w:sz w:val="18"/>
                <w:szCs w:val="18"/>
                <w:lang w:val="en-US" w:eastAsia="zh-CN" w:bidi="ar"/>
              </w:rPr>
              <w:t>本年度</w:t>
            </w:r>
            <w:r>
              <w:rPr>
                <w:rFonts w:hint="default" w:ascii="宋体" w:hAnsi="宋体" w:eastAsia="宋体" w:cs="宋体"/>
                <w:color w:val="000000"/>
                <w:sz w:val="18"/>
                <w:szCs w:val="18"/>
                <w:lang w:val="en-US" w:eastAsia="zh-CN" w:bidi="ar"/>
              </w:rPr>
              <w:t>严格执行相关政策，</w:t>
            </w:r>
            <w:r>
              <w:rPr>
                <w:rFonts w:hint="eastAsia" w:ascii="微软雅黑" w:hAnsi="微软雅黑" w:eastAsia="微软雅黑" w:cs="微软雅黑"/>
                <w:color w:val="000000"/>
                <w:sz w:val="18"/>
                <w:szCs w:val="18"/>
                <w:lang w:val="en-US" w:eastAsia="zh-CN" w:bidi="ar"/>
              </w:rPr>
              <w:t>按月足额发放教职工工资，保障教职工的权益。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377"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项目负责人：张炳春</w:t>
            </w:r>
          </w:p>
        </w:tc>
        <w:tc>
          <w:tcPr>
            <w:tcW w:w="2622"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财务负责人：姚伟东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60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495"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03"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436"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51090421R000000028508-单位缴费-养老保险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遂宁市安居区特殊教育学校部门</w:t>
            </w:r>
          </w:p>
        </w:tc>
        <w:tc>
          <w:tcPr>
            <w:tcW w:w="50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452"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lang w:val="en-US" w:eastAsia="zh-CN" w:bidi="ar"/>
              </w:rPr>
              <w:t>全部按要求完成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hint="default" w:ascii="宋体" w:hAnsi="宋体" w:eastAsia="宋体" w:cs="宋体"/>
                <w:color w:val="000000"/>
                <w:sz w:val="18"/>
                <w:szCs w:val="18"/>
                <w:lang w:val="en-US" w:eastAsia="zh-CN"/>
              </w:rPr>
              <w:t>本项目涉及教职工养老保险缴费，按要求按月足额缴纳养老保险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38.44</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44.61</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44.61</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7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lang w:eastAsia="zh-CN"/>
              </w:rPr>
              <w:t>预算增加是因为增人及增资导致缴费增加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38.44</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44.61</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44.61</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49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按时发放率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结余率（计算方法为：结余数/预算数）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547"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color w:val="000000"/>
                <w:sz w:val="18"/>
                <w:szCs w:val="18"/>
                <w:lang w:val="en-US" w:eastAsia="zh-CN" w:bidi="ar"/>
              </w:rPr>
              <w:t>本年度</w:t>
            </w:r>
            <w:r>
              <w:rPr>
                <w:rFonts w:hint="default" w:ascii="宋体" w:hAnsi="宋体" w:eastAsia="宋体" w:cs="宋体"/>
                <w:color w:val="000000"/>
                <w:sz w:val="18"/>
                <w:szCs w:val="18"/>
                <w:lang w:val="en-US" w:eastAsia="zh-CN" w:bidi="ar"/>
              </w:rPr>
              <w:t>严格执行相关政策，</w:t>
            </w:r>
            <w:r>
              <w:rPr>
                <w:rFonts w:hint="eastAsia" w:ascii="微软雅黑" w:hAnsi="微软雅黑" w:eastAsia="微软雅黑" w:cs="微软雅黑"/>
                <w:color w:val="000000"/>
                <w:sz w:val="18"/>
                <w:szCs w:val="18"/>
                <w:lang w:val="en-US" w:eastAsia="zh-CN" w:bidi="ar"/>
              </w:rPr>
              <w:t>按月足额缴纳教职工养老保险，保障教职工的权益。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377"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项目负责人：张炳春</w:t>
            </w:r>
          </w:p>
        </w:tc>
        <w:tc>
          <w:tcPr>
            <w:tcW w:w="2622"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财务负责人：姚伟东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51090421R000000028512-单位缴费-事业医保（含生育和大额补充医保）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遂宁市安居区特殊教育学校部门</w:t>
            </w:r>
          </w:p>
        </w:tc>
        <w:tc>
          <w:tcPr>
            <w:tcW w:w="50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452"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lang w:val="en-US" w:eastAsia="zh-CN" w:bidi="ar"/>
              </w:rPr>
              <w:t>全部按要求完成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hint="default" w:ascii="宋体" w:hAnsi="宋体" w:eastAsia="宋体" w:cs="宋体"/>
                <w:color w:val="000000"/>
                <w:sz w:val="18"/>
                <w:szCs w:val="18"/>
                <w:lang w:val="en-US" w:eastAsia="zh-CN"/>
              </w:rPr>
              <w:t>本项目涉及教职工医疗保险缴费，按要求按月足额缴纳医疗保险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18.31</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20.76</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20.76</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7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lang w:eastAsia="zh-CN"/>
              </w:rPr>
              <w:t>预算增加是因为增人及增资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18.31</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20.76</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20.76</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49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按时发放率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结余率（计算方法为：结余数/预算数）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547"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color w:val="000000"/>
                <w:sz w:val="18"/>
                <w:szCs w:val="18"/>
                <w:lang w:val="en-US" w:eastAsia="zh-CN" w:bidi="ar"/>
              </w:rPr>
              <w:t>本年度</w:t>
            </w:r>
            <w:r>
              <w:rPr>
                <w:rFonts w:hint="default" w:ascii="宋体" w:hAnsi="宋体" w:eastAsia="宋体" w:cs="宋体"/>
                <w:color w:val="000000"/>
                <w:sz w:val="18"/>
                <w:szCs w:val="18"/>
                <w:lang w:val="en-US" w:eastAsia="zh-CN" w:bidi="ar"/>
              </w:rPr>
              <w:t>严格执行相关政策，</w:t>
            </w:r>
            <w:r>
              <w:rPr>
                <w:rFonts w:hint="eastAsia" w:ascii="微软雅黑" w:hAnsi="微软雅黑" w:eastAsia="微软雅黑" w:cs="微软雅黑"/>
                <w:color w:val="000000"/>
                <w:sz w:val="18"/>
                <w:szCs w:val="18"/>
                <w:lang w:val="en-US" w:eastAsia="zh-CN" w:bidi="ar"/>
              </w:rPr>
              <w:t>按月足额缴纳教职工医疗保险，保障教职工的权益。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377"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项目负责人：张炳春</w:t>
            </w:r>
          </w:p>
        </w:tc>
        <w:tc>
          <w:tcPr>
            <w:tcW w:w="2622"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财务负责人：姚伟东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51090421R000000028524-单位缴费-住房公积金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遂宁市安居区特殊教育学校部门</w:t>
            </w:r>
          </w:p>
        </w:tc>
        <w:tc>
          <w:tcPr>
            <w:tcW w:w="50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452"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lang w:val="en-US" w:eastAsia="zh-CN" w:bidi="ar"/>
              </w:rPr>
              <w:t>全部按要求完成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hint="default" w:ascii="宋体" w:hAnsi="宋体" w:eastAsia="宋体" w:cs="宋体"/>
                <w:color w:val="000000"/>
                <w:sz w:val="18"/>
                <w:szCs w:val="18"/>
                <w:lang w:val="en-US" w:eastAsia="zh-CN"/>
              </w:rPr>
              <w:t>本项目涉及教职工住房公积金缴费，按要求按月足额缴纳住房公积金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37.98</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44.62</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44.62</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7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lang w:eastAsia="zh-CN"/>
              </w:rPr>
              <w:t>预算增加是因为增人及增资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37.98</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44.62</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44.62</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49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按时发放率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结余率（计算方法为：结余数/预算数）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547"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color w:val="000000"/>
                <w:sz w:val="18"/>
                <w:szCs w:val="18"/>
                <w:lang w:val="en-US" w:eastAsia="zh-CN" w:bidi="ar"/>
              </w:rPr>
              <w:t>本年度</w:t>
            </w:r>
            <w:r>
              <w:rPr>
                <w:rFonts w:hint="default" w:ascii="宋体" w:hAnsi="宋体" w:eastAsia="宋体" w:cs="宋体"/>
                <w:color w:val="000000"/>
                <w:sz w:val="18"/>
                <w:szCs w:val="18"/>
                <w:lang w:val="en-US" w:eastAsia="zh-CN" w:bidi="ar"/>
              </w:rPr>
              <w:t>严格执行相关政策，</w:t>
            </w:r>
            <w:r>
              <w:rPr>
                <w:rFonts w:hint="eastAsia" w:ascii="微软雅黑" w:hAnsi="微软雅黑" w:eastAsia="微软雅黑" w:cs="微软雅黑"/>
                <w:color w:val="000000"/>
                <w:sz w:val="18"/>
                <w:szCs w:val="18"/>
                <w:lang w:val="en-US" w:eastAsia="zh-CN" w:bidi="ar"/>
              </w:rPr>
              <w:t>按月足额缴纳教职工住房公积金，保障教职工的权益。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377"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项目负责人：张炳春</w:t>
            </w:r>
          </w:p>
        </w:tc>
        <w:tc>
          <w:tcPr>
            <w:tcW w:w="2622"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财务负责人：姚伟东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51090421R000000029104-工会经费-事业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9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遂宁市安居区特殊教育学校部门</w:t>
            </w:r>
          </w:p>
        </w:tc>
        <w:tc>
          <w:tcPr>
            <w:tcW w:w="501" w:type="pct"/>
            <w:tcBorders>
              <w:top w:val="nil"/>
              <w:left w:val="nil"/>
              <w:bottom w:val="nil"/>
              <w:right w:val="nil"/>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452"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遂宁市安居区特殊教育学校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10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严格执行相关政策，保障工资及时发放、足额发放，预算编制科学合理，减少结余资金</w:t>
            </w:r>
          </w:p>
        </w:tc>
        <w:tc>
          <w:tcPr>
            <w:tcW w:w="195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lang w:val="en-US" w:eastAsia="zh-CN" w:bidi="ar"/>
              </w:rPr>
              <w:t>全部按要求完成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8" w:type="pct"/>
            <w:gridSpan w:val="9"/>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r>
              <w:rPr>
                <w:rFonts w:hint="default" w:ascii="宋体" w:hAnsi="宋体" w:eastAsia="宋体" w:cs="宋体"/>
                <w:color w:val="000000"/>
                <w:sz w:val="18"/>
                <w:szCs w:val="18"/>
                <w:lang w:val="en-US" w:eastAsia="zh-CN" w:bidi="ar"/>
              </w:rPr>
              <w:t>严格执行相关政策，及时拨付工会经费，保障工会活动的开展。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3.80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3.93</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3.93</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7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lang w:eastAsia="zh-CN"/>
              </w:rPr>
              <w:t>预算增加是因为增人及增资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3.80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3.93</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3.93</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906"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49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按时发放率</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7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结余率（计算方法为：结余数/预算数）</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22.5</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547"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7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color w:val="000000"/>
                <w:sz w:val="18"/>
                <w:szCs w:val="18"/>
                <w:lang w:val="en-US" w:eastAsia="zh-CN" w:bidi="ar"/>
              </w:rPr>
              <w:t>严格执行相关政策，及时拨付工会经费，保障工会活动的开展，保障教职工的权益。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377"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项目负责人：张炳春</w:t>
            </w:r>
          </w:p>
        </w:tc>
        <w:tc>
          <w:tcPr>
            <w:tcW w:w="2622"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财务负责人：姚伟东</w:t>
            </w:r>
          </w:p>
        </w:tc>
      </w:tr>
    </w:tbl>
    <w:p>
      <w:pPr>
        <w:spacing w:line="600" w:lineRule="exact"/>
        <w:jc w:val="center"/>
        <w:outlineLvl w:val="0"/>
        <w:rPr>
          <w:rFonts w:ascii="仿宋" w:hAnsi="仿宋" w:eastAsia="仿宋"/>
        </w:rPr>
      </w:pPr>
      <w:bookmarkStart w:id="67" w:name="_GoBack"/>
      <w:bookmarkEnd w:id="67"/>
      <w:r>
        <w:rPr>
          <w:rFonts w:hint="eastAsia" w:ascii="黑体" w:hAnsi="黑体" w:eastAsia="黑体"/>
          <w:sz w:val="44"/>
          <w:szCs w:val="44"/>
        </w:rPr>
        <w:t>第</w:t>
      </w:r>
      <w:r>
        <w:rPr>
          <w:rStyle w:val="24"/>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DDBD12-1697-4C68-9969-60509AA139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A839EE4-90AE-4458-92F0-F10E4176753D}"/>
  </w:font>
  <w:font w:name="Cambria">
    <w:panose1 w:val="02040503050406030204"/>
    <w:charset w:val="00"/>
    <w:family w:val="roman"/>
    <w:pitch w:val="default"/>
    <w:sig w:usb0="E00002FF" w:usb1="400004FF" w:usb2="00000000" w:usb3="00000000" w:csb0="2000019F" w:csb1="00000000"/>
    <w:embedRegular r:id="rId3" w:fontKey="{21CCF3A3-BF77-42F9-B5E1-72E9EFC233FA}"/>
  </w:font>
  <w:font w:name="仿宋_GB2312">
    <w:altName w:val="仿宋"/>
    <w:panose1 w:val="00000000000000000000"/>
    <w:charset w:val="86"/>
    <w:family w:val="modern"/>
    <w:pitch w:val="default"/>
    <w:sig w:usb0="00000000" w:usb1="00000000" w:usb2="00000010" w:usb3="00000000" w:csb0="00040000" w:csb1="00000000"/>
    <w:embedRegular r:id="rId4" w:fontKey="{789A0F1E-D6CF-453B-BFFD-DEDF962E7F08}"/>
  </w:font>
  <w:font w:name="仿宋">
    <w:panose1 w:val="02010609060101010101"/>
    <w:charset w:val="86"/>
    <w:family w:val="auto"/>
    <w:pitch w:val="default"/>
    <w:sig w:usb0="800002BF" w:usb1="38CF7CFA" w:usb2="00000016" w:usb3="00000000" w:csb0="00040001" w:csb1="00000000"/>
    <w:embedRegular r:id="rId5" w:fontKey="{6E18C495-03C2-49B0-A3F3-1DC2A6733BEE}"/>
  </w:font>
  <w:font w:name="方正小标宋简体">
    <w:panose1 w:val="02000000000000000000"/>
    <w:charset w:val="86"/>
    <w:family w:val="script"/>
    <w:pitch w:val="default"/>
    <w:sig w:usb0="00000001" w:usb1="08000000" w:usb2="00000000" w:usb3="00000000" w:csb0="00040000" w:csb1="00000000"/>
    <w:embedRegular r:id="rId6" w:fontKey="{11350FBE-88A3-4F8A-94D6-13D43A297CD3}"/>
  </w:font>
  <w:font w:name="微软雅黑">
    <w:panose1 w:val="020B0503020204020204"/>
    <w:charset w:val="86"/>
    <w:family w:val="auto"/>
    <w:pitch w:val="default"/>
    <w:sig w:usb0="80000287" w:usb1="280F3C52" w:usb2="00000016" w:usb3="00000000" w:csb0="0004001F" w:csb1="00000000"/>
    <w:embedRegular r:id="rId7" w:fontKey="{48506D68-2ACD-44F2-8321-45FD198961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GNmNGUyNzIzMmU4NzdmZmFkOGZlNDE3ZTlmZjUifQ=="/>
  </w:docVars>
  <w:rsids>
    <w:rsidRoot w:val="00F1361C"/>
    <w:rsid w:val="000222C6"/>
    <w:rsid w:val="0002549F"/>
    <w:rsid w:val="000268A8"/>
    <w:rsid w:val="000329B1"/>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6EC0"/>
    <w:rsid w:val="000E6613"/>
    <w:rsid w:val="000E7119"/>
    <w:rsid w:val="00114E9B"/>
    <w:rsid w:val="00142216"/>
    <w:rsid w:val="00144D6A"/>
    <w:rsid w:val="0014729F"/>
    <w:rsid w:val="00157BAB"/>
    <w:rsid w:val="001654D1"/>
    <w:rsid w:val="00174518"/>
    <w:rsid w:val="0018106D"/>
    <w:rsid w:val="001877A7"/>
    <w:rsid w:val="00187DDC"/>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4A75"/>
    <w:rsid w:val="003216A9"/>
    <w:rsid w:val="00335A74"/>
    <w:rsid w:val="0036440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316BA"/>
    <w:rsid w:val="005664BB"/>
    <w:rsid w:val="00566FFA"/>
    <w:rsid w:val="0057481D"/>
    <w:rsid w:val="0058486E"/>
    <w:rsid w:val="00585B33"/>
    <w:rsid w:val="0059014D"/>
    <w:rsid w:val="005B2F75"/>
    <w:rsid w:val="005B5C64"/>
    <w:rsid w:val="005C5337"/>
    <w:rsid w:val="005C6BD0"/>
    <w:rsid w:val="005D1C8B"/>
    <w:rsid w:val="005D468D"/>
    <w:rsid w:val="005D5CED"/>
    <w:rsid w:val="005E69E2"/>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0CA"/>
    <w:rsid w:val="006C1937"/>
    <w:rsid w:val="006F020C"/>
    <w:rsid w:val="007127B7"/>
    <w:rsid w:val="0071798E"/>
    <w:rsid w:val="007416B6"/>
    <w:rsid w:val="00746F48"/>
    <w:rsid w:val="0075404D"/>
    <w:rsid w:val="0076182A"/>
    <w:rsid w:val="00767B7E"/>
    <w:rsid w:val="007770C3"/>
    <w:rsid w:val="00780206"/>
    <w:rsid w:val="00784D24"/>
    <w:rsid w:val="00785FBA"/>
    <w:rsid w:val="00786E4A"/>
    <w:rsid w:val="007875EB"/>
    <w:rsid w:val="0079426B"/>
    <w:rsid w:val="007A2820"/>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1873"/>
    <w:rsid w:val="008939CD"/>
    <w:rsid w:val="008B10EB"/>
    <w:rsid w:val="008B768C"/>
    <w:rsid w:val="008C4DB1"/>
    <w:rsid w:val="008C4EAF"/>
    <w:rsid w:val="008C5176"/>
    <w:rsid w:val="008C7FD0"/>
    <w:rsid w:val="008E1DE7"/>
    <w:rsid w:val="008E707C"/>
    <w:rsid w:val="00900B08"/>
    <w:rsid w:val="00902155"/>
    <w:rsid w:val="00902FA3"/>
    <w:rsid w:val="009130BB"/>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189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10BE"/>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608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23253C"/>
    <w:rsid w:val="2EFA178C"/>
    <w:rsid w:val="30B46D73"/>
    <w:rsid w:val="319F7F4E"/>
    <w:rsid w:val="383D272C"/>
    <w:rsid w:val="39AE70AB"/>
    <w:rsid w:val="3A22155D"/>
    <w:rsid w:val="3C0C0783"/>
    <w:rsid w:val="3F9F3A96"/>
    <w:rsid w:val="468C3EB8"/>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5942B62"/>
    <w:rsid w:val="79E7B28D"/>
    <w:rsid w:val="7A5D622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14</Pages>
  <Words>3980</Words>
  <Characters>4381</Characters>
  <Lines>34</Lines>
  <Paragraphs>9</Paragraphs>
  <TotalTime>2</TotalTime>
  <ScaleCrop>false</ScaleCrop>
  <LinksUpToDate>false</LinksUpToDate>
  <CharactersWithSpaces>4430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2023-08-25T02:36:00Z</cp:lastPrinted>
  <dcterms:modified xsi:type="dcterms:W3CDTF">2023-08-25T07:24:48Z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776478887DFD43C1BBEBC3C80127D915_13</vt:lpwstr>
  </property>
</Properties>
</file>