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71" w:name="_GoBack"/>
      <w:bookmarkEnd w:id="71"/>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96597"/>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48"/>
          <w:szCs w:val="48"/>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sz w:val="48"/>
          <w:szCs w:val="48"/>
        </w:rPr>
        <w:t>四川省</w:t>
      </w:r>
      <w:bookmarkEnd w:id="0"/>
      <w:bookmarkStart w:id="11" w:name="_Toc15306268"/>
      <w:r>
        <w:rPr>
          <w:rFonts w:hint="eastAsia" w:ascii="方正小标宋简体" w:hAnsi="方正小标宋简体" w:eastAsia="方正小标宋简体" w:cs="方正小标宋简体"/>
          <w:sz w:val="48"/>
          <w:szCs w:val="48"/>
        </w:rPr>
        <w:t>遂宁市安居区东禅镇三联小学校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t>8</w:t>
      </w:r>
      <w:r>
        <w:rPr>
          <w:rFonts w:hint="eastAsia"/>
        </w:rPr>
        <w:t>月</w:t>
      </w:r>
      <w:r>
        <w:t>2</w:t>
      </w:r>
      <w:r>
        <w:rPr>
          <w:rFonts w:hint="eastAsia"/>
          <w:lang w:val="en-US" w:eastAsia="zh-CN"/>
        </w:rPr>
        <w:t>5</w:t>
      </w:r>
      <w:r>
        <w:rPr>
          <w:rFonts w:hint="eastAsia"/>
        </w:rPr>
        <w:t>日</w:t>
      </w:r>
    </w:p>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第一部分 单位概况 …………………………………………………………4</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 xml:space="preserve">一、主要职责  ………………………………………………………………4 </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二、机构设置  ………………………………………………………………4</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 xml:space="preserve">第二部分 2022年度单位决算情况说明 ……………………………………5 </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一、收入支出决算总体情况说明  …………………………………………5</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二、收入决算情况说明  ……………………………………………………5</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三、支出决算情况说明  ……………………………………………………6</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四、财政拨款收入支出决算总体情况说明  ………………………………7</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五、一般公共预算财政拨款支出决算情况说明  …………………………7</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六、一般公共预算财政拨款基本支出决算情况说明 ……………………10</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七、财政拨款“三公”经费支出决算情况说明 …………………………1</w:t>
      </w:r>
      <w:r>
        <w:rPr>
          <w:rFonts w:ascii="仿宋" w:hAnsi="仿宋" w:eastAsia="仿宋"/>
          <w:sz w:val="24"/>
          <w:szCs w:val="28"/>
        </w:rPr>
        <w:t>0</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八、政府性基金预算支出决算情况说 ……………………………………1</w:t>
      </w:r>
      <w:r>
        <w:rPr>
          <w:rFonts w:ascii="仿宋" w:hAnsi="仿宋" w:eastAsia="仿宋"/>
          <w:sz w:val="24"/>
          <w:szCs w:val="28"/>
        </w:rPr>
        <w:t>0</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九、国有资本经营预算支出决算情况说明 ………………………………11</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十、其他重要事项的情况说明 ……………………………………………11</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第三部分 名词解释…………………………………………………………12</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第四部分 附件………………………………………………………………1</w:t>
      </w:r>
      <w:r>
        <w:rPr>
          <w:rFonts w:ascii="仿宋" w:hAnsi="仿宋" w:eastAsia="仿宋"/>
          <w:sz w:val="24"/>
          <w:szCs w:val="28"/>
        </w:rPr>
        <w:t>7</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第五部分 附表………………………………………………………………2</w:t>
      </w:r>
      <w:r>
        <w:rPr>
          <w:rFonts w:ascii="仿宋" w:hAnsi="仿宋" w:eastAsia="仿宋"/>
          <w:sz w:val="24"/>
          <w:szCs w:val="28"/>
        </w:rPr>
        <w:t>1</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一、收入支出决算总表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二、收入决算表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三、支出决算表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四、财政拨款收入支出决算总表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五、财政拨款支出决算明细表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六、一般公共预算财政拨款支出决算表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七、一般公共预算财政拨款支出决算明细表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八、一般公共预算财政拨款基本支出决算明细表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九、一般公共预算财政拨款项目支出决算表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十、政府性基金预算财政拨款收入支出决算表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十一、国有资本经营预算财政拨款收入支出决算表</w:t>
      </w:r>
    </w:p>
    <w:p>
      <w:pPr>
        <w:widowControl/>
        <w:adjustRightInd w:val="0"/>
        <w:snapToGrid w:val="0"/>
        <w:spacing w:line="440" w:lineRule="exact"/>
        <w:ind w:firstLine="1320" w:firstLineChars="550"/>
        <w:jc w:val="left"/>
        <w:rPr>
          <w:rFonts w:hint="eastAsia" w:ascii="仿宋" w:hAnsi="仿宋" w:eastAsia="仿宋"/>
          <w:sz w:val="24"/>
          <w:szCs w:val="28"/>
        </w:rPr>
      </w:pPr>
      <w:r>
        <w:rPr>
          <w:rFonts w:hint="eastAsia" w:ascii="仿宋" w:hAnsi="仿宋" w:eastAsia="仿宋"/>
          <w:sz w:val="24"/>
          <w:szCs w:val="28"/>
        </w:rPr>
        <w:t>十二、国有资本经营预算财政拨款支出决算表</w:t>
      </w:r>
    </w:p>
    <w:p>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szCs w:val="28"/>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主要职责</w:t>
      </w:r>
    </w:p>
    <w:p>
      <w:pPr>
        <w:ind w:firstLine="640" w:firstLineChars="200"/>
        <w:rPr>
          <w:rFonts w:ascii="仿宋_GB2312" w:eastAsia="仿宋_GB2312"/>
          <w:sz w:val="32"/>
          <w:szCs w:val="32"/>
        </w:rPr>
      </w:pPr>
      <w:bookmarkStart w:id="16" w:name="_Hlk143088679"/>
      <w:r>
        <w:rPr>
          <w:rFonts w:hint="eastAsia" w:ascii="仿宋_GB2312" w:eastAsia="仿宋_GB2312"/>
          <w:sz w:val="32"/>
          <w:szCs w:val="32"/>
        </w:rPr>
        <w:t>单位宗旨和业务范围主要是实施小学义务教育，促进基础教育发展，负责小学学历教育及相关社会服务。</w:t>
      </w:r>
    </w:p>
    <w:bookmarkEnd w:id="16"/>
    <w:p>
      <w:pPr>
        <w:pStyle w:val="4"/>
        <w:rPr>
          <w:rFonts w:ascii="黑体" w:hAnsi="黑体" w:eastAsia="黑体"/>
          <w:b w:val="0"/>
        </w:rPr>
      </w:pPr>
      <w:r>
        <w:rPr>
          <w:rFonts w:hint="eastAsia" w:ascii="黑体" w:hAnsi="黑体" w:eastAsia="黑体"/>
          <w:b w:val="0"/>
        </w:rPr>
        <w:t>二、机构设置</w:t>
      </w:r>
    </w:p>
    <w:p>
      <w:pPr>
        <w:ind w:firstLine="640" w:firstLineChars="200"/>
        <w:rPr>
          <w:rFonts w:ascii="仿宋_GB2312" w:eastAsia="仿宋_GB2312"/>
          <w:sz w:val="32"/>
          <w:szCs w:val="32"/>
        </w:rPr>
      </w:pPr>
      <w:r>
        <w:rPr>
          <w:rFonts w:hint="eastAsia" w:ascii="仿宋_GB2312" w:eastAsia="仿宋_GB2312"/>
          <w:sz w:val="32"/>
          <w:szCs w:val="32"/>
        </w:rPr>
        <w:t>我校系安居区教育和体育局主办的一所普通农村小学校。学校党支部，负责学校全面工作，重大事项的决策等工作。学校下设教导处，指导学校职工完成小学学历教育及相关社会服务，以及六年级送生工作、一年级招生工作，我单位根据上级要求，在本年度顺利完成相关工作任务；学校德育后勤处，负责学校职工师德监管、学风校风的建设，扶贫资助及其他上级安排的各项工作，在本年度顺利圆满完成。</w:t>
      </w:r>
    </w:p>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6"/>
          <w:rFonts w:ascii="黑体" w:hAnsi="黑体" w:eastAsia="黑体"/>
          <w:b w:val="0"/>
          <w:bCs/>
        </w:rPr>
      </w:pPr>
      <w:bookmarkStart w:id="17" w:name="_Toc15396602"/>
      <w:bookmarkStart w:id="18"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17"/>
      <w:bookmarkEnd w:id="18"/>
    </w:p>
    <w:p/>
    <w:p>
      <w:pPr>
        <w:pStyle w:val="25"/>
        <w:numPr>
          <w:ilvl w:val="0"/>
          <w:numId w:val="2"/>
        </w:numPr>
        <w:spacing w:line="600" w:lineRule="exact"/>
        <w:ind w:firstLineChars="0"/>
        <w:outlineLvl w:val="1"/>
        <w:rPr>
          <w:rStyle w:val="27"/>
          <w:rFonts w:ascii="黑体" w:hAnsi="黑体" w:eastAsia="黑体"/>
          <w:b w:val="0"/>
        </w:rPr>
      </w:pPr>
      <w:bookmarkStart w:id="19" w:name="_Toc15396603"/>
      <w:bookmarkStart w:id="20"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347.17</w:t>
      </w:r>
      <w:r>
        <w:rPr>
          <w:rFonts w:hint="eastAsia" w:ascii="仿宋" w:hAnsi="仿宋" w:eastAsia="仿宋"/>
          <w:sz w:val="32"/>
          <w:szCs w:val="32"/>
        </w:rPr>
        <w:t>万元。与2021年相比，收、支总计各增加</w:t>
      </w:r>
      <w:r>
        <w:rPr>
          <w:rFonts w:ascii="仿宋" w:hAnsi="仿宋" w:eastAsia="仿宋"/>
          <w:sz w:val="32"/>
          <w:szCs w:val="32"/>
        </w:rPr>
        <w:t>19.36</w:t>
      </w:r>
      <w:r>
        <w:rPr>
          <w:rFonts w:hint="eastAsia" w:ascii="仿宋" w:hAnsi="仿宋" w:eastAsia="仿宋"/>
          <w:sz w:val="32"/>
          <w:szCs w:val="32"/>
        </w:rPr>
        <w:t>万元，增长</w:t>
      </w:r>
      <w:r>
        <w:rPr>
          <w:rFonts w:ascii="仿宋" w:hAnsi="仿宋" w:eastAsia="仿宋"/>
          <w:sz w:val="32"/>
          <w:szCs w:val="32"/>
        </w:rPr>
        <w:t>5.91%</w:t>
      </w:r>
      <w:r>
        <w:rPr>
          <w:rFonts w:hint="eastAsia" w:ascii="仿宋" w:hAnsi="仿宋" w:eastAsia="仿宋"/>
          <w:sz w:val="32"/>
          <w:szCs w:val="32"/>
        </w:rPr>
        <w:t>。主要变动原因</w:t>
      </w:r>
      <w:bookmarkStart w:id="21" w:name="_Hlk143093631"/>
      <w:r>
        <w:rPr>
          <w:rFonts w:hint="eastAsia" w:ascii="仿宋" w:hAnsi="仿宋" w:eastAsia="仿宋"/>
          <w:sz w:val="32"/>
          <w:szCs w:val="32"/>
        </w:rPr>
        <w:t>是教职工工资增加、各项保险基数增加等原因。</w:t>
      </w:r>
      <w:bookmarkEnd w:id="21"/>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4603115" cy="318262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03115" cy="318262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7"/>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347.17</w:t>
      </w:r>
      <w:r>
        <w:rPr>
          <w:rFonts w:hint="eastAsia" w:ascii="仿宋" w:hAnsi="仿宋" w:eastAsia="仿宋"/>
          <w:sz w:val="32"/>
          <w:szCs w:val="32"/>
        </w:rPr>
        <w:t>万元，其中：一般公共预算财政拨款收入</w:t>
      </w:r>
      <w:r>
        <w:rPr>
          <w:rFonts w:ascii="仿宋" w:hAnsi="仿宋" w:eastAsia="仿宋"/>
          <w:sz w:val="32"/>
          <w:szCs w:val="32"/>
        </w:rPr>
        <w:t>347.17</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ind w:firstLine="640" w:firstLineChars="200"/>
        <w:outlineLvl w:val="1"/>
        <w:rPr>
          <w:rFonts w:ascii="仿宋" w:hAnsi="仿宋" w:eastAsia="仿宋"/>
          <w:sz w:val="32"/>
          <w:szCs w:val="32"/>
        </w:rPr>
      </w:pPr>
      <w:r>
        <w:rPr>
          <w:rFonts w:ascii="仿宋" w:hAnsi="仿宋" w:eastAsia="仿宋"/>
          <w:sz w:val="32"/>
          <w:szCs w:val="32"/>
        </w:rPr>
        <w:drawing>
          <wp:inline distT="0" distB="0" distL="0" distR="0">
            <wp:extent cx="4529455" cy="3249295"/>
            <wp:effectExtent l="0" t="0" r="444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29455" cy="3249295"/>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7"/>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347.17</w:t>
      </w:r>
      <w:r>
        <w:rPr>
          <w:rFonts w:hint="eastAsia" w:ascii="仿宋" w:hAnsi="仿宋" w:eastAsia="仿宋"/>
          <w:sz w:val="32"/>
          <w:szCs w:val="32"/>
        </w:rPr>
        <w:t>万元，其中：基本支出</w:t>
      </w:r>
      <w:r>
        <w:rPr>
          <w:rFonts w:ascii="仿宋" w:hAnsi="仿宋" w:eastAsia="仿宋"/>
          <w:sz w:val="32"/>
          <w:szCs w:val="32"/>
        </w:rPr>
        <w:t>345.65</w:t>
      </w:r>
      <w:r>
        <w:rPr>
          <w:rFonts w:hint="eastAsia" w:ascii="仿宋" w:hAnsi="仿宋" w:eastAsia="仿宋"/>
          <w:sz w:val="32"/>
          <w:szCs w:val="32"/>
        </w:rPr>
        <w:t>万元，占</w:t>
      </w:r>
      <w:r>
        <w:rPr>
          <w:rFonts w:ascii="仿宋" w:hAnsi="仿宋" w:eastAsia="仿宋"/>
          <w:sz w:val="32"/>
          <w:szCs w:val="32"/>
        </w:rPr>
        <w:t>99.56%</w:t>
      </w:r>
      <w:r>
        <w:rPr>
          <w:rFonts w:hint="eastAsia" w:ascii="仿宋" w:hAnsi="仿宋" w:eastAsia="仿宋"/>
          <w:sz w:val="32"/>
          <w:szCs w:val="32"/>
        </w:rPr>
        <w:t>；项目支出</w:t>
      </w:r>
      <w:r>
        <w:rPr>
          <w:rFonts w:ascii="仿宋" w:hAnsi="仿宋" w:eastAsia="仿宋"/>
          <w:sz w:val="32"/>
          <w:szCs w:val="32"/>
        </w:rPr>
        <w:t>1.52</w:t>
      </w:r>
      <w:r>
        <w:rPr>
          <w:rFonts w:hint="eastAsia" w:ascii="仿宋" w:hAnsi="仿宋" w:eastAsia="仿宋"/>
          <w:sz w:val="32"/>
          <w:szCs w:val="32"/>
        </w:rPr>
        <w:t>万元，占</w:t>
      </w:r>
      <w:r>
        <w:rPr>
          <w:rFonts w:ascii="仿宋" w:hAnsi="仿宋" w:eastAsia="仿宋"/>
          <w:sz w:val="32"/>
          <w:szCs w:val="32"/>
        </w:rPr>
        <w:t>0.44%</w:t>
      </w:r>
      <w:r>
        <w:rPr>
          <w:rFonts w:hint="eastAsia" w:ascii="仿宋" w:hAnsi="仿宋" w:eastAsia="仿宋"/>
          <w:sz w:val="32"/>
          <w:szCs w:val="32"/>
        </w:rPr>
        <w:t>；</w:t>
      </w:r>
      <w:r>
        <w:rPr>
          <w:rFonts w:ascii="仿宋" w:hAnsi="仿宋" w:eastAsia="仿宋"/>
          <w:sz w:val="32"/>
          <w:szCs w:val="32"/>
        </w:rPr>
        <w:t xml:space="preserve"> </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28"/>
          <w:szCs w:val="28"/>
        </w:rPr>
        <w:t>注：数据来源于财决</w:t>
      </w:r>
      <w:r>
        <w:rPr>
          <w:rFonts w:ascii="仿宋" w:hAnsi="仿宋" w:eastAsia="仿宋"/>
          <w:b/>
          <w:sz w:val="28"/>
          <w:szCs w:val="28"/>
        </w:rPr>
        <w:t>04</w:t>
      </w:r>
      <w:r>
        <w:rPr>
          <w:rFonts w:hint="eastAsia" w:ascii="仿宋" w:hAnsi="仿宋" w:eastAsia="仿宋"/>
          <w:b/>
          <w:sz w:val="28"/>
          <w:szCs w:val="28"/>
        </w:rPr>
        <w:t>表，仅罗列本单位涉及的支出。</w:t>
      </w:r>
      <w:r>
        <w:rPr>
          <w:rFonts w:hint="eastAsia" w:ascii="仿宋" w:hAnsi="仿宋" w:eastAsia="仿宋"/>
          <w:b/>
          <w:sz w:val="32"/>
          <w:szCs w:val="32"/>
        </w:rPr>
        <w:t>）</w:t>
      </w:r>
    </w:p>
    <w:p>
      <w:pPr>
        <w:ind w:firstLine="640"/>
        <w:rPr>
          <w:rFonts w:ascii="仿宋" w:hAnsi="仿宋" w:eastAsia="仿宋"/>
          <w:sz w:val="32"/>
          <w:szCs w:val="32"/>
          <w:shd w:val="pct10" w:color="auto" w:fill="FFFFFF"/>
        </w:rPr>
      </w:pPr>
      <w:r>
        <w:rPr>
          <w:rFonts w:ascii="仿宋" w:hAnsi="仿宋" w:eastAsia="仿宋"/>
          <w:sz w:val="32"/>
          <w:szCs w:val="32"/>
          <w:shd w:val="pct10" w:color="auto" w:fill="FFFFFF"/>
        </w:rPr>
        <w:drawing>
          <wp:inline distT="0" distB="0" distL="0" distR="0">
            <wp:extent cx="3664585" cy="2602865"/>
            <wp:effectExtent l="0" t="0" r="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80364" cy="2614012"/>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7"/>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347.17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19.36</w:t>
      </w:r>
      <w:r>
        <w:rPr>
          <w:rFonts w:hint="eastAsia" w:ascii="仿宋" w:hAnsi="仿宋" w:eastAsia="仿宋"/>
          <w:sz w:val="32"/>
          <w:szCs w:val="32"/>
        </w:rPr>
        <w:t>万元，增长</w:t>
      </w:r>
      <w:r>
        <w:rPr>
          <w:rFonts w:ascii="仿宋" w:hAnsi="仿宋" w:eastAsia="仿宋"/>
          <w:sz w:val="32"/>
          <w:szCs w:val="32"/>
        </w:rPr>
        <w:t>5.91%</w:t>
      </w:r>
      <w:r>
        <w:rPr>
          <w:rFonts w:hint="eastAsia" w:ascii="仿宋" w:hAnsi="仿宋" w:eastAsia="仿宋"/>
          <w:sz w:val="32"/>
          <w:szCs w:val="32"/>
        </w:rPr>
        <w:t>。主要变动原因是</w:t>
      </w:r>
      <w:bookmarkStart w:id="28" w:name="_Hlk143093721"/>
      <w:r>
        <w:rPr>
          <w:rFonts w:hint="eastAsia" w:ascii="仿宋" w:hAnsi="仿宋" w:eastAsia="仿宋"/>
          <w:sz w:val="32"/>
          <w:szCs w:val="32"/>
        </w:rPr>
        <w:t>教职工工资增加、各类保险基数增加等。</w:t>
      </w:r>
      <w:bookmarkEnd w:id="28"/>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rPr>
          <w:rFonts w:ascii="仿宋" w:hAnsi="仿宋" w:eastAsia="仿宋"/>
          <w:sz w:val="32"/>
          <w:szCs w:val="32"/>
        </w:rPr>
      </w:pPr>
      <w:r>
        <w:rPr>
          <w:rFonts w:ascii="仿宋" w:hAnsi="仿宋" w:eastAsia="仿宋"/>
          <w:sz w:val="32"/>
          <w:szCs w:val="32"/>
        </w:rPr>
        <w:drawing>
          <wp:inline distT="0" distB="0" distL="0" distR="0">
            <wp:extent cx="4651375" cy="27559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51375" cy="275590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7"/>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347.17</w:t>
      </w:r>
      <w:r>
        <w:rPr>
          <w:rFonts w:hint="eastAsia" w:ascii="仿宋" w:hAnsi="仿宋" w:eastAsia="仿宋"/>
          <w:sz w:val="32"/>
          <w:szCs w:val="32"/>
        </w:rPr>
        <w:t>万元，占本年支出合计的</w:t>
      </w:r>
      <w:r>
        <w:rPr>
          <w:rFonts w:ascii="仿宋" w:hAnsi="仿宋" w:eastAsia="仿宋"/>
          <w:sz w:val="32"/>
          <w:szCs w:val="32"/>
        </w:rPr>
        <w:t>100.00%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19.36</w:t>
      </w:r>
      <w:r>
        <w:rPr>
          <w:rFonts w:hint="eastAsia" w:ascii="仿宋" w:hAnsi="仿宋" w:eastAsia="仿宋"/>
          <w:sz w:val="32"/>
          <w:szCs w:val="32"/>
        </w:rPr>
        <w:t>万元，增长</w:t>
      </w:r>
      <w:r>
        <w:rPr>
          <w:rFonts w:ascii="仿宋" w:hAnsi="仿宋" w:eastAsia="仿宋"/>
          <w:sz w:val="32"/>
          <w:szCs w:val="32"/>
        </w:rPr>
        <w:t>5.91%</w:t>
      </w:r>
      <w:r>
        <w:rPr>
          <w:rFonts w:hint="eastAsia" w:ascii="仿宋" w:hAnsi="仿宋" w:eastAsia="仿宋"/>
          <w:sz w:val="32"/>
          <w:szCs w:val="32"/>
        </w:rPr>
        <w:t>。主要变动原因是教职工工资增加、各类保险基数增加等原因。</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5175885" cy="2749550"/>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75885" cy="274955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347.17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ascii="仿宋" w:hAnsi="仿宋" w:eastAsia="仿宋"/>
          <w:sz w:val="32"/>
          <w:szCs w:val="32"/>
        </w:rPr>
        <w:t>287.25</w:t>
      </w:r>
      <w:r>
        <w:rPr>
          <w:rFonts w:hint="eastAsia" w:ascii="仿宋" w:hAnsi="仿宋" w:eastAsia="仿宋"/>
          <w:sz w:val="32"/>
          <w:szCs w:val="32"/>
        </w:rPr>
        <w:t>万元，占</w:t>
      </w:r>
      <w:r>
        <w:rPr>
          <w:rFonts w:ascii="仿宋" w:hAnsi="仿宋" w:eastAsia="仿宋"/>
          <w:sz w:val="32"/>
          <w:szCs w:val="32"/>
        </w:rPr>
        <w:t>82.74%</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27.17</w:t>
      </w:r>
      <w:r>
        <w:rPr>
          <w:rFonts w:hint="eastAsia" w:ascii="仿宋" w:hAnsi="仿宋" w:eastAsia="仿宋"/>
          <w:sz w:val="32"/>
          <w:szCs w:val="32"/>
        </w:rPr>
        <w:t>万元，占</w:t>
      </w:r>
      <w:r>
        <w:rPr>
          <w:rFonts w:ascii="仿宋" w:hAnsi="仿宋" w:eastAsia="仿宋"/>
          <w:sz w:val="32"/>
          <w:szCs w:val="32"/>
        </w:rPr>
        <w:t>7.83%</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b/>
          <w:bCs/>
          <w:sz w:val="32"/>
          <w:szCs w:val="32"/>
        </w:rPr>
        <w:t>10.80</w:t>
      </w:r>
      <w:r>
        <w:rPr>
          <w:rFonts w:hint="eastAsia" w:ascii="仿宋" w:hAnsi="仿宋" w:eastAsia="仿宋"/>
          <w:sz w:val="32"/>
          <w:szCs w:val="32"/>
        </w:rPr>
        <w:t>万元，占</w:t>
      </w:r>
      <w:r>
        <w:rPr>
          <w:rFonts w:ascii="仿宋" w:hAnsi="仿宋" w:eastAsia="仿宋"/>
          <w:sz w:val="32"/>
          <w:szCs w:val="32"/>
        </w:rPr>
        <w:t>3.11%</w:t>
      </w:r>
      <w:r>
        <w:rPr>
          <w:rFonts w:hint="eastAsia" w:ascii="仿宋" w:hAnsi="仿宋" w:eastAsia="仿宋"/>
          <w:sz w:val="32"/>
          <w:szCs w:val="32"/>
        </w:rPr>
        <w:t>；</w:t>
      </w:r>
      <w:bookmarkStart w:id="33" w:name="_Hlk143093955"/>
      <w:r>
        <w:rPr>
          <w:rFonts w:hint="eastAsia" w:ascii="仿宋" w:hAnsi="仿宋" w:eastAsia="仿宋"/>
          <w:b/>
          <w:bCs/>
          <w:sz w:val="32"/>
          <w:szCs w:val="32"/>
        </w:rPr>
        <w:t>住房保障</w:t>
      </w:r>
      <w:bookmarkEnd w:id="33"/>
      <w:r>
        <w:rPr>
          <w:rFonts w:hint="eastAsia" w:ascii="仿宋" w:hAnsi="仿宋" w:eastAsia="仿宋"/>
          <w:b/>
          <w:bCs/>
          <w:sz w:val="32"/>
          <w:szCs w:val="32"/>
        </w:rPr>
        <w:t>支出</w:t>
      </w:r>
      <w:r>
        <w:rPr>
          <w:rFonts w:ascii="仿宋" w:hAnsi="仿宋" w:eastAsia="仿宋"/>
          <w:sz w:val="32"/>
          <w:szCs w:val="32"/>
        </w:rPr>
        <w:t>21.95</w:t>
      </w:r>
      <w:r>
        <w:rPr>
          <w:rFonts w:hint="eastAsia" w:ascii="仿宋" w:hAnsi="仿宋" w:eastAsia="仿宋"/>
          <w:sz w:val="32"/>
          <w:szCs w:val="32"/>
        </w:rPr>
        <w:t>万元，占</w:t>
      </w:r>
      <w:r>
        <w:rPr>
          <w:rFonts w:ascii="仿宋" w:hAnsi="仿宋" w:eastAsia="仿宋"/>
          <w:sz w:val="32"/>
          <w:szCs w:val="32"/>
        </w:rPr>
        <w:t>6.32%</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ind w:firstLine="640"/>
        <w:rPr>
          <w:rFonts w:ascii="仿宋" w:hAnsi="仿宋" w:eastAsia="仿宋"/>
          <w:sz w:val="32"/>
          <w:szCs w:val="32"/>
        </w:rPr>
      </w:pPr>
      <w:r>
        <w:rPr>
          <w:rFonts w:ascii="仿宋" w:hAnsi="仿宋" w:eastAsia="仿宋"/>
          <w:sz w:val="32"/>
          <w:szCs w:val="32"/>
        </w:rPr>
        <w:drawing>
          <wp:inline distT="0" distB="0" distL="0" distR="0">
            <wp:extent cx="3536950" cy="2473325"/>
            <wp:effectExtent l="0" t="0" r="635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96462" cy="251539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8460"/>
      <w:bookmarkStart w:id="36" w:name="_Toc15377444"/>
      <w:bookmarkStart w:id="37" w:name="_Toc15377213"/>
      <w:r>
        <w:rPr>
          <w:rFonts w:hint="eastAsia" w:ascii="仿宋" w:hAnsi="仿宋" w:eastAsia="仿宋"/>
          <w:b/>
          <w:sz w:val="32"/>
          <w:szCs w:val="32"/>
        </w:rPr>
        <w:t>2022年一般公共预算支出决算数为</w:t>
      </w:r>
      <w:r>
        <w:rPr>
          <w:rFonts w:ascii="仿宋" w:hAnsi="仿宋" w:eastAsia="仿宋"/>
          <w:b/>
          <w:sz w:val="32"/>
          <w:szCs w:val="32"/>
        </w:rPr>
        <w:t>347.17</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ascii="仿宋" w:hAnsi="仿宋" w:eastAsia="仿宋"/>
          <w:bCs/>
          <w:sz w:val="32"/>
          <w:szCs w:val="32"/>
        </w:rPr>
        <w:t>100%</w:t>
      </w:r>
      <w:r>
        <w:rPr>
          <w:rStyle w:val="15"/>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教育：教育（205类）普通教育（02款）学前教育（01项）、教育（205类）普通教育（02款）小学教育（02项）、教育（205类）普通教育（02款）其他教育支出（99项）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287.25</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2.</w:t>
      </w:r>
      <w:r>
        <w:rPr>
          <w:rStyle w:val="15"/>
          <w:rFonts w:hint="eastAsia" w:ascii="仿宋" w:hAnsi="仿宋" w:eastAsia="仿宋"/>
          <w:bCs/>
          <w:sz w:val="32"/>
          <w:szCs w:val="32"/>
        </w:rPr>
        <w:t>社会保障和就业社会保障和就业（208类）行政事业单位离退休（05款）事业单位离退休（02项、社会保障和就业（208类）行政事业单位离退休（05款）机关事业单位基本养老保险缴费支出（05项）、社会保障和就业（208类）其他社会保障和就业支出（99款）其他社会保障和就业支出（99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27.17</w:t>
      </w:r>
      <w:r>
        <w:rPr>
          <w:rStyle w:val="15"/>
          <w:rFonts w:hint="eastAsia" w:ascii="仿宋" w:hAnsi="仿宋" w:eastAsia="仿宋"/>
          <w:b w:val="0"/>
          <w:bCs/>
          <w:sz w:val="32"/>
          <w:szCs w:val="32"/>
        </w:rPr>
        <w:t>万元，完成预算1</w:t>
      </w:r>
      <w:r>
        <w:rPr>
          <w:rStyle w:val="15"/>
          <w:rFonts w:ascii="仿宋" w:hAnsi="仿宋" w:eastAsia="仿宋"/>
          <w:b w:val="0"/>
          <w:bCs/>
          <w:sz w:val="32"/>
          <w:szCs w:val="32"/>
        </w:rPr>
        <w:t>00%</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3.</w:t>
      </w:r>
      <w:r>
        <w:rPr>
          <w:rFonts w:hint="eastAsia" w:ascii="仿宋" w:hAnsi="仿宋" w:eastAsia="仿宋"/>
          <w:b/>
          <w:bCs/>
          <w:sz w:val="32"/>
          <w:szCs w:val="32"/>
        </w:rPr>
        <w:t>卫生健康</w:t>
      </w:r>
      <w:r>
        <w:rPr>
          <w:rFonts w:ascii="仿宋" w:hAnsi="仿宋" w:eastAsia="仿宋"/>
          <w:b/>
          <w:bCs/>
          <w:sz w:val="32"/>
          <w:szCs w:val="32"/>
        </w:rPr>
        <w:t>:</w:t>
      </w:r>
      <w:r>
        <w:rPr>
          <w:rFonts w:hint="eastAsia" w:ascii="仿宋" w:hAnsi="仿宋" w:eastAsia="仿宋"/>
          <w:b/>
          <w:bCs/>
          <w:sz w:val="32"/>
          <w:szCs w:val="32"/>
        </w:rPr>
        <w:t>卫生健康（210类）行政事业单位医疗（11款）事业单位医疗（02项）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10.80</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5"/>
          <w:rFonts w:ascii="仿宋" w:hAnsi="仿宋" w:eastAsia="仿宋"/>
          <w:bCs/>
          <w:sz w:val="32"/>
          <w:szCs w:val="32"/>
        </w:rPr>
        <w:t>4.</w:t>
      </w:r>
      <w:r>
        <w:rPr>
          <w:rFonts w:hint="eastAsia"/>
        </w:rPr>
        <w:t xml:space="preserve"> </w:t>
      </w:r>
      <w:r>
        <w:rPr>
          <w:rFonts w:hint="eastAsia" w:ascii="仿宋" w:hAnsi="仿宋" w:eastAsia="仿宋"/>
          <w:b/>
          <w:bCs/>
          <w:sz w:val="32"/>
          <w:szCs w:val="32"/>
        </w:rPr>
        <w:t>住房保障：住房保障支出（221类）住房改革支出（02款）住房公积金（01项）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21.95</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7"/>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8"/>
      <w:bookmarkEnd w:id="39"/>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345.65</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315.98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29.67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40" w:name="_Toc15396609"/>
      <w:bookmarkStart w:id="41"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40"/>
      <w:bookmarkEnd w:id="41"/>
    </w:p>
    <w:p>
      <w:pPr>
        <w:spacing w:line="600" w:lineRule="exact"/>
        <w:ind w:firstLine="640"/>
        <w:rPr>
          <w:rFonts w:ascii="仿宋" w:hAnsi="仿宋" w:eastAsia="仿宋"/>
          <w:sz w:val="32"/>
          <w:szCs w:val="32"/>
        </w:rPr>
      </w:pPr>
      <w:bookmarkStart w:id="42" w:name="_Toc15377216"/>
      <w:r>
        <w:rPr>
          <w:rFonts w:ascii="仿宋" w:hAnsi="仿宋" w:eastAsia="仿宋"/>
          <w:sz w:val="32"/>
          <w:szCs w:val="32"/>
        </w:rPr>
        <w:t>20</w:t>
      </w:r>
      <w:r>
        <w:rPr>
          <w:rFonts w:hint="eastAsia" w:ascii="仿宋" w:hAnsi="仿宋" w:eastAsia="仿宋"/>
          <w:sz w:val="32"/>
          <w:szCs w:val="32"/>
        </w:rPr>
        <w:t>22年度无“三公”经费支出。</w:t>
      </w:r>
    </w:p>
    <w:bookmarkEnd w:id="42"/>
    <w:p>
      <w:pPr>
        <w:spacing w:line="600" w:lineRule="exact"/>
        <w:ind w:firstLine="640"/>
        <w:outlineLvl w:val="1"/>
        <w:rPr>
          <w:rFonts w:ascii="黑体" w:eastAsia="黑体"/>
          <w:sz w:val="32"/>
          <w:szCs w:val="32"/>
        </w:rPr>
      </w:pPr>
      <w:bookmarkStart w:id="43" w:name="_Toc15377218"/>
      <w:bookmarkStart w:id="44"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7"/>
          <w:rFonts w:ascii="黑体" w:hAnsi="黑体" w:eastAsia="黑体"/>
          <w:b w:val="0"/>
        </w:rPr>
      </w:pPr>
      <w:bookmarkStart w:id="45" w:name="_Toc15396611"/>
      <w:bookmarkStart w:id="46" w:name="_Toc15377219"/>
      <w:r>
        <w:rPr>
          <w:rStyle w:val="27"/>
          <w:rFonts w:hint="eastAsia" w:ascii="黑体" w:hAnsi="黑体" w:eastAsia="黑体"/>
          <w:b w:val="0"/>
        </w:rPr>
        <w:t>国有资本经营预算支出决算情况说明</w:t>
      </w:r>
      <w:bookmarkEnd w:id="45"/>
      <w:bookmarkEnd w:id="4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47" w:name="_Toc15396612"/>
      <w:bookmarkStart w:id="48" w:name="_Toc15377221"/>
      <w:r>
        <w:rPr>
          <w:rStyle w:val="27"/>
          <w:rFonts w:hint="eastAsia" w:ascii="黑体" w:hAnsi="黑体" w:eastAsia="黑体"/>
          <w:b w:val="0"/>
        </w:rPr>
        <w:t>其他重要事项的情况说明</w:t>
      </w:r>
      <w:bookmarkEnd w:id="47"/>
      <w:bookmarkEnd w:id="48"/>
    </w:p>
    <w:p>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3" w:firstLineChars="200"/>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3" w:firstLineChars="200"/>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4"/>
      <w:r>
        <w:rPr>
          <w:rFonts w:hint="eastAsia" w:ascii="仿宋" w:hAnsi="仿宋" w:eastAsia="仿宋"/>
          <w:b/>
          <w:sz w:val="32"/>
          <w:szCs w:val="32"/>
        </w:rPr>
        <w:t>（三）国有资产占有使用情况</w:t>
      </w:r>
      <w:bookmarkEnd w:id="51"/>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无</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kern w:val="0"/>
          <w:sz w:val="32"/>
          <w:szCs w:val="32"/>
        </w:rPr>
        <w:t>根据预算绩效管理要求，本单位在2022年度预算编制阶段，组织对义教免作业本费等</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个项目开展了预算事前绩效评估和绩效监控和绩效自评，绩效自评表详见第四部分附件。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2" w:name="_Toc15396613"/>
      <w:bookmarkStart w:id="53" w:name="_Toc15377225"/>
      <w:r>
        <w:rPr>
          <w:rFonts w:hint="eastAsia" w:ascii="黑体" w:hAnsi="黑体" w:eastAsia="黑体"/>
          <w:sz w:val="44"/>
          <w:szCs w:val="44"/>
        </w:rPr>
        <w:t>名</w:t>
      </w:r>
      <w:r>
        <w:rPr>
          <w:rStyle w:val="26"/>
          <w:rFonts w:hint="eastAsia" w:ascii="黑体" w:hAnsi="黑体" w:eastAsia="黑体"/>
          <w:b w:val="0"/>
        </w:rPr>
        <w:t>词解释</w:t>
      </w:r>
      <w:bookmarkEnd w:id="52"/>
      <w:bookmarkEnd w:id="53"/>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5.年初结转和结余：指以前年度尚未完成、结转到本年按有关规定继续使用的资金。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6.结余分配：指事业单位按照事业单位会计制度的规定从非财政补助结余中分配的事业基金和职工福利基金等。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7、年末结转和结余：指单位按有关规定结转到下年或以后年度继续使用的资金。</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8</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9</w:t>
      </w:r>
      <w:r>
        <w:rPr>
          <w:rFonts w:hint="eastAsia" w:ascii="仿宋_GB2312" w:hAnsi="Calibri" w:eastAsia="仿宋_GB2312" w:cs="仿宋"/>
          <w:kern w:val="0"/>
          <w:sz w:val="32"/>
          <w:szCs w:val="32"/>
        </w:rPr>
        <w:t>.教育（205类）普通教育（02款）小学教育（02项）: 反映各部门举办的小学教育支出。政府各部门对社会中介组织等举办的小学的资助，如各类捐赠、补贴等，也在本科目中反映。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1</w:t>
      </w:r>
      <w:r>
        <w:rPr>
          <w:rFonts w:hint="eastAsia" w:ascii="仿宋_GB2312" w:hAnsi="Calibri" w:eastAsia="仿宋_GB2312" w:cs="仿宋"/>
          <w:kern w:val="0"/>
          <w:sz w:val="32"/>
          <w:szCs w:val="32"/>
        </w:rPr>
        <w:t>.教育（205类）普通教育（02款）高中教育（04项）: 反映各部门举办的高级中学教育支出。政府各部门对社会中介组织等举办的高级中学的资助，如各类捐赠、补贴等，也在本科目中反映。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.教育（205类）普通教育（02款）其他普通教育支出（99项）: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3</w:t>
      </w:r>
      <w:r>
        <w:rPr>
          <w:rFonts w:hint="eastAsia" w:ascii="仿宋_GB2312" w:hAnsi="Calibri" w:eastAsia="仿宋_GB2312" w:cs="仿宋"/>
          <w:kern w:val="0"/>
          <w:sz w:val="32"/>
          <w:szCs w:val="32"/>
        </w:rPr>
        <w:t>.教育（205类）职业教育（03款）中专教育（02项）: 反映各部门举办的各类中等职业教育支出。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14</w:t>
      </w:r>
      <w:r>
        <w:rPr>
          <w:rFonts w:hint="eastAsia" w:ascii="仿宋_GB2312" w:hAnsi="Calibri" w:eastAsia="仿宋_GB2312" w:cs="仿宋"/>
          <w:kern w:val="0"/>
          <w:sz w:val="32"/>
          <w:szCs w:val="32"/>
        </w:rPr>
        <w:t>.教育（205类）职业教育（03款）职业高中教育（03项）: 反映各部门举办的职业中学、农业中学（含普通高中改制的）、半工（农）半读中学的支出或补助费。</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15</w:t>
      </w:r>
      <w:r>
        <w:rPr>
          <w:rFonts w:hint="eastAsia" w:ascii="仿宋_GB2312" w:hAnsi="Calibri" w:eastAsia="仿宋_GB2312" w:cs="仿宋"/>
          <w:kern w:val="0"/>
          <w:sz w:val="32"/>
          <w:szCs w:val="32"/>
        </w:rPr>
        <w:t>.教育（205类）特殊教育（07款）特殊学校教育（01项）: 反映各部门举办的盲童学校、聋哑学校、智力落后儿童学校、</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生理缺陷儿童学校的支出。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16</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17</w:t>
      </w:r>
      <w:r>
        <w:rPr>
          <w:rFonts w:hint="eastAsia" w:ascii="仿宋_GB2312" w:hAnsi="Calibri" w:eastAsia="仿宋_GB2312" w:cs="仿宋"/>
          <w:kern w:val="0"/>
          <w:sz w:val="32"/>
          <w:szCs w:val="32"/>
        </w:rPr>
        <w:t>.教育（205类）教育费附加安排的支出（09款）农城市中小学校舍建设（03项）: 反映教育附加安排用于城市中小学校舍新建、改建、修缮和维护的支出。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18</w:t>
      </w:r>
      <w:r>
        <w:rPr>
          <w:rFonts w:hint="eastAsia" w:ascii="仿宋_GB2312" w:hAnsi="Calibri" w:eastAsia="仿宋_GB2312" w:cs="仿宋"/>
          <w:kern w:val="0"/>
          <w:sz w:val="32"/>
          <w:szCs w:val="32"/>
        </w:rPr>
        <w:t>.教育（205类）教育费附加安排的支出（09款）城市中小学教学设施（04项）: 反映教育附加安排用于改善城市中小学教学设施和办学条件的支出。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19</w:t>
      </w:r>
      <w:r>
        <w:rPr>
          <w:rFonts w:hint="eastAsia" w:ascii="仿宋_GB2312" w:hAnsi="Calibri" w:eastAsia="仿宋_GB2312" w:cs="仿宋"/>
          <w:kern w:val="0"/>
          <w:sz w:val="32"/>
          <w:szCs w:val="32"/>
        </w:rPr>
        <w:t>.教育（205类）教育费附加安排的支出（09款）中等职业学校教学设施（05项）: 反映教育附加安排用于中等职业学校教学设施的支出。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ascii="仿宋_GB2312" w:hAnsi="Calibri" w:eastAsia="仿宋_GB2312" w:cs="仿宋"/>
          <w:kern w:val="0"/>
          <w:sz w:val="32"/>
          <w:szCs w:val="32"/>
        </w:rPr>
        <w:t>1</w:t>
      </w:r>
      <w:r>
        <w:rPr>
          <w:rFonts w:hint="eastAsia" w:ascii="仿宋_GB2312" w:hAnsi="Calibri" w:eastAsia="仿宋_GB2312" w:cs="仿宋"/>
          <w:kern w:val="0"/>
          <w:sz w:val="32"/>
          <w:szCs w:val="32"/>
        </w:rPr>
        <w:t>.教育（205类）其他教育支出（99款）其他教育支出（99项）: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教育方面的支出。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23</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24</w:t>
      </w:r>
      <w:r>
        <w:rPr>
          <w:rFonts w:hint="eastAsia" w:ascii="仿宋_GB2312" w:hAnsi="Calibri" w:eastAsia="仿宋_GB2312" w:cs="仿宋"/>
          <w:kern w:val="0"/>
          <w:sz w:val="32"/>
          <w:szCs w:val="32"/>
        </w:rPr>
        <w:t>.社会保障和就业（208类）其他社会保障和就业支出（99款）其他社会保障和就业支出（</w:t>
      </w:r>
      <w:r>
        <w:rPr>
          <w:rFonts w:ascii="仿宋_GB2312" w:hAnsi="Calibri" w:eastAsia="仿宋_GB2312" w:cs="仿宋"/>
          <w:kern w:val="0"/>
          <w:sz w:val="32"/>
          <w:szCs w:val="32"/>
        </w:rPr>
        <w:t>99</w:t>
      </w:r>
      <w:r>
        <w:rPr>
          <w:rFonts w:hint="eastAsia" w:ascii="仿宋_GB2312" w:hAnsi="Calibri" w:eastAsia="仿宋_GB2312" w:cs="仿宋"/>
          <w:kern w:val="0"/>
          <w:sz w:val="32"/>
          <w:szCs w:val="32"/>
        </w:rPr>
        <w:t>项）: 反映上述项目以外</w:t>
      </w:r>
      <w:r>
        <w:rPr>
          <w:rFonts w:hint="eastAsia" w:ascii="仿宋_GB2312" w:hAnsi="Calibri" w:eastAsia="仿宋_GB2312" w:cs="仿宋"/>
          <w:kern w:val="0"/>
          <w:sz w:val="32"/>
          <w:szCs w:val="32"/>
          <w:lang w:eastAsia="zh-CN"/>
        </w:rPr>
        <w:t>其他用于</w:t>
      </w:r>
      <w:r>
        <w:rPr>
          <w:rFonts w:hint="eastAsia" w:ascii="仿宋_GB2312" w:hAnsi="Calibri" w:eastAsia="仿宋_GB2312" w:cs="仿宋"/>
          <w:kern w:val="0"/>
          <w:sz w:val="32"/>
          <w:szCs w:val="32"/>
        </w:rPr>
        <w:t>社会保障和就业方面的支出。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w:t>
      </w:r>
      <w:r>
        <w:rPr>
          <w:rFonts w:hint="eastAsia" w:ascii="仿宋_GB2312" w:hAnsi="Calibri" w:eastAsia="仿宋_GB2312" w:cs="仿宋"/>
          <w:kern w:val="0"/>
          <w:sz w:val="32"/>
          <w:szCs w:val="32"/>
        </w:rPr>
        <w:t>5. 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27</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28</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29</w:t>
      </w:r>
      <w:r>
        <w:rPr>
          <w:rFonts w:hint="eastAsia" w:ascii="仿宋_GB2312" w:hAnsi="Calibri" w:eastAsia="仿宋_GB2312" w:cs="仿宋"/>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30</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31</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32</w:t>
      </w:r>
      <w:r>
        <w:rPr>
          <w:rFonts w:hint="eastAsia" w:ascii="仿宋_GB2312" w:hAnsi="Calibri" w:eastAsia="仿宋_GB2312" w:cs="仿宋"/>
          <w:kern w:val="0"/>
          <w:sz w:val="32"/>
          <w:szCs w:val="32"/>
        </w:rPr>
        <w:t>.对个人和家庭的补助：反映政府用于</w:t>
      </w:r>
      <w:r>
        <w:rPr>
          <w:rFonts w:hint="eastAsia" w:ascii="仿宋_GB2312" w:hAnsi="Calibri" w:eastAsia="仿宋_GB2312" w:cs="仿宋"/>
          <w:kern w:val="0"/>
          <w:sz w:val="32"/>
          <w:szCs w:val="32"/>
          <w:lang w:eastAsia="zh-CN"/>
        </w:rPr>
        <w:t>对个人和家庭</w:t>
      </w:r>
      <w:r>
        <w:rPr>
          <w:rFonts w:hint="eastAsia" w:ascii="仿宋_GB2312" w:hAnsi="Calibri" w:eastAsia="仿宋_GB2312" w:cs="仿宋"/>
          <w:kern w:val="0"/>
          <w:sz w:val="32"/>
          <w:szCs w:val="32"/>
        </w:rPr>
        <w:t>的补助支出。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33</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6"/>
          <w:rFonts w:ascii="黑体" w:hAnsi="黑体" w:eastAsia="黑体"/>
          <w:b w:val="0"/>
        </w:rPr>
      </w:pPr>
      <w:bookmarkStart w:id="54" w:name="_Toc15377226"/>
      <w:r>
        <w:rPr>
          <w:rFonts w:ascii="宋体"/>
          <w:b/>
          <w:sz w:val="44"/>
          <w:szCs w:val="44"/>
        </w:rPr>
        <w:br w:type="page"/>
      </w:r>
      <w:bookmarkStart w:id="55" w:name="_Toc15396614"/>
      <w:r>
        <w:rPr>
          <w:rFonts w:hint="eastAsia" w:ascii="黑体" w:hAnsi="黑体" w:eastAsia="黑体"/>
          <w:sz w:val="44"/>
          <w:szCs w:val="44"/>
        </w:rPr>
        <w:t>第</w:t>
      </w:r>
      <w:r>
        <w:rPr>
          <w:rStyle w:val="26"/>
          <w:rFonts w:hint="eastAsia" w:ascii="黑体" w:hAnsi="黑体" w:eastAsia="黑体"/>
          <w:b w:val="0"/>
        </w:rPr>
        <w:t>四部分 附件</w:t>
      </w:r>
      <w:bookmarkEnd w:id="55"/>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6" w:name="_Toc15396618"/>
      <w:r>
        <w:rPr>
          <w:rFonts w:hint="eastAsia" w:ascii="宋体" w:hAnsi="宋体" w:cs="宋体"/>
          <w:kern w:val="0"/>
          <w:sz w:val="32"/>
          <w:szCs w:val="32"/>
        </w:rPr>
        <w:t>部门预算项目支出绩效自评表（2022年度）</w:t>
      </w:r>
    </w:p>
    <w:tbl>
      <w:tblPr>
        <w:tblStyle w:val="12"/>
        <w:tblW w:w="10920" w:type="dxa"/>
        <w:jc w:val="center"/>
        <w:tblLayout w:type="autofit"/>
        <w:tblCellMar>
          <w:top w:w="0" w:type="dxa"/>
          <w:left w:w="108" w:type="dxa"/>
          <w:bottom w:w="0" w:type="dxa"/>
          <w:right w:w="108" w:type="dxa"/>
        </w:tblCellMar>
      </w:tblPr>
      <w:tblGrid>
        <w:gridCol w:w="699"/>
        <w:gridCol w:w="1356"/>
        <w:gridCol w:w="1117"/>
        <w:gridCol w:w="1118"/>
        <w:gridCol w:w="519"/>
        <w:gridCol w:w="937"/>
        <w:gridCol w:w="519"/>
        <w:gridCol w:w="1099"/>
        <w:gridCol w:w="520"/>
        <w:gridCol w:w="486"/>
        <w:gridCol w:w="2550"/>
      </w:tblGrid>
      <w:tr>
        <w:tblPrEx>
          <w:tblCellMar>
            <w:top w:w="0" w:type="dxa"/>
            <w:left w:w="108" w:type="dxa"/>
            <w:bottom w:w="0" w:type="dxa"/>
            <w:right w:w="108" w:type="dxa"/>
          </w:tblCellMar>
        </w:tblPrEx>
        <w:trPr>
          <w:trHeight w:val="904" w:hRule="atLeast"/>
          <w:jc w:val="center"/>
        </w:trPr>
        <w:tc>
          <w:tcPr>
            <w:tcW w:w="10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865"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51090422T000006602597-2022</w:t>
            </w:r>
            <w:bookmarkStart w:id="57" w:name="_Hlk143588842"/>
            <w:r>
              <w:rPr>
                <w:rFonts w:hint="eastAsia" w:ascii="宋体" w:hAnsi="宋体" w:cs="宋体"/>
                <w:color w:val="000000"/>
                <w:kern w:val="0"/>
                <w:sz w:val="18"/>
                <w:szCs w:val="18"/>
              </w:rPr>
              <w:t>义教免作业本费</w:t>
            </w:r>
            <w:bookmarkEnd w:id="57"/>
            <w:r>
              <w:rPr>
                <w:rFonts w:hint="eastAsia" w:ascii="宋体" w:hAnsi="宋体" w:cs="宋体"/>
                <w:color w:val="000000"/>
                <w:kern w:val="0"/>
                <w:sz w:val="18"/>
                <w:szCs w:val="18"/>
              </w:rPr>
              <w:t>（上期）</w:t>
            </w:r>
          </w:p>
        </w:tc>
      </w:tr>
      <w:tr>
        <w:tblPrEx>
          <w:tblCellMar>
            <w:top w:w="0" w:type="dxa"/>
            <w:left w:w="108" w:type="dxa"/>
            <w:bottom w:w="0" w:type="dxa"/>
            <w:right w:w="108" w:type="dxa"/>
          </w:tblCellMar>
        </w:tblPrEx>
        <w:trPr>
          <w:trHeight w:val="514"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遂宁市安居区东禅镇三联小学校部门</w:t>
            </w:r>
          </w:p>
        </w:tc>
        <w:tc>
          <w:tcPr>
            <w:tcW w:w="1099"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遂宁市安居区东禅镇三联小学校</w:t>
            </w:r>
          </w:p>
        </w:tc>
      </w:tr>
      <w:tr>
        <w:tblPrEx>
          <w:tblCellMar>
            <w:top w:w="0" w:type="dxa"/>
            <w:left w:w="108" w:type="dxa"/>
            <w:bottom w:w="0" w:type="dxa"/>
            <w:right w:w="108" w:type="dxa"/>
          </w:tblCellMar>
        </w:tblPrEx>
        <w:trPr>
          <w:trHeight w:val="285"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65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微软雅黑" w:hAnsi="微软雅黑" w:eastAsia="微软雅黑" w:cs="宋体"/>
                <w:i/>
                <w:iCs/>
                <w:color w:val="000000"/>
                <w:kern w:val="0"/>
                <w:sz w:val="16"/>
                <w:szCs w:val="16"/>
              </w:rPr>
              <w:t>及时支付义教免作业本费，保障义教学生正常学习。</w:t>
            </w:r>
          </w:p>
        </w:tc>
        <w:tc>
          <w:tcPr>
            <w:tcW w:w="465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完成</w:t>
            </w:r>
          </w:p>
        </w:tc>
      </w:tr>
      <w:tr>
        <w:tblPrEx>
          <w:tblCellMar>
            <w:top w:w="0" w:type="dxa"/>
            <w:left w:w="108" w:type="dxa"/>
            <w:bottom w:w="0" w:type="dxa"/>
            <w:right w:w="108" w:type="dxa"/>
          </w:tblCellMar>
        </w:tblPrEx>
        <w:trPr>
          <w:trHeight w:val="694"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865"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微软雅黑" w:hAnsi="微软雅黑" w:eastAsia="微软雅黑" w:cs="宋体"/>
                <w:i/>
                <w:iCs/>
                <w:color w:val="000000"/>
                <w:kern w:val="0"/>
                <w:sz w:val="16"/>
                <w:szCs w:val="16"/>
              </w:rPr>
              <w:t>及时支付义教免作业本费，保障义教学生正常学习。</w:t>
            </w:r>
          </w:p>
        </w:tc>
      </w:tr>
      <w:tr>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0.16</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0.16</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5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本项目由上级统一预算，到学校单位层级为预算调整数。</w:t>
            </w:r>
          </w:p>
        </w:tc>
      </w:tr>
      <w:tr>
        <w:tblPrEx>
          <w:tblCellMar>
            <w:top w:w="0" w:type="dxa"/>
            <w:left w:w="108" w:type="dxa"/>
            <w:bottom w:w="0" w:type="dxa"/>
            <w:right w:w="108" w:type="dxa"/>
          </w:tblCellMar>
        </w:tblPrEx>
        <w:trPr>
          <w:trHeight w:val="432"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0.16</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0.16</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产出指标</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　</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7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25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及时支付义教免作业本费，保障义教学生正常学习。</w:t>
            </w:r>
          </w:p>
        </w:tc>
      </w:tr>
      <w:tr>
        <w:tblPrEx>
          <w:tblCellMar>
            <w:top w:w="0" w:type="dxa"/>
            <w:left w:w="108" w:type="dxa"/>
            <w:bottom w:w="0" w:type="dxa"/>
            <w:right w:w="108" w:type="dxa"/>
          </w:tblCellMar>
        </w:tblPrEx>
        <w:trPr>
          <w:trHeight w:val="57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jc w:val="center"/>
        </w:trPr>
        <w:tc>
          <w:tcPr>
            <w:tcW w:w="4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项目负责人：罗超才</w:t>
            </w:r>
          </w:p>
        </w:tc>
        <w:tc>
          <w:tcPr>
            <w:tcW w:w="6111"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财务负责人：罗超才</w:t>
            </w:r>
          </w:p>
        </w:tc>
      </w:tr>
      <w:tr>
        <w:tblPrEx>
          <w:tblCellMar>
            <w:top w:w="0" w:type="dxa"/>
            <w:left w:w="108" w:type="dxa"/>
            <w:bottom w:w="0" w:type="dxa"/>
            <w:right w:w="108" w:type="dxa"/>
          </w:tblCellMar>
        </w:tblPrEx>
        <w:trPr>
          <w:trHeight w:val="285" w:hRule="atLeast"/>
          <w:jc w:val="center"/>
        </w:trPr>
        <w:tc>
          <w:tcPr>
            <w:tcW w:w="699"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p>
        </w:tc>
        <w:tc>
          <w:tcPr>
            <w:tcW w:w="13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1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18"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1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3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1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09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255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jc w:val="center"/>
        </w:trPr>
        <w:tc>
          <w:tcPr>
            <w:tcW w:w="10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865"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tblPrEx>
          <w:tblCellMar>
            <w:top w:w="0" w:type="dxa"/>
            <w:left w:w="108" w:type="dxa"/>
            <w:bottom w:w="0" w:type="dxa"/>
            <w:right w:w="108" w:type="dxa"/>
          </w:tblCellMar>
        </w:tblPrEx>
        <w:trPr>
          <w:trHeight w:val="514"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遂宁市安居区东禅镇三联小学校部门</w:t>
            </w:r>
          </w:p>
        </w:tc>
        <w:tc>
          <w:tcPr>
            <w:tcW w:w="1099"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遂宁市安居区东禅镇三联小学校</w:t>
            </w:r>
          </w:p>
        </w:tc>
      </w:tr>
      <w:tr>
        <w:tblPrEx>
          <w:tblCellMar>
            <w:top w:w="0" w:type="dxa"/>
            <w:left w:w="108" w:type="dxa"/>
            <w:bottom w:w="0" w:type="dxa"/>
            <w:right w:w="108" w:type="dxa"/>
          </w:tblCellMar>
        </w:tblPrEx>
        <w:trPr>
          <w:trHeight w:val="285"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65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微软雅黑" w:hAnsi="微软雅黑" w:eastAsia="微软雅黑" w:cs="宋体"/>
                <w:i/>
                <w:iCs/>
                <w:color w:val="000000"/>
                <w:kern w:val="0"/>
                <w:sz w:val="16"/>
                <w:szCs w:val="16"/>
              </w:rPr>
              <w:t>及时支付义教学生生活补助。保障经济困难学生不因困失学。</w:t>
            </w:r>
          </w:p>
        </w:tc>
        <w:tc>
          <w:tcPr>
            <w:tcW w:w="465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完成</w:t>
            </w:r>
          </w:p>
        </w:tc>
      </w:tr>
      <w:tr>
        <w:tblPrEx>
          <w:tblCellMar>
            <w:top w:w="0" w:type="dxa"/>
            <w:left w:w="108" w:type="dxa"/>
            <w:bottom w:w="0" w:type="dxa"/>
            <w:right w:w="108" w:type="dxa"/>
          </w:tblCellMar>
        </w:tblPrEx>
        <w:trPr>
          <w:trHeight w:val="694"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865"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微软雅黑" w:hAnsi="微软雅黑" w:eastAsia="微软雅黑" w:cs="宋体"/>
                <w:i/>
                <w:iCs/>
                <w:color w:val="000000"/>
                <w:kern w:val="0"/>
                <w:sz w:val="16"/>
                <w:szCs w:val="16"/>
              </w:rPr>
              <w:t>及时支付义教学生生活补助。保障经济困难学生不因困失学。</w:t>
            </w:r>
          </w:p>
        </w:tc>
      </w:tr>
      <w:tr>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5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本项目由上级统一预算，到学校单位层级为预算调整数。</w:t>
            </w:r>
          </w:p>
        </w:tc>
      </w:tr>
      <w:tr>
        <w:tblPrEx>
          <w:tblCellMar>
            <w:top w:w="0" w:type="dxa"/>
            <w:left w:w="108" w:type="dxa"/>
            <w:bottom w:w="0" w:type="dxa"/>
            <w:right w:w="108" w:type="dxa"/>
          </w:tblCellMar>
        </w:tblPrEx>
        <w:trPr>
          <w:trHeight w:val="432"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　</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按时发放率</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7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25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及时支付义教学生生活补助。保障经济困难学生不因困失学。</w:t>
            </w:r>
          </w:p>
        </w:tc>
      </w:tr>
      <w:tr>
        <w:tblPrEx>
          <w:tblCellMar>
            <w:top w:w="0" w:type="dxa"/>
            <w:left w:w="108" w:type="dxa"/>
            <w:bottom w:w="0" w:type="dxa"/>
            <w:right w:w="108" w:type="dxa"/>
          </w:tblCellMar>
        </w:tblPrEx>
        <w:trPr>
          <w:trHeight w:val="57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jc w:val="center"/>
        </w:trPr>
        <w:tc>
          <w:tcPr>
            <w:tcW w:w="4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项目负责人：罗超才</w:t>
            </w:r>
          </w:p>
        </w:tc>
        <w:tc>
          <w:tcPr>
            <w:tcW w:w="6111"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财务负责人：罗超才</w:t>
            </w:r>
          </w:p>
        </w:tc>
      </w:tr>
      <w:tr>
        <w:tblPrEx>
          <w:tblCellMar>
            <w:top w:w="0" w:type="dxa"/>
            <w:left w:w="108" w:type="dxa"/>
            <w:bottom w:w="0" w:type="dxa"/>
            <w:right w:w="108" w:type="dxa"/>
          </w:tblCellMar>
        </w:tblPrEx>
        <w:trPr>
          <w:trHeight w:val="285" w:hRule="atLeast"/>
          <w:jc w:val="center"/>
        </w:trPr>
        <w:tc>
          <w:tcPr>
            <w:tcW w:w="699"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p>
        </w:tc>
        <w:tc>
          <w:tcPr>
            <w:tcW w:w="13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1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18"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1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3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1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09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255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jc w:val="center"/>
        </w:trPr>
        <w:tc>
          <w:tcPr>
            <w:tcW w:w="10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865"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tblPrEx>
          <w:tblCellMar>
            <w:top w:w="0" w:type="dxa"/>
            <w:left w:w="108" w:type="dxa"/>
            <w:bottom w:w="0" w:type="dxa"/>
            <w:right w:w="108" w:type="dxa"/>
          </w:tblCellMar>
        </w:tblPrEx>
        <w:trPr>
          <w:trHeight w:val="514"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遂宁市安居区东禅镇三联小学校部门</w:t>
            </w:r>
          </w:p>
        </w:tc>
        <w:tc>
          <w:tcPr>
            <w:tcW w:w="1099"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遂宁市安居区东禅镇三联小学校</w:t>
            </w:r>
          </w:p>
        </w:tc>
      </w:tr>
      <w:tr>
        <w:tblPrEx>
          <w:tblCellMar>
            <w:top w:w="0" w:type="dxa"/>
            <w:left w:w="108" w:type="dxa"/>
            <w:bottom w:w="0" w:type="dxa"/>
            <w:right w:w="108" w:type="dxa"/>
          </w:tblCellMar>
        </w:tblPrEx>
        <w:trPr>
          <w:trHeight w:val="285"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65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1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微软雅黑" w:hAnsi="微软雅黑" w:eastAsia="微软雅黑" w:cs="宋体"/>
                <w:i/>
                <w:iCs/>
                <w:color w:val="000000"/>
                <w:kern w:val="0"/>
                <w:sz w:val="16"/>
                <w:szCs w:val="16"/>
              </w:rPr>
              <w:t>及时支付学前幼儿学生补助。保障经济困难学生不因困失学。</w:t>
            </w:r>
          </w:p>
        </w:tc>
        <w:tc>
          <w:tcPr>
            <w:tcW w:w="465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完成</w:t>
            </w:r>
          </w:p>
        </w:tc>
      </w:tr>
      <w:tr>
        <w:tblPrEx>
          <w:tblCellMar>
            <w:top w:w="0" w:type="dxa"/>
            <w:left w:w="108" w:type="dxa"/>
            <w:bottom w:w="0" w:type="dxa"/>
            <w:right w:w="108" w:type="dxa"/>
          </w:tblCellMar>
        </w:tblPrEx>
        <w:trPr>
          <w:trHeight w:val="694"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865"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微软雅黑" w:hAnsi="微软雅黑" w:eastAsia="微软雅黑" w:cs="宋体"/>
                <w:i/>
                <w:iCs/>
                <w:color w:val="000000"/>
                <w:kern w:val="0"/>
                <w:sz w:val="16"/>
                <w:szCs w:val="16"/>
              </w:rPr>
              <w:t>及时支付学前幼儿学生补助。保障经济困难学生不因困失学。</w:t>
            </w:r>
          </w:p>
        </w:tc>
      </w:tr>
      <w:tr>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5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本项目由上级统一预算，到学校单位层级为预算调整数。</w:t>
            </w:r>
          </w:p>
        </w:tc>
      </w:tr>
      <w:tr>
        <w:tblPrEx>
          <w:tblCellMar>
            <w:top w:w="0" w:type="dxa"/>
            <w:left w:w="108" w:type="dxa"/>
            <w:bottom w:w="0" w:type="dxa"/>
            <w:right w:w="108" w:type="dxa"/>
          </w:tblCellMar>
        </w:tblPrEx>
        <w:trPr>
          <w:trHeight w:val="432"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　</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按时发放率</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9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55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7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25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及时支付学前幼儿学生补助。保障经济困难学生不因困失学。</w:t>
            </w:r>
          </w:p>
        </w:tc>
      </w:tr>
      <w:tr>
        <w:tblPrEx>
          <w:tblCellMar>
            <w:top w:w="0" w:type="dxa"/>
            <w:left w:w="108" w:type="dxa"/>
            <w:bottom w:w="0" w:type="dxa"/>
            <w:right w:w="108" w:type="dxa"/>
          </w:tblCellMar>
        </w:tblPrEx>
        <w:trPr>
          <w:trHeight w:val="57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jc w:val="center"/>
        </w:trPr>
        <w:tc>
          <w:tcPr>
            <w:tcW w:w="6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22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jc w:val="center"/>
        </w:trPr>
        <w:tc>
          <w:tcPr>
            <w:tcW w:w="4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项目负责人：罗超才</w:t>
            </w:r>
          </w:p>
        </w:tc>
        <w:tc>
          <w:tcPr>
            <w:tcW w:w="6111"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财务负责人：罗超才</w:t>
            </w:r>
          </w:p>
        </w:tc>
      </w:tr>
      <w:tr>
        <w:tblPrEx>
          <w:tblCellMar>
            <w:top w:w="0" w:type="dxa"/>
            <w:left w:w="108" w:type="dxa"/>
            <w:bottom w:w="0" w:type="dxa"/>
            <w:right w:w="108" w:type="dxa"/>
          </w:tblCellMar>
        </w:tblPrEx>
        <w:trPr>
          <w:trHeight w:val="285" w:hRule="atLeast"/>
          <w:jc w:val="center"/>
        </w:trPr>
        <w:tc>
          <w:tcPr>
            <w:tcW w:w="699"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p>
        </w:tc>
        <w:tc>
          <w:tcPr>
            <w:tcW w:w="13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1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18"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1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3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1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09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255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bl>
    <w:p>
      <w:pPr>
        <w:spacing w:line="600" w:lineRule="exact"/>
        <w:ind w:firstLine="640" w:firstLineChars="200"/>
        <w:jc w:val="left"/>
        <w:outlineLvl w:val="0"/>
        <w:rPr>
          <w:rFonts w:ascii="仿宋_GB2312" w:hAnsi="Calibri" w:eastAsia="仿宋_GB2312" w:cs="仿宋"/>
          <w:kern w:val="0"/>
          <w:sz w:val="32"/>
          <w:szCs w:val="32"/>
        </w:rPr>
      </w:pPr>
      <w:r>
        <w:rPr>
          <w:rFonts w:hAnsi="Calibri" w:cs="仿宋"/>
          <w:sz w:val="32"/>
          <w:szCs w:val="32"/>
        </w:rPr>
        <w:br w:type="page"/>
      </w: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4"/>
      <w:bookmarkEnd w:id="56"/>
      <w:bookmarkStart w:id="58" w:name="_Toc1539661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7"/>
          <w:rFonts w:hint="eastAsia" w:ascii="仿宋" w:hAnsi="仿宋" w:eastAsia="仿宋"/>
          <w:b w:val="0"/>
          <w:bCs w:val="0"/>
        </w:rPr>
        <w:t>入决算表</w:t>
      </w:r>
      <w:bookmarkEnd w:id="59"/>
    </w:p>
    <w:p>
      <w:pPr>
        <w:pStyle w:val="4"/>
        <w:rPr>
          <w:rFonts w:ascii="仿宋" w:hAnsi="仿宋" w:eastAsia="仿宋"/>
        </w:rPr>
      </w:pPr>
      <w:bookmarkStart w:id="60"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1"/>
    </w:p>
    <w:p>
      <w:pPr>
        <w:pStyle w:val="4"/>
        <w:rPr>
          <w:rStyle w:val="27"/>
          <w:rFonts w:ascii="仿宋" w:hAnsi="仿宋" w:eastAsia="仿宋"/>
          <w:b w:val="0"/>
          <w:bCs w:val="0"/>
        </w:rPr>
      </w:pPr>
      <w:bookmarkStart w:id="62"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7"/>
          <w:rFonts w:hint="eastAsia" w:ascii="仿宋" w:hAnsi="仿宋" w:eastAsia="仿宋"/>
          <w:b w:val="0"/>
          <w:bCs w:val="0"/>
        </w:rPr>
        <w:t>十、</w:t>
      </w:r>
      <w:bookmarkEnd w:id="67"/>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7"/>
          <w:rFonts w:hint="eastAsia" w:ascii="仿宋" w:hAnsi="仿宋" w:eastAsia="仿宋"/>
          <w:b w:val="0"/>
          <w:bCs w:val="0"/>
        </w:rPr>
        <w:t>十一、</w:t>
      </w:r>
      <w:bookmarkEnd w:id="68"/>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7"/>
          <w:rFonts w:hint="eastAsia" w:ascii="仿宋" w:hAnsi="仿宋" w:eastAsia="仿宋"/>
          <w:b w:val="0"/>
          <w:bCs w:val="0"/>
        </w:rPr>
        <w:t>十二、</w:t>
      </w:r>
      <w:bookmarkEnd w:id="69"/>
      <w:r>
        <w:rPr>
          <w:rStyle w:val="27"/>
          <w:rFonts w:hint="eastAsia" w:ascii="仿宋" w:hAnsi="仿宋" w:eastAsia="仿宋"/>
          <w:b w:val="0"/>
          <w:bCs w:val="0"/>
        </w:rPr>
        <w:t>国有资本经营预算财政拨款支出决算表</w:t>
      </w:r>
    </w:p>
    <w:p>
      <w:pPr>
        <w:pStyle w:val="4"/>
        <w:rPr>
          <w:rFonts w:eastAsia="仿宋"/>
        </w:rPr>
      </w:pPr>
      <w:bookmarkStart w:id="70" w:name="_Toc15396631"/>
      <w:r>
        <w:rPr>
          <w:rStyle w:val="27"/>
          <w:rFonts w:hint="eastAsia" w:ascii="仿宋" w:hAnsi="仿宋" w:eastAsia="仿宋"/>
          <w:b w:val="0"/>
          <w:bCs w:val="0"/>
        </w:rPr>
        <w:t>十三、</w:t>
      </w:r>
      <w:bookmarkEnd w:id="70"/>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133" w:bottom="1440"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ODcyYjhhNmY4MThjMjEzZWUyZTc1NmY1ZjYxZGQifQ=="/>
  </w:docVars>
  <w:rsids>
    <w:rsidRoot w:val="00F1361C"/>
    <w:rsid w:val="0000598F"/>
    <w:rsid w:val="000222C6"/>
    <w:rsid w:val="0002549F"/>
    <w:rsid w:val="000468DB"/>
    <w:rsid w:val="0006487A"/>
    <w:rsid w:val="00065F8F"/>
    <w:rsid w:val="00070A43"/>
    <w:rsid w:val="000768F2"/>
    <w:rsid w:val="00081B60"/>
    <w:rsid w:val="0009184B"/>
    <w:rsid w:val="00094236"/>
    <w:rsid w:val="0009593C"/>
    <w:rsid w:val="00097322"/>
    <w:rsid w:val="000A380F"/>
    <w:rsid w:val="000A6A92"/>
    <w:rsid w:val="000B047F"/>
    <w:rsid w:val="000B5923"/>
    <w:rsid w:val="000B5A48"/>
    <w:rsid w:val="000B6FF3"/>
    <w:rsid w:val="000C3467"/>
    <w:rsid w:val="000C3CA6"/>
    <w:rsid w:val="000C6AAE"/>
    <w:rsid w:val="000D1267"/>
    <w:rsid w:val="000D1D50"/>
    <w:rsid w:val="000D5782"/>
    <w:rsid w:val="000E6613"/>
    <w:rsid w:val="000E7119"/>
    <w:rsid w:val="00114E9B"/>
    <w:rsid w:val="00142216"/>
    <w:rsid w:val="00144D6A"/>
    <w:rsid w:val="0014729F"/>
    <w:rsid w:val="00151DA9"/>
    <w:rsid w:val="00157BAB"/>
    <w:rsid w:val="001654D1"/>
    <w:rsid w:val="00174518"/>
    <w:rsid w:val="0018106D"/>
    <w:rsid w:val="001877A7"/>
    <w:rsid w:val="00191536"/>
    <w:rsid w:val="00196687"/>
    <w:rsid w:val="001A15AE"/>
    <w:rsid w:val="001B0F49"/>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371C8"/>
    <w:rsid w:val="0036561B"/>
    <w:rsid w:val="0037013F"/>
    <w:rsid w:val="00380C92"/>
    <w:rsid w:val="003A4628"/>
    <w:rsid w:val="003A484F"/>
    <w:rsid w:val="003A4883"/>
    <w:rsid w:val="003B0BE0"/>
    <w:rsid w:val="003B0C1B"/>
    <w:rsid w:val="003B688C"/>
    <w:rsid w:val="003C0116"/>
    <w:rsid w:val="003C0291"/>
    <w:rsid w:val="003C39AE"/>
    <w:rsid w:val="003C7B60"/>
    <w:rsid w:val="003D0C0F"/>
    <w:rsid w:val="003D1FB2"/>
    <w:rsid w:val="003D66DA"/>
    <w:rsid w:val="003E1310"/>
    <w:rsid w:val="003E6F55"/>
    <w:rsid w:val="00406254"/>
    <w:rsid w:val="00412202"/>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2C4"/>
    <w:rsid w:val="004F0FBD"/>
    <w:rsid w:val="00505A47"/>
    <w:rsid w:val="00512FDA"/>
    <w:rsid w:val="00520DA0"/>
    <w:rsid w:val="00524271"/>
    <w:rsid w:val="0055053F"/>
    <w:rsid w:val="005664BB"/>
    <w:rsid w:val="00566FFA"/>
    <w:rsid w:val="0057481D"/>
    <w:rsid w:val="0058486E"/>
    <w:rsid w:val="00585B33"/>
    <w:rsid w:val="0059014D"/>
    <w:rsid w:val="005B5C64"/>
    <w:rsid w:val="005C5337"/>
    <w:rsid w:val="005C6BD0"/>
    <w:rsid w:val="005D1C8B"/>
    <w:rsid w:val="005D468D"/>
    <w:rsid w:val="005D5CED"/>
    <w:rsid w:val="005E69BF"/>
    <w:rsid w:val="005F1A4C"/>
    <w:rsid w:val="00605688"/>
    <w:rsid w:val="006070AF"/>
    <w:rsid w:val="00607E6C"/>
    <w:rsid w:val="006101B1"/>
    <w:rsid w:val="00614E44"/>
    <w:rsid w:val="0062270A"/>
    <w:rsid w:val="00622830"/>
    <w:rsid w:val="00623DA0"/>
    <w:rsid w:val="00630AEF"/>
    <w:rsid w:val="006325F8"/>
    <w:rsid w:val="00633463"/>
    <w:rsid w:val="00634C9A"/>
    <w:rsid w:val="00635AE0"/>
    <w:rsid w:val="006440E4"/>
    <w:rsid w:val="0066343B"/>
    <w:rsid w:val="00664777"/>
    <w:rsid w:val="006748A4"/>
    <w:rsid w:val="00681A31"/>
    <w:rsid w:val="00683E73"/>
    <w:rsid w:val="006A3141"/>
    <w:rsid w:val="006A5E34"/>
    <w:rsid w:val="006B2422"/>
    <w:rsid w:val="006B2B9A"/>
    <w:rsid w:val="006C1937"/>
    <w:rsid w:val="006F020C"/>
    <w:rsid w:val="00707832"/>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24E"/>
    <w:rsid w:val="008253BB"/>
    <w:rsid w:val="0083706E"/>
    <w:rsid w:val="008408F6"/>
    <w:rsid w:val="008423A5"/>
    <w:rsid w:val="00850625"/>
    <w:rsid w:val="00853718"/>
    <w:rsid w:val="00855221"/>
    <w:rsid w:val="00856EC8"/>
    <w:rsid w:val="00860645"/>
    <w:rsid w:val="00871F71"/>
    <w:rsid w:val="00872FD8"/>
    <w:rsid w:val="00885AF4"/>
    <w:rsid w:val="008939CD"/>
    <w:rsid w:val="008B768C"/>
    <w:rsid w:val="008C4DB1"/>
    <w:rsid w:val="008C4EAF"/>
    <w:rsid w:val="008C5176"/>
    <w:rsid w:val="008C7FD0"/>
    <w:rsid w:val="008D6D09"/>
    <w:rsid w:val="008E1DE7"/>
    <w:rsid w:val="008E707C"/>
    <w:rsid w:val="00900B08"/>
    <w:rsid w:val="00902155"/>
    <w:rsid w:val="00902FA3"/>
    <w:rsid w:val="00923564"/>
    <w:rsid w:val="0092392E"/>
    <w:rsid w:val="009315F9"/>
    <w:rsid w:val="00933499"/>
    <w:rsid w:val="009343C7"/>
    <w:rsid w:val="00935C98"/>
    <w:rsid w:val="00946945"/>
    <w:rsid w:val="00951248"/>
    <w:rsid w:val="0095152F"/>
    <w:rsid w:val="00954C49"/>
    <w:rsid w:val="00955E37"/>
    <w:rsid w:val="00956464"/>
    <w:rsid w:val="0097099F"/>
    <w:rsid w:val="00971997"/>
    <w:rsid w:val="00971FFC"/>
    <w:rsid w:val="0098660A"/>
    <w:rsid w:val="00992955"/>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2058"/>
    <w:rsid w:val="00A91760"/>
    <w:rsid w:val="00A93B00"/>
    <w:rsid w:val="00A93C21"/>
    <w:rsid w:val="00AB64C9"/>
    <w:rsid w:val="00AC3C6A"/>
    <w:rsid w:val="00AD2621"/>
    <w:rsid w:val="00AD5620"/>
    <w:rsid w:val="00AD656B"/>
    <w:rsid w:val="00AD7C1B"/>
    <w:rsid w:val="00AE16BA"/>
    <w:rsid w:val="00AE1EBE"/>
    <w:rsid w:val="00AF5F97"/>
    <w:rsid w:val="00B01AD1"/>
    <w:rsid w:val="00B03C9D"/>
    <w:rsid w:val="00B060AE"/>
    <w:rsid w:val="00B10517"/>
    <w:rsid w:val="00B14E76"/>
    <w:rsid w:val="00B161B8"/>
    <w:rsid w:val="00B16832"/>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5AD9"/>
    <w:rsid w:val="00BF5BD6"/>
    <w:rsid w:val="00C03E31"/>
    <w:rsid w:val="00C25EB0"/>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57BA"/>
    <w:rsid w:val="00CE7B61"/>
    <w:rsid w:val="00CF5022"/>
    <w:rsid w:val="00D00095"/>
    <w:rsid w:val="00D0368B"/>
    <w:rsid w:val="00D114F0"/>
    <w:rsid w:val="00D20620"/>
    <w:rsid w:val="00D254F7"/>
    <w:rsid w:val="00D26091"/>
    <w:rsid w:val="00D2685C"/>
    <w:rsid w:val="00D34E7C"/>
    <w:rsid w:val="00D35489"/>
    <w:rsid w:val="00D36AFE"/>
    <w:rsid w:val="00D50808"/>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020A"/>
    <w:rsid w:val="00ED1B63"/>
    <w:rsid w:val="00ED3C1F"/>
    <w:rsid w:val="00ED4085"/>
    <w:rsid w:val="00ED420E"/>
    <w:rsid w:val="00ED6FBE"/>
    <w:rsid w:val="00EE1C62"/>
    <w:rsid w:val="00EE2F57"/>
    <w:rsid w:val="00EF4C34"/>
    <w:rsid w:val="00EF77C6"/>
    <w:rsid w:val="00F05438"/>
    <w:rsid w:val="00F1361C"/>
    <w:rsid w:val="00F156F0"/>
    <w:rsid w:val="00F160C7"/>
    <w:rsid w:val="00F2408F"/>
    <w:rsid w:val="00F240E9"/>
    <w:rsid w:val="00F36D8F"/>
    <w:rsid w:val="00F417B1"/>
    <w:rsid w:val="00F45853"/>
    <w:rsid w:val="00F51FAC"/>
    <w:rsid w:val="00F602DF"/>
    <w:rsid w:val="00F754A1"/>
    <w:rsid w:val="00F81FD9"/>
    <w:rsid w:val="00F841AA"/>
    <w:rsid w:val="00F84A94"/>
    <w:rsid w:val="00F87E96"/>
    <w:rsid w:val="00FA23E8"/>
    <w:rsid w:val="00FD3CC1"/>
    <w:rsid w:val="00FF1E02"/>
    <w:rsid w:val="00FF30B4"/>
    <w:rsid w:val="049A7283"/>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5D77ADE"/>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rPr>
  </w:style>
  <w:style w:type="character" w:styleId="16">
    <w:name w:val="FollowedHyperlink"/>
    <w:basedOn w:val="14"/>
    <w:semiHidden/>
    <w:unhideWhenUsed/>
    <w:uiPriority w:val="99"/>
    <w:rPr>
      <w:color w:val="954F72"/>
      <w:u w:val="singl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字符"/>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字符"/>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4"/>
    <w:link w:val="3"/>
    <w:qFormat/>
    <w:uiPriority w:val="9"/>
    <w:rPr>
      <w:rFonts w:ascii="Times New Roman" w:hAnsi="Times New Roman"/>
      <w:b/>
      <w:bCs/>
      <w:kern w:val="44"/>
      <w:sz w:val="44"/>
      <w:szCs w:val="44"/>
    </w:rPr>
  </w:style>
  <w:style w:type="character" w:customStyle="1" w:styleId="27">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4"/>
    <w:link w:val="7"/>
    <w:semiHidden/>
    <w:qFormat/>
    <w:uiPriority w:val="99"/>
    <w:rPr>
      <w:rFonts w:ascii="Times New Roman" w:hAnsi="Times New Roman"/>
      <w:kern w:val="2"/>
      <w:sz w:val="18"/>
      <w:szCs w:val="18"/>
    </w:rPr>
  </w:style>
  <w:style w:type="character" w:customStyle="1" w:styleId="30">
    <w:name w:val="标题 3 字符"/>
    <w:basedOn w:val="14"/>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5">
    <w:name w:val="xl66"/>
    <w:basedOn w:val="1"/>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36">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0">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color w:val="000000"/>
      <w:kern w:val="0"/>
      <w:sz w:val="18"/>
      <w:szCs w:val="18"/>
    </w:rPr>
  </w:style>
  <w:style w:type="paragraph" w:customStyle="1" w:styleId="42">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3">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i/>
      <w:iCs/>
      <w:color w:val="000000"/>
      <w:kern w:val="0"/>
      <w:sz w:val="18"/>
      <w:szCs w:val="18"/>
    </w:rPr>
  </w:style>
  <w:style w:type="paragraph" w:customStyle="1" w:styleId="44">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45">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6">
    <w:name w:val="xl77"/>
    <w:basedOn w:val="1"/>
    <w:qFormat/>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47">
    <w:name w:val="xl78"/>
    <w:basedOn w:val="1"/>
    <w:uiPriority w:val="0"/>
    <w:pPr>
      <w:widowControl/>
      <w:spacing w:before="100" w:beforeAutospacing="1" w:after="100" w:afterAutospacing="1"/>
      <w:jc w:val="left"/>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1181</Words>
  <Characters>6738</Characters>
  <Lines>56</Lines>
  <Paragraphs>15</Paragraphs>
  <TotalTime>35</TotalTime>
  <ScaleCrop>false</ScaleCrop>
  <LinksUpToDate>false</LinksUpToDate>
  <CharactersWithSpaces>7904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2023-08-16T08:39:00Z</dcterms:created>
  <dc:creator>曹颖</dc:creator>
  <cp:lastModifiedBy>Lenovo</cp:lastModifiedBy>
  <cp:lastPrinted>2023-07-31T02:35:00Z</cp:lastPrinted>
  <dcterms:modified xsi:type="dcterms:W3CDTF">2023-08-24T08:48:49Z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1780D5D2A03641ED93D2D6234A164D88_12</vt:lpwstr>
  </property>
</Properties>
</file>