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90" w:afterLines="50" w:line="300" w:lineRule="auto"/>
        <w:ind w:firstLine="0" w:firstLineChars="0"/>
        <w:jc w:val="left"/>
        <w:rPr>
          <w:rFonts w:hint="eastAsia" w:ascii="黑体" w:hAnsi="黑体" w:eastAsia="黑体" w:cs="黑体"/>
          <w:b w:val="0"/>
          <w:bCs/>
          <w:sz w:val="32"/>
          <w:szCs w:val="32"/>
          <w:lang w:val="en-US" w:eastAsia="zh-CN"/>
        </w:rPr>
      </w:pPr>
      <w:bookmarkStart w:id="153" w:name="_GoBack"/>
      <w:bookmarkEnd w:id="153"/>
      <w:r>
        <w:rPr>
          <w:rFonts w:hint="eastAsia" w:ascii="黑体" w:hAnsi="黑体" w:eastAsia="黑体" w:cs="黑体"/>
          <w:b w:val="0"/>
          <w:bCs/>
          <w:sz w:val="32"/>
          <w:szCs w:val="32"/>
          <w:lang w:eastAsia="zh-CN"/>
        </w:rPr>
        <w:t>附</w:t>
      </w:r>
      <w:r>
        <w:rPr>
          <w:rFonts w:hint="eastAsia" w:ascii="黑体" w:hAnsi="黑体" w:eastAsia="黑体" w:cs="黑体"/>
          <w:b w:val="0"/>
          <w:bCs/>
          <w:sz w:val="32"/>
          <w:szCs w:val="32"/>
          <w:lang w:val="en-US" w:eastAsia="zh-CN"/>
        </w:rPr>
        <w:t xml:space="preserve"> </w:t>
      </w:r>
      <w:r>
        <w:rPr>
          <w:rFonts w:hint="eastAsia" w:ascii="黑体" w:hAnsi="黑体" w:eastAsia="黑体" w:cs="黑体"/>
          <w:b w:val="0"/>
          <w:bCs/>
          <w:sz w:val="32"/>
          <w:szCs w:val="32"/>
          <w:lang w:eastAsia="zh-CN"/>
        </w:rPr>
        <w:t>件</w:t>
      </w:r>
      <w:r>
        <w:rPr>
          <w:rFonts w:hint="eastAsia" w:ascii="黑体" w:hAnsi="黑体" w:eastAsia="黑体" w:cs="黑体"/>
          <w:b w:val="0"/>
          <w:bCs/>
          <w:sz w:val="32"/>
          <w:szCs w:val="32"/>
          <w:lang w:val="en-US" w:eastAsia="zh-CN"/>
        </w:rPr>
        <w:t xml:space="preserve"> ：</w:t>
      </w:r>
    </w:p>
    <w:p>
      <w:pPr>
        <w:spacing w:after="190" w:afterLines="50" w:line="300" w:lineRule="auto"/>
        <w:ind w:firstLine="0" w:firstLineChars="0"/>
        <w:jc w:val="center"/>
        <w:rPr>
          <w:rFonts w:hint="eastAsia" w:ascii="Times New Roman" w:hAnsi="Times New Roman" w:eastAsia="黑体" w:cs="Times New Roman"/>
          <w:b/>
          <w:sz w:val="52"/>
          <w:szCs w:val="52"/>
          <w:lang w:eastAsia="zh-CN"/>
        </w:rPr>
      </w:pPr>
      <w:r>
        <w:rPr>
          <w:rFonts w:hint="eastAsia" w:ascii="Times New Roman" w:hAnsi="Times New Roman" w:eastAsia="黑体" w:cs="Times New Roman"/>
          <w:b/>
          <w:sz w:val="52"/>
          <w:szCs w:val="52"/>
          <w:lang w:eastAsia="zh-CN"/>
        </w:rPr>
        <w:t>遂宁市安居区城区智慧停车位项目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b/>
          <w:bCs/>
          <w:sz w:val="56"/>
          <w:szCs w:val="56"/>
          <w:highlight w:val="none"/>
          <w:lang w:val="en-US" w:eastAsia="zh-CN"/>
        </w:rPr>
      </w:pPr>
      <w:r>
        <w:rPr>
          <w:rFonts w:hint="eastAsia" w:ascii="黑体" w:hAnsi="黑体" w:eastAsia="黑体" w:cs="黑体"/>
          <w:b/>
          <w:bCs/>
          <w:sz w:val="56"/>
          <w:szCs w:val="56"/>
          <w:highlight w:val="none"/>
          <w:lang w:val="en-US" w:eastAsia="zh-CN"/>
        </w:rPr>
        <w:t>特</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b/>
          <w:bCs/>
          <w:sz w:val="56"/>
          <w:szCs w:val="56"/>
          <w:highlight w:val="none"/>
          <w:lang w:val="en-US" w:eastAsia="zh-CN"/>
        </w:rPr>
      </w:pPr>
      <w:r>
        <w:rPr>
          <w:rFonts w:hint="eastAsia" w:ascii="黑体" w:hAnsi="黑体" w:eastAsia="黑体" w:cs="黑体"/>
          <w:b/>
          <w:bCs/>
          <w:sz w:val="56"/>
          <w:szCs w:val="56"/>
          <w:highlight w:val="none"/>
          <w:lang w:val="en-US" w:eastAsia="zh-CN"/>
        </w:rPr>
        <w:t>许</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b/>
          <w:bCs/>
          <w:sz w:val="56"/>
          <w:szCs w:val="56"/>
          <w:highlight w:val="none"/>
          <w:lang w:val="en-US" w:eastAsia="zh-CN"/>
        </w:rPr>
      </w:pPr>
      <w:r>
        <w:rPr>
          <w:rFonts w:hint="eastAsia" w:ascii="黑体" w:hAnsi="黑体" w:eastAsia="黑体" w:cs="黑体"/>
          <w:b/>
          <w:bCs/>
          <w:sz w:val="56"/>
          <w:szCs w:val="56"/>
          <w:highlight w:val="none"/>
          <w:lang w:val="en-US" w:eastAsia="zh-CN"/>
        </w:rPr>
        <w:t>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黑体" w:hAnsi="黑体" w:eastAsia="黑体" w:cs="黑体"/>
          <w:b/>
          <w:bCs/>
          <w:sz w:val="56"/>
          <w:szCs w:val="56"/>
          <w:highlight w:val="none"/>
          <w:lang w:val="en-US" w:eastAsia="zh-CN"/>
        </w:rPr>
      </w:pPr>
      <w:r>
        <w:rPr>
          <w:rFonts w:hint="eastAsia" w:ascii="黑体" w:hAnsi="黑体" w:eastAsia="黑体" w:cs="黑体"/>
          <w:b/>
          <w:bCs/>
          <w:sz w:val="56"/>
          <w:szCs w:val="56"/>
          <w:highlight w:val="none"/>
          <w:lang w:val="en-US" w:eastAsia="zh-CN"/>
        </w:rPr>
        <w:t>营</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黑体" w:hAnsi="黑体" w:eastAsia="黑体" w:cs="黑体"/>
          <w:b/>
          <w:bCs/>
          <w:sz w:val="56"/>
          <w:szCs w:val="56"/>
          <w:highlight w:val="none"/>
          <w:lang w:val="en-US" w:eastAsia="zh-CN"/>
        </w:rPr>
      </w:pPr>
      <w:r>
        <w:rPr>
          <w:rFonts w:hint="eastAsia" w:ascii="黑体" w:hAnsi="黑体" w:eastAsia="黑体" w:cs="黑体"/>
          <w:b/>
          <w:bCs/>
          <w:sz w:val="56"/>
          <w:szCs w:val="56"/>
          <w:highlight w:val="none"/>
          <w:lang w:val="en-US" w:eastAsia="zh-CN"/>
        </w:rPr>
        <w:t>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黑体" w:hAnsi="黑体" w:eastAsia="黑体" w:cs="黑体"/>
          <w:b/>
          <w:bCs/>
          <w:sz w:val="56"/>
          <w:szCs w:val="56"/>
          <w:highlight w:val="none"/>
          <w:lang w:val="en-US" w:eastAsia="zh-CN"/>
        </w:rPr>
      </w:pPr>
      <w:r>
        <w:rPr>
          <w:rFonts w:hint="eastAsia" w:ascii="黑体" w:hAnsi="黑体" w:eastAsia="黑体" w:cs="黑体"/>
          <w:b/>
          <w:bCs/>
          <w:sz w:val="56"/>
          <w:szCs w:val="56"/>
          <w:highlight w:val="none"/>
          <w:lang w:val="en-US" w:eastAsia="zh-CN"/>
        </w:rPr>
        <w:t>让</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b/>
          <w:bCs/>
          <w:sz w:val="56"/>
          <w:szCs w:val="56"/>
          <w:highlight w:val="none"/>
          <w:lang w:val="en-US" w:eastAsia="zh-CN"/>
        </w:rPr>
      </w:pPr>
      <w:bookmarkStart w:id="0" w:name="_Toc2690"/>
      <w:bookmarkStart w:id="1" w:name="_Toc7275"/>
      <w:r>
        <w:rPr>
          <w:rFonts w:hint="eastAsia" w:ascii="黑体" w:hAnsi="黑体" w:eastAsia="黑体" w:cs="黑体"/>
          <w:b/>
          <w:bCs/>
          <w:sz w:val="56"/>
          <w:szCs w:val="56"/>
          <w:highlight w:val="none"/>
          <w:lang w:val="en-US" w:eastAsia="zh-CN"/>
        </w:rPr>
        <w:t>方</w:t>
      </w:r>
      <w:bookmarkEnd w:id="0"/>
      <w:bookmarkEnd w:id="1"/>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b/>
          <w:bCs/>
          <w:sz w:val="56"/>
          <w:szCs w:val="56"/>
          <w:highlight w:val="none"/>
          <w:lang w:val="en-US" w:eastAsia="zh-CN"/>
        </w:rPr>
      </w:pPr>
      <w:bookmarkStart w:id="2" w:name="_Toc12060"/>
      <w:r>
        <w:rPr>
          <w:rFonts w:hint="eastAsia" w:ascii="黑体" w:hAnsi="黑体" w:eastAsia="黑体" w:cs="黑体"/>
          <w:b/>
          <w:bCs/>
          <w:sz w:val="56"/>
          <w:szCs w:val="56"/>
          <w:highlight w:val="none"/>
          <w:lang w:val="en-US" w:eastAsia="zh-CN"/>
        </w:rPr>
        <w:t>案</w:t>
      </w:r>
      <w:bookmarkEnd w:id="2"/>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Times New Roman" w:hAnsi="Times New Roman" w:eastAsia="黑体" w:cs="Times New Roman"/>
          <w:sz w:val="32"/>
          <w:szCs w:val="32"/>
          <w:lang w:eastAsia="zh-CN"/>
        </w:rPr>
      </w:pPr>
      <w:r>
        <w:rPr>
          <w:rFonts w:hint="eastAsia" w:ascii="Times New Roman" w:hAnsi="Times New Roman" w:eastAsia="黑体" w:cs="Times New Roman"/>
          <w:b/>
          <w:sz w:val="32"/>
          <w:szCs w:val="32"/>
          <w:lang w:val="en-US" w:eastAsia="zh-CN"/>
        </w:rPr>
        <w:t>主管单位</w:t>
      </w:r>
      <w:r>
        <w:rPr>
          <w:rFonts w:hint="default" w:ascii="Times New Roman" w:hAnsi="Times New Roman" w:eastAsia="黑体" w:cs="Times New Roman"/>
          <w:b/>
          <w:sz w:val="32"/>
          <w:szCs w:val="32"/>
        </w:rPr>
        <w:t>：</w:t>
      </w:r>
      <w:r>
        <w:rPr>
          <w:rFonts w:hint="eastAsia" w:ascii="Times New Roman" w:hAnsi="Times New Roman" w:eastAsia="黑体" w:cs="Times New Roman"/>
          <w:b/>
          <w:sz w:val="32"/>
          <w:szCs w:val="32"/>
          <w:lang w:eastAsia="zh-CN"/>
        </w:rPr>
        <w:t>遂宁市安居区综合行政执法局</w:t>
      </w:r>
    </w:p>
    <w:p>
      <w:pPr>
        <w:spacing w:line="240" w:lineRule="auto"/>
        <w:ind w:firstLine="0" w:firstLineChars="0"/>
        <w:jc w:val="cente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编制单位：中国国际工程咨询有限公司</w:t>
      </w:r>
    </w:p>
    <w:p>
      <w:pPr>
        <w:spacing w:line="240" w:lineRule="auto"/>
        <w:ind w:firstLine="0" w:firstLineChars="0"/>
        <w:jc w:val="center"/>
        <w:rPr>
          <w:rFonts w:hint="eastAsia" w:ascii="Times New Roman" w:hAnsi="Times New Roman" w:eastAsia="黑体" w:cs="Times New Roman"/>
          <w:b/>
          <w:sz w:val="32"/>
          <w:szCs w:val="32"/>
          <w:lang w:val="en-US" w:eastAsia="zh-CN"/>
        </w:rPr>
      </w:pPr>
    </w:p>
    <w:p>
      <w:pPr>
        <w:spacing w:line="240" w:lineRule="auto"/>
        <w:ind w:firstLine="0" w:firstLineChars="0"/>
        <w:jc w:val="center"/>
        <w:rPr>
          <w:rFonts w:hint="eastAsia" w:ascii="Times New Roman" w:hAnsi="Times New Roman" w:eastAsia="黑体" w:cs="Times New Roman"/>
          <w:b/>
          <w:sz w:val="32"/>
          <w:szCs w:val="32"/>
          <w:lang w:val="en-US" w:eastAsia="zh-CN"/>
        </w:rPr>
      </w:pPr>
      <w:r>
        <w:rPr>
          <w:rFonts w:hint="eastAsia" w:ascii="Times New Roman" w:hAnsi="Times New Roman" w:eastAsia="黑体" w:cs="Times New Roman"/>
          <w:b/>
          <w:sz w:val="32"/>
          <w:szCs w:val="32"/>
          <w:lang w:val="en-US" w:eastAsia="zh-CN"/>
        </w:rPr>
        <w:t>（征求意见稿）</w:t>
      </w:r>
    </w:p>
    <w:p>
      <w:pPr>
        <w:spacing w:line="240" w:lineRule="auto"/>
        <w:ind w:firstLine="0" w:firstLineChars="0"/>
        <w:jc w:val="center"/>
        <w:rPr>
          <w:rFonts w:hint="default" w:ascii="Times New Roman" w:hAnsi="Times New Roman" w:eastAsia="黑体" w:cs="Times New Roman"/>
          <w:b/>
          <w:sz w:val="32"/>
          <w:szCs w:val="32"/>
        </w:rPr>
      </w:pPr>
      <w:r>
        <w:rPr>
          <w:rFonts w:hint="default" w:ascii="Times New Roman" w:hAnsi="Times New Roman" w:eastAsia="黑体" w:cs="Times New Roman"/>
          <w:b/>
          <w:sz w:val="32"/>
          <w:szCs w:val="32"/>
        </w:rPr>
        <w:t>二〇二三年</w:t>
      </w:r>
      <w:r>
        <w:rPr>
          <w:rFonts w:hint="eastAsia" w:ascii="Times New Roman" w:hAnsi="Times New Roman" w:eastAsia="黑体" w:cs="Times New Roman"/>
          <w:b/>
          <w:sz w:val="32"/>
          <w:szCs w:val="32"/>
          <w:lang w:val="en-US" w:eastAsia="zh-CN"/>
        </w:rPr>
        <w:t>七</w:t>
      </w:r>
      <w:r>
        <w:rPr>
          <w:rFonts w:hint="default" w:ascii="Times New Roman" w:hAnsi="Times New Roman" w:eastAsia="黑体" w:cs="Times New Roman"/>
          <w:b/>
          <w:sz w:val="32"/>
          <w:szCs w:val="32"/>
        </w:rPr>
        <w:t>月</w:t>
      </w:r>
    </w:p>
    <w:p>
      <w:pPr>
        <w:spacing w:line="240" w:lineRule="auto"/>
        <w:ind w:firstLine="0" w:firstLineChars="0"/>
        <w:jc w:val="center"/>
        <w:rPr>
          <w:rFonts w:hint="eastAsia" w:ascii="Times New Roman" w:hAnsi="Times New Roman" w:eastAsia="黑体" w:cs="Times New Roman"/>
          <w:b/>
          <w:sz w:val="32"/>
          <w:szCs w:val="32"/>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NumType w:fmt="upperRoman" w:start="1"/>
          <w:cols w:space="425" w:num="1"/>
          <w:titlePg/>
          <w:docGrid w:type="lines" w:linePitch="381" w:charSpace="0"/>
        </w:sectPr>
      </w:pPr>
    </w:p>
    <w:p>
      <w:pPr>
        <w:tabs>
          <w:tab w:val="center" w:pos="4156"/>
          <w:tab w:val="left" w:pos="5810"/>
        </w:tabs>
        <w:spacing w:after="156" w:afterLines="50" w:line="300" w:lineRule="auto"/>
        <w:ind w:firstLine="0" w:firstLineChars="0"/>
        <w:jc w:val="center"/>
        <w:rPr>
          <w:rFonts w:hint="default" w:ascii="Times New Roman" w:hAnsi="Times New Roman" w:eastAsia="黑体" w:cs="Times New Roman"/>
          <w:b/>
          <w:sz w:val="36"/>
          <w:szCs w:val="36"/>
        </w:rPr>
        <w:sectPr>
          <w:footerReference r:id="rId9" w:type="default"/>
          <w:pgSz w:w="11906" w:h="16838"/>
          <w:pgMar w:top="1440" w:right="1797" w:bottom="1440" w:left="1797" w:header="851" w:footer="992" w:gutter="0"/>
          <w:pgNumType w:fmt="upperRoman" w:start="1"/>
          <w:cols w:space="425" w:num="1"/>
          <w:docGrid w:type="lines" w:linePitch="312" w:charSpace="0"/>
        </w:sectPr>
      </w:pPr>
      <w:r>
        <w:rPr>
          <w:rFonts w:hint="eastAsia" w:ascii="黑体" w:hAnsi="宋体" w:eastAsia="黑体" w:cs="Times New Roman"/>
          <w:b/>
          <w:sz w:val="36"/>
          <w:szCs w:val="36"/>
        </w:rPr>
        <w:drawing>
          <wp:inline distT="0" distB="0" distL="114300" distR="114300">
            <wp:extent cx="5292725" cy="7458075"/>
            <wp:effectExtent l="0" t="0" r="3175" b="9525"/>
            <wp:docPr id="2" name="图片 2" descr="1cbeb4d4a26b7ff94f7bc238d55106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cbeb4d4a26b7ff94f7bc238d5510634_"/>
                    <pic:cNvPicPr>
                      <a:picLocks noChangeAspect="1"/>
                    </pic:cNvPicPr>
                  </pic:nvPicPr>
                  <pic:blipFill>
                    <a:blip r:embed="rId13"/>
                    <a:stretch>
                      <a:fillRect/>
                    </a:stretch>
                  </pic:blipFill>
                  <pic:spPr>
                    <a:xfrm>
                      <a:off x="0" y="0"/>
                      <a:ext cx="5292725" cy="7458075"/>
                    </a:xfrm>
                    <a:prstGeom prst="rect">
                      <a:avLst/>
                    </a:prstGeom>
                  </pic:spPr>
                </pic:pic>
              </a:graphicData>
            </a:graphic>
          </wp:inline>
        </w:drawing>
      </w:r>
    </w:p>
    <w:p>
      <w:pPr>
        <w:tabs>
          <w:tab w:val="center" w:pos="4156"/>
          <w:tab w:val="left" w:pos="5810"/>
        </w:tabs>
        <w:spacing w:after="156" w:afterLines="50" w:line="300" w:lineRule="auto"/>
        <w:ind w:firstLine="0" w:firstLineChars="0"/>
        <w:jc w:val="center"/>
        <w:rPr>
          <w:rFonts w:hint="default" w:ascii="Times New Roman" w:hAnsi="Times New Roman" w:eastAsia="黑体" w:cs="Times New Roman"/>
          <w:b/>
          <w:sz w:val="36"/>
          <w:szCs w:val="36"/>
        </w:rPr>
      </w:pPr>
      <w:r>
        <w:rPr>
          <w:rFonts w:hint="default" w:ascii="Times New Roman" w:hAnsi="Times New Roman" w:eastAsia="黑体" w:cs="Times New Roman"/>
          <w:b/>
          <w:sz w:val="36"/>
          <w:szCs w:val="36"/>
        </w:rPr>
        <w:t>目  录</w:t>
      </w:r>
    </w:p>
    <w:p>
      <w:pPr>
        <w:widowControl w:val="0"/>
        <w:tabs>
          <w:tab w:val="right" w:leader="dot" w:pos="8312"/>
        </w:tabs>
        <w:spacing w:line="240" w:lineRule="auto"/>
        <w:ind w:firstLine="0" w:firstLineChars="0"/>
        <w:jc w:val="both"/>
        <w:rPr>
          <w:rFonts w:ascii="Times New Roman" w:hAnsi="Times New Roman" w:eastAsia="黑体" w:cs="Times New Roman"/>
          <w:b/>
          <w:kern w:val="2"/>
          <w:sz w:val="24"/>
          <w:szCs w:val="24"/>
          <w:lang w:val="en-US" w:eastAsia="zh-CN" w:bidi="ar-SA"/>
        </w:rPr>
      </w:pPr>
      <w:r>
        <w:rPr>
          <w:rFonts w:hint="default" w:ascii="Times New Roman" w:hAnsi="Times New Roman" w:eastAsia="黑体" w:cs="Times New Roman"/>
          <w:b w:val="0"/>
          <w:kern w:val="2"/>
          <w:sz w:val="24"/>
          <w:szCs w:val="24"/>
          <w:lang w:val="en-US" w:eastAsia="zh-CN" w:bidi="ar-SA"/>
        </w:rPr>
        <w:fldChar w:fldCharType="begin"/>
      </w:r>
      <w:r>
        <w:rPr>
          <w:rFonts w:hint="default" w:ascii="Times New Roman" w:hAnsi="Times New Roman" w:eastAsia="黑体" w:cs="Times New Roman"/>
          <w:b w:val="0"/>
          <w:kern w:val="2"/>
          <w:sz w:val="24"/>
          <w:szCs w:val="24"/>
          <w:lang w:val="en-US" w:eastAsia="zh-CN" w:bidi="ar-SA"/>
        </w:rPr>
        <w:instrText xml:space="preserve"> TOC \o "1-2" \h \z \u </w:instrText>
      </w:r>
      <w:r>
        <w:rPr>
          <w:rFonts w:hint="default" w:ascii="Times New Roman" w:hAnsi="Times New Roman" w:eastAsia="黑体" w:cs="Times New Roman"/>
          <w:b w:val="0"/>
          <w:kern w:val="2"/>
          <w:sz w:val="24"/>
          <w:szCs w:val="24"/>
          <w:lang w:val="en-US" w:eastAsia="zh-CN" w:bidi="ar-SA"/>
        </w:rPr>
        <w:fldChar w:fldCharType="separate"/>
      </w:r>
      <w:r>
        <w:rPr>
          <w:rFonts w:hint="default" w:ascii="Times New Roman" w:hAnsi="Times New Roman" w:eastAsia="黑体" w:cs="Times New Roman"/>
          <w:b/>
          <w:kern w:val="2"/>
          <w:sz w:val="24"/>
          <w:szCs w:val="24"/>
          <w:lang w:val="en-US" w:eastAsia="zh-CN" w:bidi="ar-SA"/>
        </w:rPr>
        <w:fldChar w:fldCharType="begin"/>
      </w:r>
      <w:r>
        <w:rPr>
          <w:rFonts w:hint="default" w:ascii="Times New Roman" w:hAnsi="Times New Roman" w:eastAsia="黑体" w:cs="Times New Roman"/>
          <w:b/>
          <w:kern w:val="2"/>
          <w:sz w:val="24"/>
          <w:szCs w:val="24"/>
          <w:lang w:val="en-US" w:eastAsia="zh-CN" w:bidi="ar-SA"/>
        </w:rPr>
        <w:instrText xml:space="preserve"> HYPERLINK \l _Toc16782 </w:instrText>
      </w:r>
      <w:r>
        <w:rPr>
          <w:rFonts w:hint="default" w:ascii="Times New Roman" w:hAnsi="Times New Roman" w:eastAsia="黑体" w:cs="Times New Roman"/>
          <w:b/>
          <w:kern w:val="2"/>
          <w:sz w:val="24"/>
          <w:szCs w:val="24"/>
          <w:lang w:val="en-US" w:eastAsia="zh-CN" w:bidi="ar-SA"/>
        </w:rPr>
        <w:fldChar w:fldCharType="separate"/>
      </w:r>
      <w:r>
        <w:rPr>
          <w:rFonts w:hint="default" w:ascii="Times New Roman" w:hAnsi="Times New Roman" w:eastAsia="黑体" w:cs="Times New Roman"/>
          <w:b/>
          <w:kern w:val="2"/>
          <w:sz w:val="24"/>
          <w:szCs w:val="24"/>
          <w:lang w:val="en-US" w:eastAsia="zh-CN" w:bidi="ar-SA"/>
        </w:rPr>
        <w:t>第一章</w:t>
      </w:r>
      <w:r>
        <w:rPr>
          <w:rFonts w:hint="eastAsia" w:ascii="Times New Roman" w:hAnsi="Times New Roman" w:eastAsia="黑体" w:cs="Times New Roman"/>
          <w:b/>
          <w:kern w:val="2"/>
          <w:sz w:val="24"/>
          <w:szCs w:val="24"/>
          <w:lang w:val="en-US" w:eastAsia="zh-CN" w:bidi="ar-SA"/>
        </w:rPr>
        <w:t xml:space="preserve"> </w:t>
      </w:r>
      <w:r>
        <w:rPr>
          <w:rFonts w:hint="default" w:ascii="Times New Roman" w:hAnsi="Times New Roman" w:eastAsia="黑体" w:cs="Times New Roman"/>
          <w:b/>
          <w:kern w:val="2"/>
          <w:sz w:val="24"/>
          <w:szCs w:val="24"/>
          <w:lang w:val="en-US" w:eastAsia="zh-CN" w:bidi="ar-SA"/>
        </w:rPr>
        <w:t>编制依据</w:t>
      </w:r>
      <w:r>
        <w:rPr>
          <w:rFonts w:hint="eastAsia" w:ascii="Times New Roman" w:hAnsi="Times New Roman" w:eastAsia="黑体" w:cs="Times New Roman"/>
          <w:b/>
          <w:kern w:val="2"/>
          <w:sz w:val="24"/>
          <w:szCs w:val="24"/>
          <w:lang w:val="en-US" w:eastAsia="zh-CN" w:bidi="ar-SA"/>
        </w:rPr>
        <w:t>及项目背景</w:t>
      </w:r>
      <w:r>
        <w:rPr>
          <w:rFonts w:ascii="Times New Roman" w:hAnsi="Times New Roman" w:eastAsia="黑体" w:cs="Times New Roman"/>
          <w:b/>
          <w:kern w:val="2"/>
          <w:sz w:val="24"/>
          <w:szCs w:val="24"/>
          <w:lang w:val="en-US" w:eastAsia="zh-CN" w:bidi="ar-SA"/>
        </w:rPr>
        <w:tab/>
      </w:r>
      <w:r>
        <w:rPr>
          <w:rFonts w:ascii="Times New Roman" w:hAnsi="Times New Roman" w:eastAsia="黑体" w:cs="Times New Roman"/>
          <w:b/>
          <w:kern w:val="2"/>
          <w:sz w:val="24"/>
          <w:szCs w:val="24"/>
          <w:lang w:val="en-US" w:eastAsia="zh-CN" w:bidi="ar-SA"/>
        </w:rPr>
        <w:fldChar w:fldCharType="begin"/>
      </w:r>
      <w:r>
        <w:rPr>
          <w:rFonts w:ascii="Times New Roman" w:hAnsi="Times New Roman" w:eastAsia="黑体" w:cs="Times New Roman"/>
          <w:b/>
          <w:kern w:val="2"/>
          <w:sz w:val="24"/>
          <w:szCs w:val="24"/>
          <w:lang w:val="en-US" w:eastAsia="zh-CN" w:bidi="ar-SA"/>
        </w:rPr>
        <w:instrText xml:space="preserve"> PAGEREF _Toc16782 \h </w:instrText>
      </w:r>
      <w:r>
        <w:rPr>
          <w:rFonts w:ascii="Times New Roman" w:hAnsi="Times New Roman" w:eastAsia="黑体" w:cs="Times New Roman"/>
          <w:b/>
          <w:kern w:val="2"/>
          <w:sz w:val="24"/>
          <w:szCs w:val="24"/>
          <w:lang w:val="en-US" w:eastAsia="zh-CN" w:bidi="ar-SA"/>
        </w:rPr>
        <w:fldChar w:fldCharType="separate"/>
      </w:r>
      <w:r>
        <w:rPr>
          <w:rFonts w:ascii="Times New Roman" w:hAnsi="Times New Roman" w:eastAsia="黑体" w:cs="Times New Roman"/>
          <w:b/>
          <w:kern w:val="2"/>
          <w:sz w:val="24"/>
          <w:szCs w:val="24"/>
          <w:lang w:val="en-US" w:eastAsia="zh-CN" w:bidi="ar-SA"/>
        </w:rPr>
        <w:t>1</w:t>
      </w:r>
      <w:r>
        <w:rPr>
          <w:rFonts w:ascii="Times New Roman" w:hAnsi="Times New Roman" w:eastAsia="黑体" w:cs="Times New Roman"/>
          <w:b/>
          <w:kern w:val="2"/>
          <w:sz w:val="24"/>
          <w:szCs w:val="24"/>
          <w:lang w:val="en-US" w:eastAsia="zh-CN" w:bidi="ar-SA"/>
        </w:rPr>
        <w:fldChar w:fldCharType="end"/>
      </w:r>
      <w:r>
        <w:rPr>
          <w:rFonts w:hint="default" w:ascii="Times New Roman" w:hAnsi="Times New Roman" w:eastAsia="黑体" w:cs="Times New Roman"/>
          <w:b/>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_Toc20988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1.1</w:t>
      </w:r>
      <w:r>
        <w:rPr>
          <w:rFonts w:hint="eastAsia" w:ascii="Times New Roman" w:hAnsi="Times New Roman" w:eastAsia="宋体" w:cs="Times New Roman"/>
          <w:kern w:val="2"/>
          <w:sz w:val="24"/>
          <w:szCs w:val="24"/>
          <w:lang w:val="en-US" w:eastAsia="zh-CN" w:bidi="ar-SA"/>
        </w:rPr>
        <w:t xml:space="preserve"> </w:t>
      </w:r>
      <w:r>
        <w:rPr>
          <w:rFonts w:hint="default" w:ascii="Times New Roman" w:hAnsi="Times New Roman" w:eastAsia="宋体" w:cs="Times New Roman"/>
          <w:kern w:val="2"/>
          <w:sz w:val="24"/>
          <w:szCs w:val="24"/>
          <w:lang w:val="en-US" w:eastAsia="zh-CN" w:bidi="ar-SA"/>
        </w:rPr>
        <w:t>编制目的</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_Toc20988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_Toc5160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1.2</w:t>
      </w:r>
      <w:r>
        <w:rPr>
          <w:rFonts w:hint="eastAsia" w:ascii="Times New Roman" w:hAnsi="Times New Roman" w:eastAsia="宋体" w:cs="Times New Roman"/>
          <w:kern w:val="2"/>
          <w:sz w:val="24"/>
          <w:szCs w:val="24"/>
          <w:lang w:val="en-US" w:eastAsia="zh-CN" w:bidi="ar-SA"/>
        </w:rPr>
        <w:t xml:space="preserve"> </w:t>
      </w:r>
      <w:r>
        <w:rPr>
          <w:rFonts w:hint="default" w:ascii="Times New Roman" w:hAnsi="Times New Roman" w:eastAsia="宋体" w:cs="Times New Roman"/>
          <w:kern w:val="2"/>
          <w:sz w:val="24"/>
          <w:szCs w:val="24"/>
          <w:lang w:val="en-US" w:eastAsia="zh-CN" w:bidi="ar-SA"/>
        </w:rPr>
        <w:t>编制依据</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_Toc5160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_Toc8562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1.3 项目背景</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_Toc8562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4</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firstLine="0" w:firstLineChars="0"/>
        <w:jc w:val="both"/>
        <w:rPr>
          <w:rFonts w:ascii="Times New Roman" w:hAnsi="Times New Roman" w:eastAsia="黑体" w:cs="Times New Roman"/>
          <w:b/>
          <w:kern w:val="2"/>
          <w:sz w:val="24"/>
          <w:szCs w:val="24"/>
          <w:lang w:val="en-US" w:eastAsia="zh-CN" w:bidi="ar-SA"/>
        </w:rPr>
      </w:pPr>
      <w:r>
        <w:rPr>
          <w:rFonts w:hint="default" w:ascii="Times New Roman" w:hAnsi="Times New Roman" w:eastAsia="黑体" w:cs="Times New Roman"/>
          <w:b/>
          <w:kern w:val="2"/>
          <w:sz w:val="24"/>
          <w:szCs w:val="24"/>
          <w:lang w:val="en-US" w:eastAsia="zh-CN" w:bidi="ar-SA"/>
        </w:rPr>
        <w:fldChar w:fldCharType="begin"/>
      </w:r>
      <w:r>
        <w:rPr>
          <w:rFonts w:hint="default" w:ascii="Times New Roman" w:hAnsi="Times New Roman" w:eastAsia="黑体" w:cs="Times New Roman"/>
          <w:b/>
          <w:kern w:val="2"/>
          <w:sz w:val="24"/>
          <w:szCs w:val="24"/>
          <w:lang w:val="en-US" w:eastAsia="zh-CN" w:bidi="ar-SA"/>
        </w:rPr>
        <w:instrText xml:space="preserve"> HYPERLINK \l _Toc13207 </w:instrText>
      </w:r>
      <w:r>
        <w:rPr>
          <w:rFonts w:hint="default" w:ascii="Times New Roman" w:hAnsi="Times New Roman" w:eastAsia="黑体" w:cs="Times New Roman"/>
          <w:b/>
          <w:kern w:val="2"/>
          <w:sz w:val="24"/>
          <w:szCs w:val="24"/>
          <w:lang w:val="en-US" w:eastAsia="zh-CN" w:bidi="ar-SA"/>
        </w:rPr>
        <w:fldChar w:fldCharType="separate"/>
      </w:r>
      <w:r>
        <w:rPr>
          <w:rFonts w:hint="default" w:ascii="Times New Roman" w:hAnsi="Times New Roman" w:eastAsia="黑体" w:cs="Times New Roman"/>
          <w:b/>
          <w:kern w:val="2"/>
          <w:sz w:val="24"/>
          <w:szCs w:val="24"/>
          <w:lang w:val="en-US" w:eastAsia="zh-CN" w:bidi="ar-SA"/>
        </w:rPr>
        <w:t>第</w:t>
      </w:r>
      <w:r>
        <w:rPr>
          <w:rFonts w:hint="eastAsia" w:ascii="Times New Roman" w:hAnsi="Times New Roman" w:eastAsia="黑体" w:cs="Times New Roman"/>
          <w:b/>
          <w:kern w:val="2"/>
          <w:sz w:val="24"/>
          <w:szCs w:val="24"/>
          <w:lang w:val="en-US" w:eastAsia="zh-CN" w:bidi="ar-SA"/>
        </w:rPr>
        <w:t>二</w:t>
      </w:r>
      <w:r>
        <w:rPr>
          <w:rFonts w:hint="default" w:ascii="Times New Roman" w:hAnsi="Times New Roman" w:eastAsia="黑体" w:cs="Times New Roman"/>
          <w:b/>
          <w:kern w:val="2"/>
          <w:sz w:val="24"/>
          <w:szCs w:val="24"/>
          <w:lang w:val="en-US" w:eastAsia="zh-CN" w:bidi="ar-SA"/>
        </w:rPr>
        <w:t>章</w:t>
      </w:r>
      <w:r>
        <w:rPr>
          <w:rFonts w:hint="eastAsia" w:ascii="Times New Roman" w:hAnsi="Times New Roman" w:eastAsia="黑体" w:cs="Times New Roman"/>
          <w:b/>
          <w:kern w:val="2"/>
          <w:sz w:val="24"/>
          <w:szCs w:val="24"/>
          <w:lang w:val="en-US" w:eastAsia="zh-CN" w:bidi="ar-SA"/>
        </w:rPr>
        <w:t xml:space="preserve"> </w:t>
      </w:r>
      <w:r>
        <w:rPr>
          <w:rFonts w:hint="default" w:ascii="Times New Roman" w:hAnsi="Times New Roman" w:eastAsia="黑体" w:cs="Times New Roman"/>
          <w:b/>
          <w:kern w:val="2"/>
          <w:sz w:val="24"/>
          <w:szCs w:val="24"/>
          <w:lang w:val="en-US" w:eastAsia="zh-CN" w:bidi="ar-SA"/>
        </w:rPr>
        <w:t>项目概况</w:t>
      </w:r>
      <w:r>
        <w:rPr>
          <w:rFonts w:ascii="Times New Roman" w:hAnsi="Times New Roman" w:eastAsia="黑体" w:cs="Times New Roman"/>
          <w:b/>
          <w:kern w:val="2"/>
          <w:sz w:val="24"/>
          <w:szCs w:val="24"/>
          <w:lang w:val="en-US" w:eastAsia="zh-CN" w:bidi="ar-SA"/>
        </w:rPr>
        <w:tab/>
      </w:r>
      <w:r>
        <w:rPr>
          <w:rFonts w:ascii="Times New Roman" w:hAnsi="Times New Roman" w:eastAsia="黑体" w:cs="Times New Roman"/>
          <w:b/>
          <w:kern w:val="2"/>
          <w:sz w:val="24"/>
          <w:szCs w:val="24"/>
          <w:lang w:val="en-US" w:eastAsia="zh-CN" w:bidi="ar-SA"/>
        </w:rPr>
        <w:fldChar w:fldCharType="begin"/>
      </w:r>
      <w:r>
        <w:rPr>
          <w:rFonts w:ascii="Times New Roman" w:hAnsi="Times New Roman" w:eastAsia="黑体" w:cs="Times New Roman"/>
          <w:b/>
          <w:kern w:val="2"/>
          <w:sz w:val="24"/>
          <w:szCs w:val="24"/>
          <w:lang w:val="en-US" w:eastAsia="zh-CN" w:bidi="ar-SA"/>
        </w:rPr>
        <w:instrText xml:space="preserve"> PAGEREF _Toc13207 \h </w:instrText>
      </w:r>
      <w:r>
        <w:rPr>
          <w:rFonts w:ascii="Times New Roman" w:hAnsi="Times New Roman" w:eastAsia="黑体" w:cs="Times New Roman"/>
          <w:b/>
          <w:kern w:val="2"/>
          <w:sz w:val="24"/>
          <w:szCs w:val="24"/>
          <w:lang w:val="en-US" w:eastAsia="zh-CN" w:bidi="ar-SA"/>
        </w:rPr>
        <w:fldChar w:fldCharType="separate"/>
      </w:r>
      <w:r>
        <w:rPr>
          <w:rFonts w:ascii="Times New Roman" w:hAnsi="Times New Roman" w:eastAsia="黑体" w:cs="Times New Roman"/>
          <w:b/>
          <w:kern w:val="2"/>
          <w:sz w:val="24"/>
          <w:szCs w:val="24"/>
          <w:lang w:val="en-US" w:eastAsia="zh-CN" w:bidi="ar-SA"/>
        </w:rPr>
        <w:t>6</w:t>
      </w:r>
      <w:r>
        <w:rPr>
          <w:rFonts w:ascii="Times New Roman" w:hAnsi="Times New Roman" w:eastAsia="黑体" w:cs="Times New Roman"/>
          <w:b/>
          <w:kern w:val="2"/>
          <w:sz w:val="24"/>
          <w:szCs w:val="24"/>
          <w:lang w:val="en-US" w:eastAsia="zh-CN" w:bidi="ar-SA"/>
        </w:rPr>
        <w:fldChar w:fldCharType="end"/>
      </w:r>
      <w:r>
        <w:rPr>
          <w:rFonts w:hint="default" w:ascii="Times New Roman" w:hAnsi="Times New Roman" w:eastAsia="黑体" w:cs="Times New Roman"/>
          <w:b/>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_Toc28364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.1</w:t>
      </w:r>
      <w:r>
        <w:rPr>
          <w:rFonts w:hint="eastAsia" w:ascii="Times New Roman" w:hAnsi="Times New Roman" w:eastAsia="宋体" w:cs="Times New Roman"/>
          <w:kern w:val="2"/>
          <w:sz w:val="24"/>
          <w:szCs w:val="24"/>
          <w:lang w:val="en-US" w:eastAsia="zh-CN" w:bidi="ar-SA"/>
        </w:rPr>
        <w:t xml:space="preserve"> </w:t>
      </w:r>
      <w:r>
        <w:rPr>
          <w:rFonts w:hint="default" w:ascii="Times New Roman" w:hAnsi="Times New Roman" w:eastAsia="宋体" w:cs="Times New Roman"/>
          <w:kern w:val="2"/>
          <w:sz w:val="24"/>
          <w:szCs w:val="24"/>
          <w:lang w:val="en-US" w:eastAsia="zh-CN" w:bidi="ar-SA"/>
        </w:rPr>
        <w:t>项目名称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_Toc28364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6</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_Toc18738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2 </w:t>
      </w:r>
      <w:r>
        <w:rPr>
          <w:rFonts w:hint="default" w:ascii="Times New Roman" w:hAnsi="Times New Roman" w:eastAsia="宋体" w:cs="Times New Roman"/>
          <w:kern w:val="2"/>
          <w:sz w:val="24"/>
          <w:szCs w:val="24"/>
          <w:lang w:val="en-US" w:eastAsia="zh-CN" w:bidi="ar-SA"/>
        </w:rPr>
        <w:t>项目实施机构</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_Toc18738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6</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_Toc13088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3 </w:t>
      </w:r>
      <w:r>
        <w:rPr>
          <w:rFonts w:hint="default" w:ascii="Times New Roman" w:hAnsi="Times New Roman" w:eastAsia="宋体" w:cs="Times New Roman"/>
          <w:kern w:val="2"/>
          <w:sz w:val="24"/>
          <w:szCs w:val="24"/>
          <w:lang w:val="en-US" w:eastAsia="zh-CN" w:bidi="ar-SA"/>
        </w:rPr>
        <w:t>项目</w:t>
      </w:r>
      <w:r>
        <w:rPr>
          <w:rFonts w:hint="eastAsia" w:ascii="Times New Roman" w:hAnsi="Times New Roman" w:eastAsia="宋体" w:cs="Times New Roman"/>
          <w:kern w:val="2"/>
          <w:sz w:val="24"/>
          <w:szCs w:val="24"/>
          <w:lang w:val="en-US" w:eastAsia="zh-CN" w:bidi="ar-SA"/>
        </w:rPr>
        <w:t>涉及对象</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_Toc13088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6</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_Toc29287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2.4 项目评估价值</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_Toc29287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7</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_Toc17421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5 </w:t>
      </w:r>
      <w:r>
        <w:rPr>
          <w:rFonts w:hint="default" w:ascii="Times New Roman" w:hAnsi="Times New Roman" w:eastAsia="宋体" w:cs="Times New Roman"/>
          <w:kern w:val="2"/>
          <w:sz w:val="24"/>
          <w:szCs w:val="24"/>
          <w:lang w:val="en-US" w:eastAsia="zh-CN" w:bidi="ar-SA"/>
        </w:rPr>
        <w:t>项目合同期限</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_Toc17421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8</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_Toc19612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2.6 项目经营要求</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_Toc19612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8</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firstLine="0" w:firstLineChars="0"/>
        <w:jc w:val="both"/>
        <w:rPr>
          <w:rFonts w:ascii="Times New Roman" w:hAnsi="Times New Roman" w:eastAsia="黑体" w:cs="Times New Roman"/>
          <w:b/>
          <w:kern w:val="2"/>
          <w:sz w:val="24"/>
          <w:szCs w:val="24"/>
          <w:lang w:val="en-US" w:eastAsia="zh-CN" w:bidi="ar-SA"/>
        </w:rPr>
      </w:pPr>
      <w:r>
        <w:rPr>
          <w:rFonts w:hint="default" w:ascii="Times New Roman" w:hAnsi="Times New Roman" w:eastAsia="黑体" w:cs="Times New Roman"/>
          <w:b/>
          <w:kern w:val="2"/>
          <w:sz w:val="24"/>
          <w:szCs w:val="24"/>
          <w:lang w:val="en-US" w:eastAsia="zh-CN" w:bidi="ar-SA"/>
        </w:rPr>
        <w:fldChar w:fldCharType="begin"/>
      </w:r>
      <w:r>
        <w:rPr>
          <w:rFonts w:hint="default" w:ascii="Times New Roman" w:hAnsi="Times New Roman" w:eastAsia="黑体" w:cs="Times New Roman"/>
          <w:b/>
          <w:kern w:val="2"/>
          <w:sz w:val="24"/>
          <w:szCs w:val="24"/>
          <w:lang w:val="en-US" w:eastAsia="zh-CN" w:bidi="ar-SA"/>
        </w:rPr>
        <w:instrText xml:space="preserve"> HYPERLINK \l _Toc30362 </w:instrText>
      </w:r>
      <w:r>
        <w:rPr>
          <w:rFonts w:hint="default" w:ascii="Times New Roman" w:hAnsi="Times New Roman" w:eastAsia="黑体" w:cs="Times New Roman"/>
          <w:b/>
          <w:kern w:val="2"/>
          <w:sz w:val="24"/>
          <w:szCs w:val="24"/>
          <w:lang w:val="en-US" w:eastAsia="zh-CN" w:bidi="ar-SA"/>
        </w:rPr>
        <w:fldChar w:fldCharType="separate"/>
      </w:r>
      <w:r>
        <w:rPr>
          <w:rFonts w:hint="default" w:ascii="Times New Roman" w:hAnsi="Times New Roman" w:eastAsia="黑体" w:cs="Times New Roman"/>
          <w:b/>
          <w:kern w:val="2"/>
          <w:sz w:val="24"/>
          <w:szCs w:val="24"/>
          <w:lang w:val="en-US" w:eastAsia="zh-CN" w:bidi="ar-SA"/>
        </w:rPr>
        <w:t>第</w:t>
      </w:r>
      <w:r>
        <w:rPr>
          <w:rFonts w:hint="eastAsia" w:ascii="Times New Roman" w:hAnsi="Times New Roman" w:eastAsia="黑体" w:cs="Times New Roman"/>
          <w:b/>
          <w:kern w:val="2"/>
          <w:sz w:val="24"/>
          <w:szCs w:val="24"/>
          <w:lang w:val="en-US" w:eastAsia="zh-CN" w:bidi="ar-SA"/>
        </w:rPr>
        <w:t>三</w:t>
      </w:r>
      <w:r>
        <w:rPr>
          <w:rFonts w:hint="default" w:ascii="Times New Roman" w:hAnsi="Times New Roman" w:eastAsia="黑体" w:cs="Times New Roman"/>
          <w:b/>
          <w:kern w:val="2"/>
          <w:sz w:val="24"/>
          <w:szCs w:val="24"/>
          <w:lang w:val="en-US" w:eastAsia="zh-CN" w:bidi="ar-SA"/>
        </w:rPr>
        <w:t>章</w:t>
      </w:r>
      <w:r>
        <w:rPr>
          <w:rFonts w:hint="eastAsia" w:ascii="Times New Roman" w:hAnsi="Times New Roman" w:eastAsia="黑体" w:cs="Times New Roman"/>
          <w:b/>
          <w:kern w:val="2"/>
          <w:sz w:val="24"/>
          <w:szCs w:val="24"/>
          <w:lang w:val="en-US" w:eastAsia="zh-CN" w:bidi="ar-SA"/>
        </w:rPr>
        <w:t xml:space="preserve"> </w:t>
      </w:r>
      <w:r>
        <w:rPr>
          <w:rFonts w:hint="default" w:ascii="Times New Roman" w:hAnsi="Times New Roman" w:eastAsia="黑体" w:cs="Times New Roman"/>
          <w:b/>
          <w:kern w:val="2"/>
          <w:sz w:val="24"/>
          <w:szCs w:val="24"/>
          <w:lang w:val="en-US" w:eastAsia="zh-CN" w:bidi="ar-SA"/>
        </w:rPr>
        <w:t>项目运作方式</w:t>
      </w:r>
      <w:r>
        <w:rPr>
          <w:rFonts w:ascii="Times New Roman" w:hAnsi="Times New Roman" w:eastAsia="黑体" w:cs="Times New Roman"/>
          <w:b/>
          <w:kern w:val="2"/>
          <w:sz w:val="24"/>
          <w:szCs w:val="24"/>
          <w:lang w:val="en-US" w:eastAsia="zh-CN" w:bidi="ar-SA"/>
        </w:rPr>
        <w:tab/>
      </w:r>
      <w:r>
        <w:rPr>
          <w:rFonts w:ascii="Times New Roman" w:hAnsi="Times New Roman" w:eastAsia="黑体" w:cs="Times New Roman"/>
          <w:b/>
          <w:kern w:val="2"/>
          <w:sz w:val="24"/>
          <w:szCs w:val="24"/>
          <w:lang w:val="en-US" w:eastAsia="zh-CN" w:bidi="ar-SA"/>
        </w:rPr>
        <w:fldChar w:fldCharType="begin"/>
      </w:r>
      <w:r>
        <w:rPr>
          <w:rFonts w:ascii="Times New Roman" w:hAnsi="Times New Roman" w:eastAsia="黑体" w:cs="Times New Roman"/>
          <w:b/>
          <w:kern w:val="2"/>
          <w:sz w:val="24"/>
          <w:szCs w:val="24"/>
          <w:lang w:val="en-US" w:eastAsia="zh-CN" w:bidi="ar-SA"/>
        </w:rPr>
        <w:instrText xml:space="preserve"> PAGEREF _Toc30362 \h </w:instrText>
      </w:r>
      <w:r>
        <w:rPr>
          <w:rFonts w:ascii="Times New Roman" w:hAnsi="Times New Roman" w:eastAsia="黑体" w:cs="Times New Roman"/>
          <w:b/>
          <w:kern w:val="2"/>
          <w:sz w:val="24"/>
          <w:szCs w:val="24"/>
          <w:lang w:val="en-US" w:eastAsia="zh-CN" w:bidi="ar-SA"/>
        </w:rPr>
        <w:fldChar w:fldCharType="separate"/>
      </w:r>
      <w:r>
        <w:rPr>
          <w:rFonts w:ascii="Times New Roman" w:hAnsi="Times New Roman" w:eastAsia="黑体" w:cs="Times New Roman"/>
          <w:b/>
          <w:kern w:val="2"/>
          <w:sz w:val="24"/>
          <w:szCs w:val="24"/>
          <w:lang w:val="en-US" w:eastAsia="zh-CN" w:bidi="ar-SA"/>
        </w:rPr>
        <w:t>9</w:t>
      </w:r>
      <w:r>
        <w:rPr>
          <w:rFonts w:ascii="Times New Roman" w:hAnsi="Times New Roman" w:eastAsia="黑体" w:cs="Times New Roman"/>
          <w:b/>
          <w:kern w:val="2"/>
          <w:sz w:val="24"/>
          <w:szCs w:val="24"/>
          <w:lang w:val="en-US" w:eastAsia="zh-CN" w:bidi="ar-SA"/>
        </w:rPr>
        <w:fldChar w:fldCharType="end"/>
      </w:r>
      <w:r>
        <w:rPr>
          <w:rFonts w:hint="default" w:ascii="Times New Roman" w:hAnsi="Times New Roman" w:eastAsia="黑体" w:cs="Times New Roman"/>
          <w:b/>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_Toc14604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.1</w:t>
      </w:r>
      <w:r>
        <w:rPr>
          <w:rFonts w:hint="eastAsia" w:ascii="Times New Roman" w:hAnsi="Times New Roman" w:eastAsia="宋体" w:cs="Times New Roman"/>
          <w:kern w:val="2"/>
          <w:sz w:val="24"/>
          <w:szCs w:val="24"/>
          <w:lang w:val="en-US" w:eastAsia="zh-CN" w:bidi="ar-SA"/>
        </w:rPr>
        <w:t xml:space="preserve"> </w:t>
      </w:r>
      <w:r>
        <w:rPr>
          <w:rFonts w:hint="default" w:ascii="Times New Roman" w:hAnsi="Times New Roman" w:eastAsia="宋体" w:cs="Times New Roman"/>
          <w:kern w:val="2"/>
          <w:sz w:val="24"/>
          <w:szCs w:val="24"/>
          <w:lang w:val="en-US" w:eastAsia="zh-CN" w:bidi="ar-SA"/>
        </w:rPr>
        <w:t>项目具体运作方式</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_Toc14604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9</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_Toc20003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 xml:space="preserve"> </w:t>
      </w:r>
      <w:r>
        <w:rPr>
          <w:rFonts w:hint="default" w:ascii="Times New Roman" w:hAnsi="Times New Roman" w:eastAsia="宋体" w:cs="Times New Roman"/>
          <w:kern w:val="2"/>
          <w:sz w:val="24"/>
          <w:szCs w:val="24"/>
          <w:lang w:val="en-US" w:eastAsia="zh-CN" w:bidi="ar-SA"/>
        </w:rPr>
        <w:t>资产权属</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_Toc20003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10</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firstLine="0" w:firstLineChars="0"/>
        <w:jc w:val="both"/>
        <w:rPr>
          <w:rFonts w:ascii="Times New Roman" w:hAnsi="Times New Roman" w:eastAsia="黑体" w:cs="Times New Roman"/>
          <w:b/>
          <w:kern w:val="2"/>
          <w:sz w:val="24"/>
          <w:szCs w:val="24"/>
          <w:lang w:val="en-US" w:eastAsia="zh-CN" w:bidi="ar-SA"/>
        </w:rPr>
      </w:pPr>
      <w:r>
        <w:rPr>
          <w:rFonts w:hint="default" w:ascii="Times New Roman" w:hAnsi="Times New Roman" w:eastAsia="黑体" w:cs="Times New Roman"/>
          <w:b/>
          <w:kern w:val="2"/>
          <w:sz w:val="24"/>
          <w:szCs w:val="24"/>
          <w:lang w:val="en-US" w:eastAsia="zh-CN" w:bidi="ar-SA"/>
        </w:rPr>
        <w:fldChar w:fldCharType="begin"/>
      </w:r>
      <w:r>
        <w:rPr>
          <w:rFonts w:hint="default" w:ascii="Times New Roman" w:hAnsi="Times New Roman" w:eastAsia="黑体" w:cs="Times New Roman"/>
          <w:b/>
          <w:kern w:val="2"/>
          <w:sz w:val="24"/>
          <w:szCs w:val="24"/>
          <w:lang w:val="en-US" w:eastAsia="zh-CN" w:bidi="ar-SA"/>
        </w:rPr>
        <w:instrText xml:space="preserve"> HYPERLINK \l _Toc24710 </w:instrText>
      </w:r>
      <w:r>
        <w:rPr>
          <w:rFonts w:hint="default" w:ascii="Times New Roman" w:hAnsi="Times New Roman" w:eastAsia="黑体" w:cs="Times New Roman"/>
          <w:b/>
          <w:kern w:val="2"/>
          <w:sz w:val="24"/>
          <w:szCs w:val="24"/>
          <w:lang w:val="en-US" w:eastAsia="zh-CN" w:bidi="ar-SA"/>
        </w:rPr>
        <w:fldChar w:fldCharType="separate"/>
      </w:r>
      <w:r>
        <w:rPr>
          <w:rFonts w:hint="default" w:ascii="Times New Roman" w:hAnsi="Times New Roman" w:eastAsia="黑体" w:cs="Times New Roman"/>
          <w:b/>
          <w:kern w:val="2"/>
          <w:sz w:val="24"/>
          <w:szCs w:val="24"/>
          <w:lang w:val="en-US" w:eastAsia="zh-CN" w:bidi="ar-SA"/>
        </w:rPr>
        <w:t>第</w:t>
      </w:r>
      <w:r>
        <w:rPr>
          <w:rFonts w:hint="eastAsia" w:ascii="Times New Roman" w:hAnsi="Times New Roman" w:eastAsia="黑体" w:cs="Times New Roman"/>
          <w:b/>
          <w:kern w:val="2"/>
          <w:sz w:val="24"/>
          <w:szCs w:val="24"/>
          <w:lang w:val="en-US" w:eastAsia="zh-CN" w:bidi="ar-SA"/>
        </w:rPr>
        <w:t>四</w:t>
      </w:r>
      <w:r>
        <w:rPr>
          <w:rFonts w:hint="default" w:ascii="Times New Roman" w:hAnsi="Times New Roman" w:eastAsia="黑体" w:cs="Times New Roman"/>
          <w:b/>
          <w:kern w:val="2"/>
          <w:sz w:val="24"/>
          <w:szCs w:val="24"/>
          <w:lang w:val="en-US" w:eastAsia="zh-CN" w:bidi="ar-SA"/>
        </w:rPr>
        <w:t>章</w:t>
      </w:r>
      <w:r>
        <w:rPr>
          <w:rFonts w:hint="eastAsia" w:ascii="Times New Roman" w:hAnsi="Times New Roman" w:eastAsia="黑体" w:cs="Times New Roman"/>
          <w:b/>
          <w:kern w:val="2"/>
          <w:sz w:val="24"/>
          <w:szCs w:val="24"/>
          <w:lang w:val="en-US" w:eastAsia="zh-CN" w:bidi="ar-SA"/>
        </w:rPr>
        <w:t xml:space="preserve"> </w:t>
      </w:r>
      <w:r>
        <w:rPr>
          <w:rFonts w:hint="default" w:ascii="Times New Roman" w:hAnsi="Times New Roman" w:eastAsia="黑体" w:cs="Times New Roman"/>
          <w:b/>
          <w:kern w:val="2"/>
          <w:sz w:val="24"/>
          <w:szCs w:val="24"/>
          <w:lang w:val="en-US" w:eastAsia="zh-CN" w:bidi="ar-SA"/>
        </w:rPr>
        <w:t>项目</w:t>
      </w:r>
      <w:r>
        <w:rPr>
          <w:rFonts w:hint="eastAsia" w:ascii="Times New Roman" w:hAnsi="Times New Roman" w:eastAsia="黑体" w:cs="Times New Roman"/>
          <w:b/>
          <w:kern w:val="2"/>
          <w:sz w:val="24"/>
          <w:szCs w:val="24"/>
          <w:lang w:val="en-US" w:eastAsia="zh-CN" w:bidi="ar-SA"/>
        </w:rPr>
        <w:t>投资回报</w:t>
      </w:r>
      <w:r>
        <w:rPr>
          <w:rFonts w:ascii="Times New Roman" w:hAnsi="Times New Roman" w:eastAsia="黑体" w:cs="Times New Roman"/>
          <w:b/>
          <w:kern w:val="2"/>
          <w:sz w:val="24"/>
          <w:szCs w:val="24"/>
          <w:lang w:val="en-US" w:eastAsia="zh-CN" w:bidi="ar-SA"/>
        </w:rPr>
        <w:tab/>
      </w:r>
      <w:r>
        <w:rPr>
          <w:rFonts w:ascii="Times New Roman" w:hAnsi="Times New Roman" w:eastAsia="黑体" w:cs="Times New Roman"/>
          <w:b/>
          <w:kern w:val="2"/>
          <w:sz w:val="24"/>
          <w:szCs w:val="24"/>
          <w:lang w:val="en-US" w:eastAsia="zh-CN" w:bidi="ar-SA"/>
        </w:rPr>
        <w:fldChar w:fldCharType="begin"/>
      </w:r>
      <w:r>
        <w:rPr>
          <w:rFonts w:ascii="Times New Roman" w:hAnsi="Times New Roman" w:eastAsia="黑体" w:cs="Times New Roman"/>
          <w:b/>
          <w:kern w:val="2"/>
          <w:sz w:val="24"/>
          <w:szCs w:val="24"/>
          <w:lang w:val="en-US" w:eastAsia="zh-CN" w:bidi="ar-SA"/>
        </w:rPr>
        <w:instrText xml:space="preserve"> PAGEREF _Toc24710 \h </w:instrText>
      </w:r>
      <w:r>
        <w:rPr>
          <w:rFonts w:ascii="Times New Roman" w:hAnsi="Times New Roman" w:eastAsia="黑体" w:cs="Times New Roman"/>
          <w:b/>
          <w:kern w:val="2"/>
          <w:sz w:val="24"/>
          <w:szCs w:val="24"/>
          <w:lang w:val="en-US" w:eastAsia="zh-CN" w:bidi="ar-SA"/>
        </w:rPr>
        <w:fldChar w:fldCharType="separate"/>
      </w:r>
      <w:r>
        <w:rPr>
          <w:rFonts w:ascii="Times New Roman" w:hAnsi="Times New Roman" w:eastAsia="黑体" w:cs="Times New Roman"/>
          <w:b/>
          <w:kern w:val="2"/>
          <w:sz w:val="24"/>
          <w:szCs w:val="24"/>
          <w:lang w:val="en-US" w:eastAsia="zh-CN" w:bidi="ar-SA"/>
        </w:rPr>
        <w:t>11</w:t>
      </w:r>
      <w:r>
        <w:rPr>
          <w:rFonts w:ascii="Times New Roman" w:hAnsi="Times New Roman" w:eastAsia="黑体" w:cs="Times New Roman"/>
          <w:b/>
          <w:kern w:val="2"/>
          <w:sz w:val="24"/>
          <w:szCs w:val="24"/>
          <w:lang w:val="en-US" w:eastAsia="zh-CN" w:bidi="ar-SA"/>
        </w:rPr>
        <w:fldChar w:fldCharType="end"/>
      </w:r>
      <w:r>
        <w:rPr>
          <w:rFonts w:hint="default" w:ascii="Times New Roman" w:hAnsi="Times New Roman" w:eastAsia="黑体" w:cs="Times New Roman"/>
          <w:b/>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_Toc16274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1 </w:t>
      </w:r>
      <w:r>
        <w:rPr>
          <w:rFonts w:hint="default" w:ascii="Times New Roman" w:hAnsi="Times New Roman" w:eastAsia="宋体" w:cs="Times New Roman"/>
          <w:kern w:val="2"/>
          <w:sz w:val="24"/>
          <w:szCs w:val="24"/>
          <w:lang w:val="en-US" w:eastAsia="zh-CN" w:bidi="ar-SA"/>
        </w:rPr>
        <w:t>回报机制</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_Toc16274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_Toc32320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2 </w:t>
      </w:r>
      <w:r>
        <w:rPr>
          <w:rFonts w:hint="default" w:ascii="Times New Roman" w:hAnsi="Times New Roman" w:eastAsia="宋体" w:cs="Times New Roman"/>
          <w:kern w:val="2"/>
          <w:sz w:val="24"/>
          <w:szCs w:val="24"/>
          <w:lang w:val="en-US" w:eastAsia="zh-CN" w:bidi="ar-SA"/>
        </w:rPr>
        <w:t>外部配套安排</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_Toc32320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firstLine="0" w:firstLineChars="0"/>
        <w:jc w:val="both"/>
        <w:rPr>
          <w:rFonts w:ascii="Times New Roman" w:hAnsi="Times New Roman" w:eastAsia="黑体" w:cs="Times New Roman"/>
          <w:b/>
          <w:kern w:val="2"/>
          <w:sz w:val="24"/>
          <w:szCs w:val="24"/>
          <w:lang w:val="en-US" w:eastAsia="zh-CN" w:bidi="ar-SA"/>
        </w:rPr>
      </w:pPr>
      <w:r>
        <w:rPr>
          <w:rFonts w:hint="default" w:ascii="Times New Roman" w:hAnsi="Times New Roman" w:eastAsia="黑体" w:cs="Times New Roman"/>
          <w:b/>
          <w:kern w:val="2"/>
          <w:sz w:val="24"/>
          <w:szCs w:val="24"/>
          <w:lang w:val="en-US" w:eastAsia="zh-CN" w:bidi="ar-SA"/>
        </w:rPr>
        <w:fldChar w:fldCharType="begin"/>
      </w:r>
      <w:r>
        <w:rPr>
          <w:rFonts w:hint="default" w:ascii="Times New Roman" w:hAnsi="Times New Roman" w:eastAsia="黑体" w:cs="Times New Roman"/>
          <w:b/>
          <w:kern w:val="2"/>
          <w:sz w:val="24"/>
          <w:szCs w:val="24"/>
          <w:lang w:val="en-US" w:eastAsia="zh-CN" w:bidi="ar-SA"/>
        </w:rPr>
        <w:instrText xml:space="preserve"> HYPERLINK \l _Toc4980 </w:instrText>
      </w:r>
      <w:r>
        <w:rPr>
          <w:rFonts w:hint="default" w:ascii="Times New Roman" w:hAnsi="Times New Roman" w:eastAsia="黑体" w:cs="Times New Roman"/>
          <w:b/>
          <w:kern w:val="2"/>
          <w:sz w:val="24"/>
          <w:szCs w:val="24"/>
          <w:lang w:val="en-US" w:eastAsia="zh-CN" w:bidi="ar-SA"/>
        </w:rPr>
        <w:fldChar w:fldCharType="separate"/>
      </w:r>
      <w:r>
        <w:rPr>
          <w:rFonts w:hint="eastAsia" w:ascii="Times New Roman" w:hAnsi="Times New Roman" w:eastAsia="黑体" w:cs="Times New Roman"/>
          <w:b/>
          <w:kern w:val="2"/>
          <w:sz w:val="24"/>
          <w:szCs w:val="40"/>
          <w:lang w:val="en-US" w:eastAsia="zh-CN" w:bidi="ar-SA"/>
        </w:rPr>
        <w:t xml:space="preserve">第五章 </w:t>
      </w:r>
      <w:r>
        <w:rPr>
          <w:rFonts w:hint="default" w:ascii="Times New Roman" w:hAnsi="Times New Roman" w:eastAsia="黑体" w:cs="Times New Roman"/>
          <w:b/>
          <w:kern w:val="2"/>
          <w:sz w:val="24"/>
          <w:szCs w:val="40"/>
          <w:lang w:val="en-US" w:eastAsia="zh-CN" w:bidi="ar-SA"/>
        </w:rPr>
        <w:t>特许经营者应当具备的条件及选择方式</w:t>
      </w:r>
      <w:r>
        <w:rPr>
          <w:rFonts w:ascii="Times New Roman" w:hAnsi="Times New Roman" w:eastAsia="黑体" w:cs="Times New Roman"/>
          <w:b/>
          <w:kern w:val="2"/>
          <w:sz w:val="24"/>
          <w:szCs w:val="24"/>
          <w:lang w:val="en-US" w:eastAsia="zh-CN" w:bidi="ar-SA"/>
        </w:rPr>
        <w:tab/>
      </w:r>
      <w:r>
        <w:rPr>
          <w:rFonts w:ascii="Times New Roman" w:hAnsi="Times New Roman" w:eastAsia="黑体" w:cs="Times New Roman"/>
          <w:b/>
          <w:kern w:val="2"/>
          <w:sz w:val="24"/>
          <w:szCs w:val="24"/>
          <w:lang w:val="en-US" w:eastAsia="zh-CN" w:bidi="ar-SA"/>
        </w:rPr>
        <w:fldChar w:fldCharType="begin"/>
      </w:r>
      <w:r>
        <w:rPr>
          <w:rFonts w:ascii="Times New Roman" w:hAnsi="Times New Roman" w:eastAsia="黑体" w:cs="Times New Roman"/>
          <w:b/>
          <w:kern w:val="2"/>
          <w:sz w:val="24"/>
          <w:szCs w:val="24"/>
          <w:lang w:val="en-US" w:eastAsia="zh-CN" w:bidi="ar-SA"/>
        </w:rPr>
        <w:instrText xml:space="preserve"> PAGEREF _Toc4980 \h </w:instrText>
      </w:r>
      <w:r>
        <w:rPr>
          <w:rFonts w:ascii="Times New Roman" w:hAnsi="Times New Roman" w:eastAsia="黑体" w:cs="Times New Roman"/>
          <w:b/>
          <w:kern w:val="2"/>
          <w:sz w:val="24"/>
          <w:szCs w:val="24"/>
          <w:lang w:val="en-US" w:eastAsia="zh-CN" w:bidi="ar-SA"/>
        </w:rPr>
        <w:fldChar w:fldCharType="separate"/>
      </w:r>
      <w:r>
        <w:rPr>
          <w:rFonts w:ascii="Times New Roman" w:hAnsi="Times New Roman" w:eastAsia="黑体" w:cs="Times New Roman"/>
          <w:b/>
          <w:kern w:val="2"/>
          <w:sz w:val="24"/>
          <w:szCs w:val="24"/>
          <w:lang w:val="en-US" w:eastAsia="zh-CN" w:bidi="ar-SA"/>
        </w:rPr>
        <w:t>13</w:t>
      </w:r>
      <w:r>
        <w:rPr>
          <w:rFonts w:ascii="Times New Roman" w:hAnsi="Times New Roman" w:eastAsia="黑体" w:cs="Times New Roman"/>
          <w:b/>
          <w:kern w:val="2"/>
          <w:sz w:val="24"/>
          <w:szCs w:val="24"/>
          <w:lang w:val="en-US" w:eastAsia="zh-CN" w:bidi="ar-SA"/>
        </w:rPr>
        <w:fldChar w:fldCharType="end"/>
      </w:r>
      <w:r>
        <w:rPr>
          <w:rFonts w:hint="default" w:ascii="Times New Roman" w:hAnsi="Times New Roman" w:eastAsia="黑体" w:cs="Times New Roman"/>
          <w:b/>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_Toc29205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1 </w:t>
      </w:r>
      <w:r>
        <w:rPr>
          <w:rFonts w:hint="default" w:ascii="Times New Roman" w:hAnsi="Times New Roman" w:eastAsia="宋体" w:cs="Times New Roman"/>
          <w:kern w:val="2"/>
          <w:sz w:val="24"/>
          <w:szCs w:val="24"/>
          <w:lang w:val="en-US" w:eastAsia="zh-CN" w:bidi="ar-SA"/>
        </w:rPr>
        <w:t>出让办法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_Toc29205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13</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_Toc1451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2 </w:t>
      </w:r>
      <w:r>
        <w:rPr>
          <w:rFonts w:hint="default" w:ascii="Times New Roman" w:hAnsi="Times New Roman" w:eastAsia="宋体" w:cs="Times New Roman"/>
          <w:kern w:val="2"/>
          <w:sz w:val="24"/>
          <w:szCs w:val="24"/>
          <w:lang w:val="en-US" w:eastAsia="zh-CN" w:bidi="ar-SA"/>
        </w:rPr>
        <w:t>社会资本的资格条件</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_Toc1451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13</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_Toc24042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3 </w:t>
      </w:r>
      <w:r>
        <w:rPr>
          <w:rFonts w:hint="default" w:ascii="Times New Roman" w:hAnsi="Times New Roman" w:eastAsia="宋体" w:cs="Times New Roman"/>
          <w:kern w:val="2"/>
          <w:sz w:val="24"/>
          <w:szCs w:val="24"/>
          <w:lang w:val="en-US" w:eastAsia="zh-CN" w:bidi="ar-SA"/>
        </w:rPr>
        <w:t>招标标的</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_Toc24042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firstLine="0" w:firstLineChars="0"/>
        <w:jc w:val="both"/>
        <w:rPr>
          <w:rFonts w:ascii="Times New Roman" w:hAnsi="Times New Roman" w:eastAsia="黑体" w:cs="Times New Roman"/>
          <w:b/>
          <w:kern w:val="2"/>
          <w:sz w:val="24"/>
          <w:szCs w:val="24"/>
          <w:lang w:val="en-US" w:eastAsia="zh-CN" w:bidi="ar-SA"/>
        </w:rPr>
      </w:pPr>
      <w:r>
        <w:rPr>
          <w:rFonts w:hint="default" w:ascii="Times New Roman" w:hAnsi="Times New Roman" w:eastAsia="黑体" w:cs="Times New Roman"/>
          <w:b/>
          <w:kern w:val="2"/>
          <w:sz w:val="24"/>
          <w:szCs w:val="24"/>
          <w:lang w:val="en-US" w:eastAsia="zh-CN" w:bidi="ar-SA"/>
        </w:rPr>
        <w:fldChar w:fldCharType="begin"/>
      </w:r>
      <w:r>
        <w:rPr>
          <w:rFonts w:hint="default" w:ascii="Times New Roman" w:hAnsi="Times New Roman" w:eastAsia="黑体" w:cs="Times New Roman"/>
          <w:b/>
          <w:kern w:val="2"/>
          <w:sz w:val="24"/>
          <w:szCs w:val="24"/>
          <w:lang w:val="en-US" w:eastAsia="zh-CN" w:bidi="ar-SA"/>
        </w:rPr>
        <w:instrText xml:space="preserve"> HYPERLINK \l _Toc30676 </w:instrText>
      </w:r>
      <w:r>
        <w:rPr>
          <w:rFonts w:hint="default" w:ascii="Times New Roman" w:hAnsi="Times New Roman" w:eastAsia="黑体" w:cs="Times New Roman"/>
          <w:b/>
          <w:kern w:val="2"/>
          <w:sz w:val="24"/>
          <w:szCs w:val="24"/>
          <w:lang w:val="en-US" w:eastAsia="zh-CN" w:bidi="ar-SA"/>
        </w:rPr>
        <w:fldChar w:fldCharType="separate"/>
      </w:r>
      <w:r>
        <w:rPr>
          <w:rFonts w:hint="eastAsia" w:ascii="Times New Roman" w:hAnsi="Times New Roman" w:eastAsia="黑体" w:cs="Times New Roman"/>
          <w:b/>
          <w:kern w:val="2"/>
          <w:sz w:val="24"/>
          <w:szCs w:val="24"/>
          <w:lang w:val="en-US" w:eastAsia="zh-CN" w:bidi="ar-SA"/>
        </w:rPr>
        <w:t>第六章 绩效考核</w:t>
      </w:r>
      <w:r>
        <w:rPr>
          <w:rFonts w:ascii="Times New Roman" w:hAnsi="Times New Roman" w:eastAsia="黑体" w:cs="Times New Roman"/>
          <w:b/>
          <w:kern w:val="2"/>
          <w:sz w:val="24"/>
          <w:szCs w:val="24"/>
          <w:lang w:val="en-US" w:eastAsia="zh-CN" w:bidi="ar-SA"/>
        </w:rPr>
        <w:tab/>
      </w:r>
      <w:r>
        <w:rPr>
          <w:rFonts w:ascii="Times New Roman" w:hAnsi="Times New Roman" w:eastAsia="黑体" w:cs="Times New Roman"/>
          <w:b/>
          <w:kern w:val="2"/>
          <w:sz w:val="24"/>
          <w:szCs w:val="24"/>
          <w:lang w:val="en-US" w:eastAsia="zh-CN" w:bidi="ar-SA"/>
        </w:rPr>
        <w:fldChar w:fldCharType="begin"/>
      </w:r>
      <w:r>
        <w:rPr>
          <w:rFonts w:ascii="Times New Roman" w:hAnsi="Times New Roman" w:eastAsia="黑体" w:cs="Times New Roman"/>
          <w:b/>
          <w:kern w:val="2"/>
          <w:sz w:val="24"/>
          <w:szCs w:val="24"/>
          <w:lang w:val="en-US" w:eastAsia="zh-CN" w:bidi="ar-SA"/>
        </w:rPr>
        <w:instrText xml:space="preserve"> PAGEREF _Toc30676 \h </w:instrText>
      </w:r>
      <w:r>
        <w:rPr>
          <w:rFonts w:ascii="Times New Roman" w:hAnsi="Times New Roman" w:eastAsia="黑体" w:cs="Times New Roman"/>
          <w:b/>
          <w:kern w:val="2"/>
          <w:sz w:val="24"/>
          <w:szCs w:val="24"/>
          <w:lang w:val="en-US" w:eastAsia="zh-CN" w:bidi="ar-SA"/>
        </w:rPr>
        <w:fldChar w:fldCharType="separate"/>
      </w:r>
      <w:r>
        <w:rPr>
          <w:rFonts w:ascii="Times New Roman" w:hAnsi="Times New Roman" w:eastAsia="黑体" w:cs="Times New Roman"/>
          <w:b/>
          <w:kern w:val="2"/>
          <w:sz w:val="24"/>
          <w:szCs w:val="24"/>
          <w:lang w:val="en-US" w:eastAsia="zh-CN" w:bidi="ar-SA"/>
        </w:rPr>
        <w:t>15</w:t>
      </w:r>
      <w:r>
        <w:rPr>
          <w:rFonts w:ascii="Times New Roman" w:hAnsi="Times New Roman" w:eastAsia="黑体" w:cs="Times New Roman"/>
          <w:b/>
          <w:kern w:val="2"/>
          <w:sz w:val="24"/>
          <w:szCs w:val="24"/>
          <w:lang w:val="en-US" w:eastAsia="zh-CN" w:bidi="ar-SA"/>
        </w:rPr>
        <w:fldChar w:fldCharType="end"/>
      </w:r>
      <w:r>
        <w:rPr>
          <w:rFonts w:hint="default" w:ascii="Times New Roman" w:hAnsi="Times New Roman" w:eastAsia="黑体" w:cs="Times New Roman"/>
          <w:b/>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_Toc28437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6.1 绩效考核原则</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_Toc28437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_Toc29579 </w:instrText>
      </w:r>
      <w:r>
        <w:rPr>
          <w:rFonts w:hint="default" w:ascii="Times New Roman" w:hAnsi="Times New Roman" w:eastAsia="黑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6</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 xml:space="preserve">2 </w:t>
      </w:r>
      <w:r>
        <w:rPr>
          <w:rFonts w:hint="default" w:ascii="Times New Roman" w:hAnsi="Times New Roman" w:eastAsia="宋体" w:cs="Times New Roman"/>
          <w:kern w:val="2"/>
          <w:sz w:val="24"/>
          <w:szCs w:val="24"/>
          <w:lang w:val="en-US" w:eastAsia="zh-CN" w:bidi="ar-SA"/>
        </w:rPr>
        <w:t>绩效考核机制</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_Toc29579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firstLine="0" w:firstLineChars="0"/>
        <w:jc w:val="both"/>
        <w:rPr>
          <w:rFonts w:ascii="Times New Roman" w:hAnsi="Times New Roman" w:eastAsia="黑体" w:cs="Times New Roman"/>
          <w:b/>
          <w:kern w:val="2"/>
          <w:sz w:val="24"/>
          <w:szCs w:val="24"/>
          <w:lang w:val="en-US" w:eastAsia="zh-CN" w:bidi="ar-SA"/>
        </w:rPr>
      </w:pPr>
      <w:r>
        <w:rPr>
          <w:rFonts w:hint="default" w:ascii="Times New Roman" w:hAnsi="Times New Roman" w:eastAsia="黑体" w:cs="Times New Roman"/>
          <w:b/>
          <w:kern w:val="2"/>
          <w:sz w:val="24"/>
          <w:szCs w:val="24"/>
          <w:lang w:val="en-US" w:eastAsia="zh-CN" w:bidi="ar-SA"/>
        </w:rPr>
        <w:fldChar w:fldCharType="begin"/>
      </w:r>
      <w:r>
        <w:rPr>
          <w:rFonts w:hint="default" w:ascii="Times New Roman" w:hAnsi="Times New Roman" w:eastAsia="黑体" w:cs="Times New Roman"/>
          <w:b/>
          <w:kern w:val="2"/>
          <w:sz w:val="24"/>
          <w:szCs w:val="24"/>
          <w:lang w:val="en-US" w:eastAsia="zh-CN" w:bidi="ar-SA"/>
        </w:rPr>
        <w:instrText xml:space="preserve"> HYPERLINK \l _Toc15336 </w:instrText>
      </w:r>
      <w:r>
        <w:rPr>
          <w:rFonts w:hint="default" w:ascii="Times New Roman" w:hAnsi="Times New Roman" w:eastAsia="黑体" w:cs="Times New Roman"/>
          <w:b/>
          <w:kern w:val="2"/>
          <w:sz w:val="24"/>
          <w:szCs w:val="24"/>
          <w:lang w:val="en-US" w:eastAsia="zh-CN" w:bidi="ar-SA"/>
        </w:rPr>
        <w:fldChar w:fldCharType="separate"/>
      </w:r>
      <w:r>
        <w:rPr>
          <w:rFonts w:hint="eastAsia" w:ascii="Times New Roman" w:hAnsi="Times New Roman" w:eastAsia="黑体" w:cs="Times New Roman"/>
          <w:b/>
          <w:kern w:val="2"/>
          <w:sz w:val="24"/>
          <w:szCs w:val="24"/>
          <w:lang w:val="en-US" w:eastAsia="zh-CN" w:bidi="ar-SA"/>
        </w:rPr>
        <w:t xml:space="preserve">附件 </w:t>
      </w:r>
      <w:r>
        <w:rPr>
          <w:rFonts w:hint="default" w:ascii="Times New Roman" w:hAnsi="Times New Roman" w:eastAsia="黑体" w:cs="Times New Roman"/>
          <w:b/>
          <w:kern w:val="2"/>
          <w:sz w:val="24"/>
          <w:szCs w:val="24"/>
          <w:lang w:val="en-US" w:eastAsia="zh-CN" w:bidi="ar-SA"/>
        </w:rPr>
        <w:t>特许经营协议框架</w:t>
      </w:r>
      <w:r>
        <w:rPr>
          <w:rFonts w:ascii="Times New Roman" w:hAnsi="Times New Roman" w:eastAsia="黑体" w:cs="Times New Roman"/>
          <w:b/>
          <w:kern w:val="2"/>
          <w:sz w:val="24"/>
          <w:szCs w:val="24"/>
          <w:lang w:val="en-US" w:eastAsia="zh-CN" w:bidi="ar-SA"/>
        </w:rPr>
        <w:tab/>
      </w:r>
      <w:r>
        <w:rPr>
          <w:rFonts w:ascii="Times New Roman" w:hAnsi="Times New Roman" w:eastAsia="黑体" w:cs="Times New Roman"/>
          <w:b/>
          <w:kern w:val="2"/>
          <w:sz w:val="24"/>
          <w:szCs w:val="24"/>
          <w:lang w:val="en-US" w:eastAsia="zh-CN" w:bidi="ar-SA"/>
        </w:rPr>
        <w:fldChar w:fldCharType="begin"/>
      </w:r>
      <w:r>
        <w:rPr>
          <w:rFonts w:ascii="Times New Roman" w:hAnsi="Times New Roman" w:eastAsia="黑体" w:cs="Times New Roman"/>
          <w:b/>
          <w:kern w:val="2"/>
          <w:sz w:val="24"/>
          <w:szCs w:val="24"/>
          <w:lang w:val="en-US" w:eastAsia="zh-CN" w:bidi="ar-SA"/>
        </w:rPr>
        <w:instrText xml:space="preserve"> PAGEREF _Toc15336 \h </w:instrText>
      </w:r>
      <w:r>
        <w:rPr>
          <w:rFonts w:ascii="Times New Roman" w:hAnsi="Times New Roman" w:eastAsia="黑体" w:cs="Times New Roman"/>
          <w:b/>
          <w:kern w:val="2"/>
          <w:sz w:val="24"/>
          <w:szCs w:val="24"/>
          <w:lang w:val="en-US" w:eastAsia="zh-CN" w:bidi="ar-SA"/>
        </w:rPr>
        <w:fldChar w:fldCharType="separate"/>
      </w:r>
      <w:r>
        <w:rPr>
          <w:rFonts w:ascii="Times New Roman" w:hAnsi="Times New Roman" w:eastAsia="黑体" w:cs="Times New Roman"/>
          <w:b/>
          <w:kern w:val="2"/>
          <w:sz w:val="24"/>
          <w:szCs w:val="24"/>
          <w:lang w:val="en-US" w:eastAsia="zh-CN" w:bidi="ar-SA"/>
        </w:rPr>
        <w:t>24</w:t>
      </w:r>
      <w:r>
        <w:rPr>
          <w:rFonts w:ascii="Times New Roman" w:hAnsi="Times New Roman" w:eastAsia="黑体" w:cs="Times New Roman"/>
          <w:b/>
          <w:kern w:val="2"/>
          <w:sz w:val="24"/>
          <w:szCs w:val="24"/>
          <w:lang w:val="en-US" w:eastAsia="zh-CN" w:bidi="ar-SA"/>
        </w:rPr>
        <w:fldChar w:fldCharType="end"/>
      </w:r>
      <w:r>
        <w:rPr>
          <w:rFonts w:hint="default" w:ascii="Times New Roman" w:hAnsi="Times New Roman" w:eastAsia="黑体" w:cs="Times New Roman"/>
          <w:b/>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_Toc25663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i w:val="0"/>
          <w:kern w:val="0"/>
          <w:sz w:val="24"/>
          <w:szCs w:val="28"/>
          <w:lang w:val="en-US" w:eastAsia="zh-CN" w:bidi="ar-SA"/>
        </w:rPr>
        <w:t xml:space="preserve">第1条 </w:t>
      </w:r>
      <w:r>
        <w:rPr>
          <w:rFonts w:hint="default" w:ascii="Times New Roman" w:hAnsi="Times New Roman" w:eastAsia="宋体" w:cs="Times New Roman"/>
          <w:kern w:val="0"/>
          <w:sz w:val="24"/>
          <w:szCs w:val="28"/>
          <w:highlight w:val="none"/>
          <w:lang w:val="en-US" w:eastAsia="zh-CN" w:bidi="ar-SA"/>
        </w:rPr>
        <w:t>定义及解释</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_Toc25663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25</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_Toc7906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i w:val="0"/>
          <w:kern w:val="0"/>
          <w:sz w:val="24"/>
          <w:szCs w:val="28"/>
          <w:lang w:val="en-US" w:eastAsia="zh-CN" w:bidi="ar-SA"/>
        </w:rPr>
        <w:t xml:space="preserve">第2条 </w:t>
      </w:r>
      <w:r>
        <w:rPr>
          <w:rFonts w:hint="default" w:ascii="Times New Roman" w:hAnsi="Times New Roman" w:eastAsia="宋体" w:cs="Times New Roman"/>
          <w:kern w:val="0"/>
          <w:sz w:val="24"/>
          <w:szCs w:val="28"/>
          <w:highlight w:val="none"/>
          <w:lang w:val="en-US" w:eastAsia="zh-CN" w:bidi="ar-SA"/>
        </w:rPr>
        <w:t>合作关系建立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_Toc7906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27</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_Toc27698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i w:val="0"/>
          <w:kern w:val="0"/>
          <w:sz w:val="24"/>
          <w:szCs w:val="28"/>
          <w:lang w:val="en-US" w:eastAsia="zh-CN" w:bidi="ar-SA"/>
        </w:rPr>
        <w:t xml:space="preserve">第3条 </w:t>
      </w:r>
      <w:r>
        <w:rPr>
          <w:rFonts w:hint="default" w:ascii="Times New Roman" w:hAnsi="Times New Roman" w:eastAsia="宋体" w:cs="Times New Roman"/>
          <w:kern w:val="0"/>
          <w:sz w:val="24"/>
          <w:szCs w:val="28"/>
          <w:highlight w:val="none"/>
          <w:lang w:val="en-US" w:eastAsia="zh-CN" w:bidi="ar-SA"/>
        </w:rPr>
        <w:t>权利和义务及双方承诺</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_Toc27698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28</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_Toc1036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i w:val="0"/>
          <w:kern w:val="0"/>
          <w:sz w:val="24"/>
          <w:szCs w:val="28"/>
          <w:lang w:val="en-US" w:eastAsia="zh-CN" w:bidi="ar-SA"/>
        </w:rPr>
        <w:t xml:space="preserve">第4条 </w:t>
      </w:r>
      <w:r>
        <w:rPr>
          <w:rFonts w:hint="default" w:ascii="Times New Roman" w:hAnsi="Times New Roman" w:eastAsia="宋体" w:cs="Times New Roman"/>
          <w:kern w:val="0"/>
          <w:sz w:val="24"/>
          <w:szCs w:val="28"/>
          <w:highlight w:val="none"/>
          <w:lang w:val="en-US" w:eastAsia="zh-CN" w:bidi="ar-SA"/>
        </w:rPr>
        <w:t>本协议的组成部分</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_Toc1036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30</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_Toc5838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i w:val="0"/>
          <w:kern w:val="0"/>
          <w:sz w:val="24"/>
          <w:szCs w:val="28"/>
          <w:lang w:val="en-US" w:eastAsia="zh-CN" w:bidi="ar-SA"/>
        </w:rPr>
        <w:t xml:space="preserve">第5条 </w:t>
      </w:r>
      <w:r>
        <w:rPr>
          <w:rFonts w:hint="default" w:ascii="Times New Roman" w:hAnsi="Times New Roman" w:eastAsia="宋体" w:cs="Times New Roman"/>
          <w:kern w:val="0"/>
          <w:sz w:val="24"/>
          <w:szCs w:val="28"/>
          <w:highlight w:val="none"/>
          <w:lang w:val="en-US" w:eastAsia="zh-CN" w:bidi="ar-SA"/>
        </w:rPr>
        <w:t>违约情形与责任</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_Toc5838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30</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_Toc648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i w:val="0"/>
          <w:kern w:val="0"/>
          <w:sz w:val="24"/>
          <w:szCs w:val="28"/>
          <w:lang w:val="en-US" w:eastAsia="zh-CN" w:bidi="ar-SA"/>
        </w:rPr>
        <w:t xml:space="preserve">第6条 </w:t>
      </w:r>
      <w:r>
        <w:rPr>
          <w:rFonts w:hint="default" w:ascii="Times New Roman" w:hAnsi="Times New Roman" w:eastAsia="宋体" w:cs="Times New Roman"/>
          <w:kern w:val="0"/>
          <w:sz w:val="24"/>
          <w:szCs w:val="28"/>
          <w:highlight w:val="none"/>
          <w:lang w:val="en-US" w:eastAsia="zh-CN" w:bidi="ar-SA"/>
        </w:rPr>
        <w:t>不可抗力</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_Toc648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32</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_Toc31370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i w:val="0"/>
          <w:kern w:val="0"/>
          <w:sz w:val="24"/>
          <w:szCs w:val="28"/>
          <w:lang w:val="en-US" w:eastAsia="zh-CN" w:bidi="ar-SA"/>
        </w:rPr>
        <w:t xml:space="preserve">第7条 </w:t>
      </w:r>
      <w:r>
        <w:rPr>
          <w:rFonts w:hint="default" w:ascii="Times New Roman" w:hAnsi="Times New Roman" w:eastAsia="宋体" w:cs="Times New Roman"/>
          <w:kern w:val="0"/>
          <w:sz w:val="24"/>
          <w:szCs w:val="28"/>
          <w:highlight w:val="none"/>
          <w:lang w:val="en-US" w:eastAsia="zh-CN" w:bidi="ar-SA"/>
        </w:rPr>
        <w:t>争议解决</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_Toc31370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33</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_Toc11108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i w:val="0"/>
          <w:kern w:val="0"/>
          <w:sz w:val="24"/>
          <w:szCs w:val="28"/>
          <w:lang w:val="en-US" w:eastAsia="zh-CN" w:bidi="ar-SA"/>
        </w:rPr>
        <w:t xml:space="preserve">第8条 </w:t>
      </w:r>
      <w:r>
        <w:rPr>
          <w:rFonts w:hint="default" w:ascii="Times New Roman" w:hAnsi="Times New Roman" w:eastAsia="宋体" w:cs="Times New Roman"/>
          <w:kern w:val="0"/>
          <w:sz w:val="24"/>
          <w:szCs w:val="28"/>
          <w:highlight w:val="none"/>
          <w:lang w:val="en-US" w:eastAsia="zh-CN" w:bidi="ar-SA"/>
        </w:rPr>
        <w:t>本协议的生效及终止</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_Toc11108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33</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widowControl w:val="0"/>
        <w:tabs>
          <w:tab w:val="right" w:leader="dot" w:pos="8312"/>
        </w:tabs>
        <w:spacing w:line="240" w:lineRule="auto"/>
        <w:ind w:left="420" w:leftChars="200" w:firstLine="0" w:firstLineChars="0"/>
        <w:jc w:val="both"/>
        <w:rPr>
          <w:rFonts w:ascii="Times New Roman" w:hAnsi="Times New Roman" w:eastAsia="宋体" w:cs="Times New Roman"/>
          <w:kern w:val="2"/>
          <w:sz w:val="24"/>
          <w:szCs w:val="24"/>
          <w:lang w:val="en-US" w:eastAsia="zh-CN" w:bidi="ar-SA"/>
        </w:rPr>
      </w:pPr>
      <w:r>
        <w:rPr>
          <w:rFonts w:hint="default" w:ascii="Times New Roman" w:hAnsi="Times New Roman" w:eastAsia="黑体" w:cs="Times New Roman"/>
          <w:kern w:val="2"/>
          <w:sz w:val="24"/>
          <w:szCs w:val="24"/>
          <w:lang w:val="en-US" w:eastAsia="zh-CN" w:bidi="ar-SA"/>
        </w:rPr>
        <w:fldChar w:fldCharType="begin"/>
      </w:r>
      <w:r>
        <w:rPr>
          <w:rFonts w:hint="default" w:ascii="Times New Roman" w:hAnsi="Times New Roman" w:eastAsia="黑体" w:cs="Times New Roman"/>
          <w:kern w:val="2"/>
          <w:sz w:val="24"/>
          <w:szCs w:val="24"/>
          <w:lang w:val="en-US" w:eastAsia="zh-CN" w:bidi="ar-SA"/>
        </w:rPr>
        <w:instrText xml:space="preserve"> HYPERLINK \l _Toc12004 </w:instrText>
      </w:r>
      <w:r>
        <w:rPr>
          <w:rFonts w:hint="default" w:ascii="Times New Roman" w:hAnsi="Times New Roman" w:eastAsia="黑体" w:cs="Times New Roman"/>
          <w:kern w:val="2"/>
          <w:sz w:val="24"/>
          <w:szCs w:val="24"/>
          <w:lang w:val="en-US" w:eastAsia="zh-CN" w:bidi="ar-SA"/>
        </w:rPr>
        <w:fldChar w:fldCharType="separate"/>
      </w:r>
      <w:r>
        <w:rPr>
          <w:rFonts w:hint="default" w:ascii="Times New Roman" w:hAnsi="Times New Roman" w:eastAsia="宋体" w:cs="Times New Roman"/>
          <w:i w:val="0"/>
          <w:kern w:val="0"/>
          <w:sz w:val="24"/>
          <w:szCs w:val="28"/>
          <w:lang w:val="en-US" w:eastAsia="zh-CN" w:bidi="ar-SA"/>
        </w:rPr>
        <w:t xml:space="preserve">第9条 </w:t>
      </w:r>
      <w:r>
        <w:rPr>
          <w:rFonts w:hint="default" w:ascii="Times New Roman" w:hAnsi="Times New Roman" w:eastAsia="宋体" w:cs="Times New Roman"/>
          <w:kern w:val="0"/>
          <w:sz w:val="24"/>
          <w:szCs w:val="28"/>
          <w:highlight w:val="none"/>
          <w:lang w:val="en-US" w:eastAsia="zh-CN" w:bidi="ar-SA"/>
        </w:rPr>
        <w:t>其他事项</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_Toc12004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34</w:t>
      </w:r>
      <w:r>
        <w:rPr>
          <w:rFonts w:ascii="Times New Roman" w:hAnsi="Times New Roman" w:eastAsia="宋体" w:cs="Times New Roman"/>
          <w:kern w:val="2"/>
          <w:sz w:val="24"/>
          <w:szCs w:val="24"/>
          <w:lang w:val="en-US" w:eastAsia="zh-CN" w:bidi="ar-SA"/>
        </w:rPr>
        <w:fldChar w:fldCharType="end"/>
      </w:r>
      <w:r>
        <w:rPr>
          <w:rFonts w:hint="default" w:ascii="Times New Roman" w:hAnsi="Times New Roman" w:eastAsia="黑体" w:cs="Times New Roman"/>
          <w:kern w:val="2"/>
          <w:sz w:val="24"/>
          <w:szCs w:val="24"/>
          <w:lang w:val="en-US" w:eastAsia="zh-CN" w:bidi="ar-SA"/>
        </w:rPr>
        <w:fldChar w:fldCharType="end"/>
      </w:r>
    </w:p>
    <w:p>
      <w:pPr>
        <w:ind w:firstLine="482"/>
        <w:jc w:val="left"/>
        <w:rPr>
          <w:rFonts w:hint="default" w:ascii="Times New Roman" w:hAnsi="Times New Roman" w:cs="Times New Roman"/>
        </w:rPr>
        <w:sectPr>
          <w:pgSz w:w="11906" w:h="16838"/>
          <w:pgMar w:top="1440" w:right="1797" w:bottom="1440" w:left="1797" w:header="851" w:footer="992" w:gutter="0"/>
          <w:pgNumType w:fmt="upperRoman" w:start="1"/>
          <w:cols w:space="425" w:num="1"/>
          <w:docGrid w:type="lines" w:linePitch="312" w:charSpace="0"/>
        </w:sectPr>
      </w:pPr>
      <w:r>
        <w:rPr>
          <w:rFonts w:hint="default" w:ascii="Times New Roman" w:hAnsi="Times New Roman" w:eastAsia="黑体" w:cs="Times New Roman"/>
          <w:sz w:val="28"/>
        </w:rPr>
        <w:fldChar w:fldCharType="end"/>
      </w:r>
    </w:p>
    <w:p>
      <w:pPr>
        <w:keepNext/>
        <w:keepLines/>
        <w:widowControl w:val="0"/>
        <w:bidi w:val="0"/>
        <w:spacing w:before="300" w:after="300" w:line="300" w:lineRule="auto"/>
        <w:ind w:firstLine="0" w:firstLineChars="0"/>
        <w:jc w:val="center"/>
        <w:outlineLvl w:val="0"/>
        <w:rPr>
          <w:rFonts w:hint="default" w:ascii="Times New Roman" w:hAnsi="Times New Roman" w:eastAsia="黑体" w:cs="Times New Roman"/>
          <w:b/>
          <w:bCs/>
          <w:kern w:val="44"/>
          <w:sz w:val="44"/>
          <w:szCs w:val="44"/>
          <w:lang w:val="en-US" w:eastAsia="zh-CN" w:bidi="ar-SA"/>
        </w:rPr>
      </w:pPr>
      <w:bookmarkStart w:id="3" w:name="_Toc24166"/>
      <w:bookmarkStart w:id="4" w:name="_Toc16782"/>
      <w:r>
        <w:rPr>
          <w:rFonts w:hint="default" w:ascii="Times New Roman" w:hAnsi="Times New Roman" w:eastAsia="黑体" w:cs="Times New Roman"/>
          <w:b/>
          <w:bCs/>
          <w:kern w:val="44"/>
          <w:sz w:val="44"/>
          <w:szCs w:val="44"/>
          <w:lang w:val="en-US" w:eastAsia="zh-CN" w:bidi="ar-SA"/>
        </w:rPr>
        <w:t>第一章</w:t>
      </w:r>
      <w:r>
        <w:rPr>
          <w:rFonts w:hint="eastAsia" w:ascii="Times New Roman" w:hAnsi="Times New Roman" w:eastAsia="黑体" w:cs="Times New Roman"/>
          <w:b/>
          <w:bCs/>
          <w:kern w:val="44"/>
          <w:sz w:val="44"/>
          <w:szCs w:val="44"/>
          <w:lang w:val="en-US" w:eastAsia="zh-CN" w:bidi="ar-SA"/>
        </w:rPr>
        <w:t xml:space="preserve"> </w:t>
      </w:r>
      <w:r>
        <w:rPr>
          <w:rFonts w:hint="default" w:ascii="Times New Roman" w:hAnsi="Times New Roman" w:eastAsia="黑体" w:cs="Times New Roman"/>
          <w:b/>
          <w:bCs/>
          <w:kern w:val="44"/>
          <w:sz w:val="44"/>
          <w:szCs w:val="44"/>
          <w:lang w:val="en-US" w:eastAsia="zh-CN" w:bidi="ar-SA"/>
        </w:rPr>
        <w:t>编制依据</w:t>
      </w:r>
      <w:r>
        <w:rPr>
          <w:rFonts w:hint="eastAsia" w:ascii="Times New Roman" w:hAnsi="Times New Roman" w:eastAsia="黑体" w:cs="Times New Roman"/>
          <w:b/>
          <w:bCs/>
          <w:kern w:val="44"/>
          <w:sz w:val="44"/>
          <w:szCs w:val="44"/>
          <w:lang w:val="en-US" w:eastAsia="zh-CN" w:bidi="ar-SA"/>
        </w:rPr>
        <w:t>及项目背景</w:t>
      </w:r>
      <w:bookmarkEnd w:id="3"/>
      <w:bookmarkEnd w:id="4"/>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5" w:name="_bookmark2"/>
      <w:bookmarkEnd w:id="5"/>
      <w:bookmarkStart w:id="6" w:name="_Toc20988"/>
      <w:bookmarkStart w:id="7" w:name="_Toc6355"/>
      <w:bookmarkStart w:id="8" w:name="_Toc8809"/>
      <w:bookmarkStart w:id="9" w:name="_Toc13514"/>
      <w:r>
        <w:rPr>
          <w:rFonts w:hint="default" w:ascii="Arial" w:hAnsi="Arial" w:eastAsia="黑体" w:cs="Times New Roman"/>
          <w:b/>
          <w:bCs/>
          <w:kern w:val="2"/>
          <w:sz w:val="32"/>
          <w:szCs w:val="32"/>
          <w:lang w:val="en-US" w:eastAsia="zh-CN" w:bidi="ar-SA"/>
        </w:rPr>
        <w:t>1.1</w:t>
      </w:r>
      <w:r>
        <w:rPr>
          <w:rFonts w:hint="eastAsia" w:ascii="Arial" w:hAnsi="Arial" w:eastAsia="黑体" w:cs="Times New Roman"/>
          <w:b/>
          <w:bCs/>
          <w:kern w:val="2"/>
          <w:sz w:val="32"/>
          <w:szCs w:val="32"/>
          <w:lang w:val="en-US" w:eastAsia="zh-CN" w:bidi="ar-SA"/>
        </w:rPr>
        <w:t xml:space="preserve"> </w:t>
      </w:r>
      <w:r>
        <w:rPr>
          <w:rFonts w:hint="default" w:ascii="Arial" w:hAnsi="Arial" w:eastAsia="黑体" w:cs="Times New Roman"/>
          <w:b/>
          <w:bCs/>
          <w:kern w:val="2"/>
          <w:sz w:val="32"/>
          <w:szCs w:val="32"/>
          <w:lang w:val="en-US" w:eastAsia="zh-CN" w:bidi="ar-SA"/>
        </w:rPr>
        <w:t>编制目的</w:t>
      </w:r>
      <w:bookmarkEnd w:id="6"/>
      <w:bookmarkEnd w:id="7"/>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基础设施和公用事业特许经营模式是指政府采用竞争方式依法授权中华人民共和国境内外的法人或者其他组织，通过协议明确权利义务和风险分担，约定其在一定期限和范围内投资运营基础设施和公用事业并获得收益，提供公共产品或者公共服务。依据《基础设施和公用事业特许经营管理办法》（国家发展改革委等6部委第25号令）等以及</w:t>
      </w:r>
      <w:r>
        <w:rPr>
          <w:rFonts w:hint="eastAsia" w:ascii="Times New Roman" w:hAnsi="Times New Roman" w:eastAsia="宋体" w:cs="Times New Roman"/>
          <w:sz w:val="28"/>
          <w:lang w:val="en-US" w:eastAsia="zh-CN"/>
        </w:rPr>
        <w:t>遂宁市安居区</w:t>
      </w:r>
      <w:r>
        <w:rPr>
          <w:rFonts w:hint="default" w:ascii="Times New Roman" w:hAnsi="Times New Roman" w:eastAsia="宋体" w:cs="Times New Roman"/>
          <w:sz w:val="28"/>
          <w:lang w:val="en-US" w:eastAsia="zh-CN"/>
        </w:rPr>
        <w:t>实际，特制定本</w:t>
      </w:r>
      <w:r>
        <w:rPr>
          <w:rFonts w:hint="eastAsia" w:ascii="Times New Roman" w:hAnsi="Times New Roman" w:eastAsia="宋体" w:cs="Times New Roman"/>
          <w:sz w:val="28"/>
          <w:lang w:val="en-US" w:eastAsia="zh-CN"/>
        </w:rPr>
        <w:t>出让方案</w:t>
      </w:r>
      <w:r>
        <w:rPr>
          <w:rFonts w:hint="default" w:ascii="Times New Roman" w:hAnsi="Times New Roman" w:eastAsia="宋体" w:cs="Times New Roman"/>
          <w:sz w:val="28"/>
          <w:lang w:val="en-US" w:eastAsia="zh-CN"/>
        </w:rPr>
        <w:t>。</w:t>
      </w:r>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本方案旨在通过对</w:t>
      </w:r>
      <w:r>
        <w:rPr>
          <w:rFonts w:hint="eastAsia" w:ascii="Times New Roman" w:hAnsi="Times New Roman" w:eastAsia="宋体" w:cs="Times New Roman"/>
          <w:sz w:val="28"/>
          <w:lang w:val="en-US" w:eastAsia="zh-CN"/>
        </w:rPr>
        <w:t>遂宁市安居区城区智慧停车位项目</w:t>
      </w:r>
      <w:r>
        <w:rPr>
          <w:rFonts w:hint="default" w:ascii="Times New Roman" w:hAnsi="Times New Roman" w:eastAsia="宋体" w:cs="Times New Roman"/>
          <w:sz w:val="28"/>
          <w:lang w:val="en-US" w:eastAsia="zh-CN"/>
        </w:rPr>
        <w:t>，采用特许经营模式实施投资收益及财务效益预测、风险分担机制和防范措施、特许经营及政府监管等内容的研究分析，论证</w:t>
      </w:r>
      <w:r>
        <w:rPr>
          <w:rFonts w:hint="eastAsia" w:ascii="Times New Roman" w:hAnsi="Times New Roman" w:eastAsia="宋体" w:cs="Times New Roman"/>
          <w:sz w:val="28"/>
          <w:lang w:val="en-US" w:eastAsia="zh-CN"/>
        </w:rPr>
        <w:t>遂宁市安居区城区智慧停车位项目</w:t>
      </w:r>
      <w:r>
        <w:rPr>
          <w:rFonts w:hint="default" w:ascii="Times New Roman" w:hAnsi="Times New Roman" w:eastAsia="宋体" w:cs="Times New Roman"/>
          <w:sz w:val="28"/>
          <w:lang w:val="en-US" w:eastAsia="zh-CN"/>
        </w:rPr>
        <w:t>采取特许经营模式的可行性。通过分析特许经营者经营期的投资回报、政府支出责任、双方权利义务和风险分配等，为</w:t>
      </w:r>
      <w:r>
        <w:rPr>
          <w:rFonts w:hint="eastAsia" w:ascii="Times New Roman" w:hAnsi="Times New Roman" w:eastAsia="宋体" w:cs="Times New Roman"/>
          <w:sz w:val="28"/>
          <w:lang w:val="en-US" w:eastAsia="zh-CN"/>
        </w:rPr>
        <w:t>遂宁市安居区城区智慧停车位项目</w:t>
      </w:r>
      <w:r>
        <w:rPr>
          <w:rFonts w:hint="default" w:ascii="Times New Roman" w:hAnsi="Times New Roman" w:eastAsia="宋体" w:cs="Times New Roman"/>
          <w:sz w:val="28"/>
          <w:lang w:val="en-US" w:eastAsia="zh-CN"/>
        </w:rPr>
        <w:t>成功采取特许经营模式提供政策理论依据。</w:t>
      </w:r>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10" w:name="_Toc5160"/>
      <w:bookmarkStart w:id="11" w:name="_Toc31212"/>
      <w:r>
        <w:rPr>
          <w:rFonts w:hint="default" w:ascii="Arial" w:hAnsi="Arial" w:eastAsia="黑体" w:cs="Times New Roman"/>
          <w:b/>
          <w:bCs/>
          <w:kern w:val="2"/>
          <w:sz w:val="32"/>
          <w:szCs w:val="32"/>
          <w:lang w:val="en-US" w:eastAsia="zh-CN" w:bidi="ar-SA"/>
        </w:rPr>
        <w:t>1.2</w:t>
      </w:r>
      <w:r>
        <w:rPr>
          <w:rFonts w:hint="eastAsia" w:ascii="Arial" w:hAnsi="Arial" w:eastAsia="黑体" w:cs="Times New Roman"/>
          <w:b/>
          <w:bCs/>
          <w:kern w:val="2"/>
          <w:sz w:val="32"/>
          <w:szCs w:val="32"/>
          <w:lang w:val="en-US" w:eastAsia="zh-CN" w:bidi="ar-SA"/>
        </w:rPr>
        <w:t xml:space="preserve"> </w:t>
      </w:r>
      <w:r>
        <w:rPr>
          <w:rFonts w:hint="default" w:ascii="Arial" w:hAnsi="Arial" w:eastAsia="黑体" w:cs="Times New Roman"/>
          <w:b/>
          <w:bCs/>
          <w:kern w:val="2"/>
          <w:sz w:val="32"/>
          <w:szCs w:val="32"/>
          <w:lang w:val="en-US" w:eastAsia="zh-CN" w:bidi="ar-SA"/>
        </w:rPr>
        <w:t>编制依据</w:t>
      </w:r>
      <w:bookmarkEnd w:id="8"/>
      <w:bookmarkEnd w:id="9"/>
      <w:bookmarkEnd w:id="10"/>
      <w:bookmarkEnd w:id="11"/>
    </w:p>
    <w:p>
      <w:pPr>
        <w:numPr>
          <w:ilvl w:val="0"/>
          <w:numId w:val="1"/>
        </w:numPr>
        <w:bidi w:val="0"/>
        <w:spacing w:line="360" w:lineRule="auto"/>
        <w:ind w:left="5" w:leftChars="0" w:firstLine="560" w:firstLineChars="200"/>
        <w:rPr>
          <w:rFonts w:hint="default" w:ascii="Times New Roman" w:hAnsi="Times New Roman" w:eastAsia="宋体" w:cs="Times New Roman"/>
          <w:sz w:val="28"/>
        </w:rPr>
      </w:pPr>
      <w:bookmarkStart w:id="12" w:name="_bookmark3"/>
      <w:bookmarkEnd w:id="12"/>
      <w:bookmarkStart w:id="13" w:name="_bookmark5"/>
      <w:bookmarkEnd w:id="13"/>
      <w:bookmarkStart w:id="14" w:name="_Toc18934"/>
      <w:r>
        <w:rPr>
          <w:rFonts w:hint="default" w:ascii="Times New Roman" w:hAnsi="Times New Roman" w:eastAsia="宋体" w:cs="Times New Roman"/>
          <w:sz w:val="28"/>
        </w:rPr>
        <w:t>《中华人民共和国预算法》</w:t>
      </w:r>
      <w:r>
        <w:rPr>
          <w:rFonts w:hint="eastAsia" w:ascii="Times New Roman" w:hAnsi="Times New Roman" w:eastAsia="宋体" w:cs="Times New Roman"/>
          <w:sz w:val="28"/>
          <w:lang w:eastAsia="zh-CN"/>
        </w:rPr>
        <w:t>（</w:t>
      </w:r>
      <w:r>
        <w:rPr>
          <w:rFonts w:hint="eastAsia" w:ascii="Times New Roman" w:hAnsi="Times New Roman" w:eastAsia="宋体" w:cs="Times New Roman"/>
          <w:sz w:val="28"/>
          <w:lang w:val="en-US" w:eastAsia="zh-CN"/>
        </w:rPr>
        <w:t>2018年修正</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国务院《关于创新重点领域投融资机制鼓励社会投资的指导意见》（国发〔2014〕60号）；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国家发展改革委《关于开展政府和社会资本合作的指导意见》（发改投资〔2014〕2724号）；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国务院《关于加强城市基础设施建设的意见》（国发〔2013〕36号）；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《基础设施和公共事业特许经营管理办法》（国家发展和改革委员会、财政部、住房和城乡建设部、交通运输部、水利部、人民银行令〔2015〕第25号）；</w:t>
      </w:r>
    </w:p>
    <w:p>
      <w:pPr>
        <w:numPr>
          <w:ilvl w:val="0"/>
          <w:numId w:val="1"/>
        </w:numPr>
        <w:bidi w:val="0"/>
        <w:spacing w:line="360" w:lineRule="auto"/>
        <w:ind w:left="5" w:leftChars="0" w:firstLine="560" w:firstLineChars="200"/>
        <w:rPr>
          <w:rFonts w:ascii="Times New Roman" w:hAnsi="Times New Roman" w:eastAsia="宋体" w:cs="Times New Roman"/>
          <w:sz w:val="28"/>
        </w:rPr>
      </w:pPr>
      <w:r>
        <w:rPr>
          <w:rFonts w:ascii="Times New Roman" w:hAnsi="Times New Roman" w:eastAsia="宋体" w:cs="Times New Roman"/>
          <w:sz w:val="28"/>
        </w:rPr>
        <w:t>国家发展改革委《传统基础设施领域政府和社会资本合作的有关工作的通知》</w:t>
      </w:r>
      <w:r>
        <w:rPr>
          <w:rFonts w:hint="eastAsia" w:ascii="Times New Roman" w:hAnsi="Times New Roman" w:eastAsia="宋体" w:cs="Times New Roman"/>
          <w:sz w:val="28"/>
          <w:lang w:eastAsia="zh-CN"/>
        </w:rPr>
        <w:t>（</w:t>
      </w:r>
      <w:r>
        <w:rPr>
          <w:rFonts w:ascii="Times New Roman" w:hAnsi="Times New Roman" w:eastAsia="宋体" w:cs="Times New Roman"/>
          <w:sz w:val="28"/>
        </w:rPr>
        <w:t>发改投资</w:t>
      </w:r>
      <w:r>
        <w:rPr>
          <w:rFonts w:hint="eastAsia" w:ascii="Times New Roman" w:hAnsi="Times New Roman" w:eastAsia="宋体" w:cs="Times New Roman"/>
          <w:sz w:val="28"/>
          <w:lang w:eastAsia="zh-CN"/>
        </w:rPr>
        <w:t>〔</w:t>
      </w:r>
      <w:r>
        <w:rPr>
          <w:rFonts w:ascii="Times New Roman" w:hAnsi="Times New Roman" w:eastAsia="宋体" w:cs="Times New Roman"/>
          <w:sz w:val="28"/>
        </w:rPr>
        <w:t>2016</w:t>
      </w:r>
      <w:r>
        <w:rPr>
          <w:rFonts w:hint="eastAsia" w:ascii="Times New Roman" w:hAnsi="Times New Roman" w:eastAsia="宋体" w:cs="Times New Roman"/>
          <w:sz w:val="28"/>
          <w:lang w:eastAsia="zh-CN"/>
        </w:rPr>
        <w:t>〕</w:t>
      </w:r>
      <w:r>
        <w:rPr>
          <w:rFonts w:ascii="Times New Roman" w:hAnsi="Times New Roman" w:eastAsia="宋体" w:cs="Times New Roman"/>
          <w:sz w:val="28"/>
        </w:rPr>
        <w:t>1744号</w:t>
      </w:r>
      <w:r>
        <w:rPr>
          <w:rFonts w:hint="eastAsia" w:ascii="Times New Roman" w:hAnsi="Times New Roman" w:eastAsia="宋体" w:cs="Times New Roman"/>
          <w:sz w:val="28"/>
          <w:lang w:eastAsia="zh-CN"/>
        </w:rPr>
        <w:t>）；</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《中华人民共和国招标投标法》</w:t>
      </w:r>
      <w:r>
        <w:rPr>
          <w:rFonts w:hint="eastAsia" w:ascii="Times New Roman" w:hAnsi="Times New Roman" w:eastAsia="宋体" w:cs="Times New Roman"/>
          <w:sz w:val="28"/>
          <w:lang w:eastAsia="zh-CN"/>
        </w:rPr>
        <w:t>（</w:t>
      </w:r>
      <w:r>
        <w:rPr>
          <w:rFonts w:hint="eastAsia" w:ascii="Times New Roman" w:hAnsi="Times New Roman" w:eastAsia="宋体" w:cs="Times New Roman"/>
          <w:sz w:val="28"/>
          <w:lang w:val="en-US" w:eastAsia="zh-CN"/>
        </w:rPr>
        <w:t>2017年修正</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《中华人民共和国招标投标法实施条例》（中华人民共和国国务院令第709号）；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bookmarkStart w:id="15" w:name="_bookmark4"/>
      <w:bookmarkEnd w:id="15"/>
      <w:r>
        <w:rPr>
          <w:rFonts w:hint="default" w:ascii="Times New Roman" w:hAnsi="Times New Roman" w:eastAsia="宋体" w:cs="Times New Roman"/>
          <w:sz w:val="28"/>
        </w:rPr>
        <w:t>《国务院关于创新重点领域投融资机制鼓励社会投资的指导意见》（国发〔2014〕60号）；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《国务院关于加强固定资产投资项目资本金管理的通知》（国发〔2019〕26号）；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《国务院办公厅关于进一步盘活存量资产扩大有效投资的意见》（国办发〔2022〕19号）；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《关于规范金融企业对地方政府和国有企业投融资行为有关问题的通知》（财金〔2018〕23号）；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《国家发展改革委办公厅关于做好盘活存量资产扩大有效投资有关工作的通知》（发改办投资〔2022〕561号）；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《四川省人民政府办公厅转发国务院办公厅关于进一步做好盘活财政存量资金工作通知的通知》（川办发〔2015〕19号）；</w:t>
      </w:r>
    </w:p>
    <w:p>
      <w:pPr>
        <w:numPr>
          <w:ilvl w:val="0"/>
          <w:numId w:val="1"/>
        </w:numPr>
        <w:bidi w:val="0"/>
        <w:spacing w:line="360" w:lineRule="auto"/>
        <w:ind w:left="5"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《四川省贯彻落实〈国务院办公厅关于进一步盘活存量资产扩大有效投资的意见〉重点任务分工方案》的通知（川发改投资〔2022〕433号）；</w:t>
      </w:r>
    </w:p>
    <w:p>
      <w:pPr>
        <w:numPr>
          <w:ilvl w:val="0"/>
          <w:numId w:val="1"/>
        </w:numPr>
        <w:bidi w:val="0"/>
        <w:spacing w:line="360" w:lineRule="auto"/>
        <w:ind w:left="5" w:firstLine="560" w:firstLineChars="200"/>
        <w:rPr>
          <w:rFonts w:hint="eastAsia" w:ascii="Times New Roman" w:hAnsi="Times New Roman" w:eastAsia="宋体" w:cs="Times New Roman"/>
          <w:sz w:val="28"/>
          <w:lang w:eastAsia="zh-CN"/>
        </w:rPr>
      </w:pPr>
      <w:r>
        <w:rPr>
          <w:rFonts w:hint="eastAsia" w:ascii="Times New Roman" w:hAnsi="Times New Roman" w:eastAsia="宋体" w:cs="Times New Roman"/>
          <w:sz w:val="28"/>
        </w:rPr>
        <w:t>《遂宁市安居区发展和改革局关于对区柔刚街道办事处管理的城区机动车临时占道停车收费标准的批复》（【2</w:t>
      </w:r>
      <w:r>
        <w:rPr>
          <w:rFonts w:ascii="Times New Roman" w:hAnsi="Times New Roman" w:eastAsia="宋体" w:cs="Times New Roman"/>
          <w:sz w:val="28"/>
        </w:rPr>
        <w:t>01</w:t>
      </w:r>
      <w:r>
        <w:rPr>
          <w:rFonts w:hint="eastAsia" w:ascii="Times New Roman" w:hAnsi="Times New Roman" w:eastAsia="宋体" w:cs="Times New Roman"/>
          <w:sz w:val="28"/>
          <w:lang w:val="en-US" w:eastAsia="zh-CN"/>
        </w:rPr>
        <w:t>8</w:t>
      </w:r>
      <w:r>
        <w:rPr>
          <w:rFonts w:hint="eastAsia" w:ascii="Times New Roman" w:hAnsi="Times New Roman" w:eastAsia="宋体" w:cs="Times New Roman"/>
          <w:sz w:val="28"/>
        </w:rPr>
        <w:t>】</w:t>
      </w:r>
      <w:r>
        <w:rPr>
          <w:rFonts w:hint="eastAsia" w:ascii="Times New Roman" w:hAnsi="Times New Roman" w:eastAsia="宋体" w:cs="Times New Roman"/>
          <w:sz w:val="28"/>
          <w:lang w:val="en-US" w:eastAsia="zh-CN"/>
        </w:rPr>
        <w:t>209</w:t>
      </w:r>
      <w:r>
        <w:rPr>
          <w:rFonts w:hint="eastAsia" w:ascii="Times New Roman" w:hAnsi="Times New Roman" w:eastAsia="宋体" w:cs="Times New Roman"/>
          <w:sz w:val="28"/>
        </w:rPr>
        <w:t>号）</w:t>
      </w:r>
      <w:r>
        <w:rPr>
          <w:rFonts w:hint="eastAsia" w:ascii="Times New Roman" w:hAnsi="Times New Roman" w:eastAsia="宋体" w:cs="Times New Roman"/>
          <w:sz w:val="28"/>
          <w:lang w:eastAsia="zh-CN"/>
        </w:rPr>
        <w:t>；</w:t>
      </w:r>
    </w:p>
    <w:p>
      <w:pPr>
        <w:numPr>
          <w:ilvl w:val="0"/>
          <w:numId w:val="1"/>
        </w:numPr>
        <w:bidi w:val="0"/>
        <w:spacing w:line="360" w:lineRule="auto"/>
        <w:ind w:left="5" w:firstLine="560" w:firstLineChars="200"/>
        <w:rPr>
          <w:rFonts w:hint="eastAsia" w:ascii="Times New Roman" w:hAnsi="Times New Roman" w:eastAsia="宋体" w:cs="Times New Roman"/>
          <w:sz w:val="28"/>
          <w:lang w:eastAsia="zh-CN"/>
        </w:rPr>
      </w:pPr>
      <w:r>
        <w:rPr>
          <w:rFonts w:hint="eastAsia" w:ascii="Times New Roman" w:hAnsi="Times New Roman" w:eastAsia="宋体" w:cs="Times New Roman"/>
          <w:sz w:val="28"/>
          <w:lang w:val="en-US" w:eastAsia="zh-CN"/>
        </w:rPr>
        <w:t>《</w:t>
      </w:r>
      <w:r>
        <w:rPr>
          <w:rFonts w:ascii="Times New Roman" w:hAnsi="Times New Roman" w:eastAsia="宋体" w:cs="Times New Roman"/>
          <w:sz w:val="28"/>
        </w:rPr>
        <w:t>遂宁市安居区发展和改革局关于对区凤凰街道办事处管理的城区机动车临时占道停车收费标准的批复</w:t>
      </w:r>
      <w:r>
        <w:rPr>
          <w:rFonts w:hint="eastAsia" w:ascii="Times New Roman" w:hAnsi="Times New Roman" w:eastAsia="宋体" w:cs="Times New Roman"/>
          <w:sz w:val="28"/>
          <w:lang w:val="en-US" w:eastAsia="zh-CN"/>
        </w:rPr>
        <w:t>》</w:t>
      </w:r>
      <w:r>
        <w:rPr>
          <w:rFonts w:hint="eastAsia" w:ascii="Times New Roman" w:hAnsi="Times New Roman" w:eastAsia="宋体" w:cs="Times New Roman"/>
          <w:sz w:val="28"/>
        </w:rPr>
        <w:t>（【2</w:t>
      </w:r>
      <w:r>
        <w:rPr>
          <w:rFonts w:ascii="Times New Roman" w:hAnsi="Times New Roman" w:eastAsia="宋体" w:cs="Times New Roman"/>
          <w:sz w:val="28"/>
        </w:rPr>
        <w:t>01</w:t>
      </w:r>
      <w:r>
        <w:rPr>
          <w:rFonts w:hint="eastAsia" w:ascii="Times New Roman" w:hAnsi="Times New Roman" w:eastAsia="宋体" w:cs="Times New Roman"/>
          <w:sz w:val="28"/>
          <w:lang w:val="en-US" w:eastAsia="zh-CN"/>
        </w:rPr>
        <w:t>8</w:t>
      </w:r>
      <w:r>
        <w:rPr>
          <w:rFonts w:hint="eastAsia" w:ascii="Times New Roman" w:hAnsi="Times New Roman" w:eastAsia="宋体" w:cs="Times New Roman"/>
          <w:sz w:val="28"/>
        </w:rPr>
        <w:t>】</w:t>
      </w:r>
      <w:r>
        <w:rPr>
          <w:rFonts w:hint="eastAsia" w:ascii="Times New Roman" w:hAnsi="Times New Roman" w:eastAsia="宋体" w:cs="Times New Roman"/>
          <w:sz w:val="28"/>
          <w:lang w:val="en-US" w:eastAsia="zh-CN"/>
        </w:rPr>
        <w:t>208</w:t>
      </w:r>
      <w:r>
        <w:rPr>
          <w:rFonts w:hint="eastAsia" w:ascii="Times New Roman" w:hAnsi="Times New Roman" w:eastAsia="宋体" w:cs="Times New Roman"/>
          <w:sz w:val="28"/>
        </w:rPr>
        <w:t>号）</w:t>
      </w:r>
      <w:r>
        <w:rPr>
          <w:rFonts w:hint="eastAsia" w:ascii="Times New Roman" w:hAnsi="Times New Roman" w:eastAsia="宋体" w:cs="Times New Roman"/>
          <w:sz w:val="28"/>
          <w:lang w:eastAsia="zh-CN"/>
        </w:rPr>
        <w:t>；</w:t>
      </w:r>
    </w:p>
    <w:p>
      <w:pPr>
        <w:numPr>
          <w:ilvl w:val="0"/>
          <w:numId w:val="1"/>
        </w:numPr>
        <w:bidi w:val="0"/>
        <w:spacing w:line="360" w:lineRule="auto"/>
        <w:ind w:left="5" w:firstLine="560" w:firstLineChars="200"/>
        <w:rPr>
          <w:rFonts w:hint="default" w:ascii="Times New Roman" w:hAnsi="Times New Roman" w:eastAsia="宋体" w:cs="Times New Roman"/>
          <w:sz w:val="28"/>
        </w:rPr>
      </w:pPr>
      <w:r>
        <w:rPr>
          <w:rFonts w:hint="eastAsia" w:ascii="Times New Roman" w:hAnsi="Times New Roman" w:eastAsia="宋体" w:cs="Times New Roman"/>
          <w:sz w:val="28"/>
          <w:lang w:val="en-US" w:eastAsia="zh-CN"/>
        </w:rPr>
        <w:t>《遂宁市发展和改革委员会关于电动汽车用电价格及充电服务费收费标准的通知》（遂发改〔2017〕43号）；</w:t>
      </w:r>
    </w:p>
    <w:p>
      <w:pPr>
        <w:numPr>
          <w:ilvl w:val="0"/>
          <w:numId w:val="1"/>
        </w:numPr>
        <w:bidi w:val="0"/>
        <w:spacing w:line="360" w:lineRule="auto"/>
        <w:ind w:left="5" w:leftChars="0"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其他相关法律法规等。</w:t>
      </w:r>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16" w:name="_Toc8562"/>
      <w:r>
        <w:rPr>
          <w:rFonts w:hint="eastAsia" w:ascii="Arial" w:hAnsi="Arial" w:eastAsia="黑体" w:cs="Times New Roman"/>
          <w:b/>
          <w:bCs/>
          <w:kern w:val="2"/>
          <w:sz w:val="32"/>
          <w:szCs w:val="32"/>
          <w:lang w:val="en-US" w:eastAsia="zh-CN" w:bidi="ar-SA"/>
        </w:rPr>
        <w:t>1.3 项目背景</w:t>
      </w:r>
      <w:bookmarkEnd w:id="14"/>
      <w:bookmarkEnd w:id="16"/>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lang w:val="en-US" w:eastAsia="zh-CN"/>
        </w:rPr>
        <w:t>各级政府</w:t>
      </w:r>
      <w:r>
        <w:rPr>
          <w:rFonts w:hint="eastAsia" w:ascii="Times New Roman" w:hAnsi="Times New Roman" w:eastAsia="宋体" w:cs="Times New Roman"/>
          <w:sz w:val="28"/>
          <w:lang w:val="en-US" w:eastAsia="zh-CN"/>
        </w:rPr>
        <w:t>有进一步</w:t>
      </w:r>
      <w:r>
        <w:rPr>
          <w:rFonts w:hint="default" w:ascii="Times New Roman" w:hAnsi="Times New Roman" w:eastAsia="宋体" w:cs="Times New Roman"/>
          <w:sz w:val="28"/>
          <w:lang w:val="en-US" w:eastAsia="zh-CN"/>
        </w:rPr>
        <w:t>盘活存量资产、扩大有效投资</w:t>
      </w:r>
      <w:r>
        <w:rPr>
          <w:rFonts w:hint="eastAsia" w:ascii="Times New Roman" w:hAnsi="Times New Roman" w:eastAsia="宋体" w:cs="Times New Roman"/>
          <w:sz w:val="28"/>
          <w:lang w:val="en-US" w:eastAsia="zh-CN"/>
        </w:rPr>
        <w:t>需求。</w:t>
      </w:r>
      <w:r>
        <w:rPr>
          <w:rFonts w:hint="default" w:ascii="Times New Roman" w:hAnsi="Times New Roman" w:eastAsia="宋体" w:cs="Times New Roman"/>
          <w:sz w:val="28"/>
        </w:rPr>
        <w:t>《国务院办公厅关于进一步盘活存量资产、扩大有效投资的意见》</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国办发〔2022〕19号</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指出：要聚焦存量资产重点领域，盘活存量规模较大、当前收益较好或增长潜力较大的基础设施项目资产。鼓励地方企业依托资本投资、运营公司，按规定通过进场交易、协议出让、无偿划转、资产置换、联合整合等方式，盘活长期闲置的存量资产，整合非主业资产。通过发行债券等方式，为符合条件的资本投资、运营公司盘活存量资产提供中长期资金支持。</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lang w:val="en-US" w:eastAsia="zh-CN"/>
        </w:rPr>
        <w:t>各级政府</w:t>
      </w:r>
      <w:r>
        <w:rPr>
          <w:rFonts w:hint="eastAsia" w:ascii="Times New Roman" w:hAnsi="Times New Roman" w:eastAsia="宋体" w:cs="Times New Roman"/>
          <w:sz w:val="28"/>
          <w:lang w:val="en-US" w:eastAsia="zh-CN"/>
        </w:rPr>
        <w:t>有</w:t>
      </w:r>
      <w:r>
        <w:rPr>
          <w:rFonts w:hint="default" w:ascii="Times New Roman" w:hAnsi="Times New Roman" w:eastAsia="宋体" w:cs="Times New Roman"/>
          <w:sz w:val="28"/>
          <w:lang w:val="en-US" w:eastAsia="zh-CN"/>
        </w:rPr>
        <w:t>拓展丰富智慧城市应用场景</w:t>
      </w:r>
      <w:r>
        <w:rPr>
          <w:rFonts w:hint="eastAsia" w:ascii="Times New Roman" w:hAnsi="Times New Roman" w:eastAsia="宋体" w:cs="Times New Roman"/>
          <w:sz w:val="28"/>
          <w:lang w:val="en-US" w:eastAsia="zh-CN"/>
        </w:rPr>
        <w:t>需求。</w:t>
      </w:r>
      <w:r>
        <w:rPr>
          <w:rFonts w:hint="default" w:ascii="Times New Roman" w:hAnsi="Times New Roman" w:eastAsia="宋体" w:cs="Times New Roman"/>
          <w:sz w:val="28"/>
        </w:rPr>
        <w:t>《中华人民共和国国民经济和社会发展第十四个五年规划和2035年远景目标纲要》明确提出：加快数字社会建设步伐，适应数字技术全面融入社会交往和日常生活新趋势，以数字化助推城乡发展和治理模式创新，分级分类推进新型智慧城市建设，推进市政公用设施、建筑等物联网应用和智能化改造，推进智慧社区建设。</w:t>
      </w:r>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rPr>
        <w:t>推进市政公用设施智能化升级，改造公共交通、水电等重点领域管理系统，推动信息网络等新型基础设施建设，加快打造智慧城市，提升城市管理和社会治理的数字化、</w:t>
      </w:r>
      <w:r>
        <w:rPr>
          <w:rFonts w:hint="default" w:ascii="Times New Roman" w:hAnsi="Times New Roman" w:eastAsia="宋体" w:cs="Times New Roman"/>
          <w:sz w:val="28"/>
          <w:lang w:val="en-US" w:eastAsia="zh-CN"/>
        </w:rPr>
        <w:t>智能化、精准化水平。</w:t>
      </w:r>
    </w:p>
    <w:p>
      <w:pPr>
        <w:bidi w:val="0"/>
        <w:spacing w:line="360" w:lineRule="auto"/>
        <w:ind w:firstLine="560" w:firstLineChars="200"/>
        <w:rPr>
          <w:rFonts w:hint="eastAsia" w:ascii="Times New Roman" w:hAnsi="Times New Roman" w:eastAsia="宋体" w:cs="Times New Roman"/>
          <w:sz w:val="28"/>
          <w:lang w:val="en-US" w:eastAsia="zh-CN"/>
        </w:rPr>
      </w:pPr>
      <w:r>
        <w:rPr>
          <w:rFonts w:hint="eastAsia" w:ascii="Times New Roman" w:hAnsi="Times New Roman" w:eastAsia="宋体" w:cs="Times New Roman"/>
          <w:sz w:val="28"/>
          <w:lang w:val="en-US" w:eastAsia="zh-CN"/>
        </w:rPr>
        <w:t>近年来，随着遂宁市安居区经济的发展和人民收入水平的提高，遂宁市安居区机动车销量增长迅猛，保有量逐年攀升。随着机动车数量快速增长，城区“停车难”“停车乱”的问题日益突出，主要表现为：中心城区泊位少，不能满足停车需求；路内停车位设置随意性大，占用城市道路资源。</w:t>
      </w:r>
    </w:p>
    <w:p>
      <w:pPr>
        <w:bidi w:val="0"/>
        <w:spacing w:line="360" w:lineRule="auto"/>
        <w:ind w:firstLine="560" w:firstLineChars="200"/>
        <w:rPr>
          <w:rFonts w:hint="eastAsia" w:ascii="Times New Roman" w:hAnsi="Times New Roman" w:eastAsia="宋体" w:cs="Times New Roman"/>
          <w:sz w:val="28"/>
          <w:lang w:val="en-US" w:eastAsia="zh-CN"/>
        </w:rPr>
      </w:pPr>
      <w:r>
        <w:rPr>
          <w:rFonts w:hint="eastAsia" w:ascii="Times New Roman" w:hAnsi="Times New Roman" w:eastAsia="宋体" w:cs="Times New Roman"/>
          <w:sz w:val="28"/>
          <w:lang w:val="en-US" w:eastAsia="zh-CN"/>
        </w:rPr>
        <w:t>智慧停车是基于互联网技术、移动支付技术等一系列新技术的应用，将城市停车资源拉通，实现停车位资源状态的实时更新、查询、预订、支付、管理一体化，为驾驶者提供安全、便捷、高效的停车服务。有利于实现停车位资源利用率的最大化、停车场利润的最大化和车主停车服务的最优化，能够有效缓解停车难、停车乱这一社会难题。</w:t>
      </w:r>
    </w:p>
    <w:p>
      <w:pPr>
        <w:bidi w:val="0"/>
        <w:spacing w:line="360" w:lineRule="auto"/>
        <w:ind w:firstLine="560" w:firstLineChars="200"/>
        <w:rPr>
          <w:rFonts w:hint="eastAsia" w:ascii="Times New Roman" w:hAnsi="Times New Roman" w:eastAsia="宋体" w:cs="Times New Roman"/>
          <w:sz w:val="28"/>
          <w:lang w:val="en-US" w:eastAsia="zh-CN"/>
        </w:rPr>
      </w:pPr>
      <w:r>
        <w:rPr>
          <w:rFonts w:hint="eastAsia" w:ascii="Times New Roman" w:hAnsi="Times New Roman" w:eastAsia="宋体" w:cs="Times New Roman"/>
          <w:sz w:val="28"/>
          <w:lang w:val="en-US" w:eastAsia="zh-CN"/>
        </w:rPr>
        <w:t>为推动治理交通拥堵、出行难、停车难等“城市病”，整合全区城区临时占道停车泊位资源，缓解停车供需矛盾，提升市民停车及出行环境，因此提出本项目的建设。</w:t>
      </w:r>
    </w:p>
    <w:p>
      <w:pPr>
        <w:spacing w:line="360" w:lineRule="auto"/>
        <w:ind w:firstLine="560" w:firstLineChars="200"/>
        <w:rPr>
          <w:rFonts w:hint="default" w:ascii="Times New Roman" w:hAnsi="Times New Roman" w:eastAsia="宋体" w:cs="Times New Roman"/>
          <w:sz w:val="28"/>
        </w:rPr>
      </w:pPr>
      <w:bookmarkStart w:id="17" w:name="_Toc21130"/>
      <w:r>
        <w:rPr>
          <w:rFonts w:hint="default" w:ascii="Times New Roman" w:hAnsi="Times New Roman" w:eastAsia="宋体" w:cs="Times New Roman"/>
          <w:sz w:val="28"/>
        </w:rPr>
        <w:br w:type="page"/>
      </w:r>
    </w:p>
    <w:p>
      <w:pPr>
        <w:keepNext/>
        <w:keepLines/>
        <w:widowControl w:val="0"/>
        <w:bidi w:val="0"/>
        <w:spacing w:before="300" w:after="300" w:line="300" w:lineRule="auto"/>
        <w:ind w:firstLine="0" w:firstLineChars="0"/>
        <w:jc w:val="center"/>
        <w:outlineLvl w:val="0"/>
        <w:rPr>
          <w:rFonts w:hint="default" w:ascii="Times New Roman" w:hAnsi="Times New Roman" w:eastAsia="黑体" w:cs="Times New Roman"/>
          <w:b/>
          <w:bCs/>
          <w:kern w:val="44"/>
          <w:sz w:val="44"/>
          <w:szCs w:val="44"/>
          <w:lang w:val="en-US" w:eastAsia="zh-CN" w:bidi="ar-SA"/>
        </w:rPr>
      </w:pPr>
      <w:bookmarkStart w:id="18" w:name="_Toc13207"/>
      <w:r>
        <w:rPr>
          <w:rFonts w:hint="default" w:ascii="Times New Roman" w:hAnsi="Times New Roman" w:eastAsia="黑体" w:cs="Times New Roman"/>
          <w:b/>
          <w:bCs/>
          <w:kern w:val="44"/>
          <w:sz w:val="44"/>
          <w:szCs w:val="44"/>
          <w:lang w:val="en-US" w:eastAsia="zh-CN" w:bidi="ar-SA"/>
        </w:rPr>
        <w:t>第</w:t>
      </w:r>
      <w:r>
        <w:rPr>
          <w:rFonts w:hint="eastAsia" w:ascii="Times New Roman" w:hAnsi="Times New Roman" w:eastAsia="黑体" w:cs="Times New Roman"/>
          <w:b/>
          <w:bCs/>
          <w:kern w:val="44"/>
          <w:sz w:val="44"/>
          <w:szCs w:val="44"/>
          <w:lang w:val="en-US" w:eastAsia="zh-CN" w:bidi="ar-SA"/>
        </w:rPr>
        <w:t>二</w:t>
      </w:r>
      <w:r>
        <w:rPr>
          <w:rFonts w:hint="default" w:ascii="Times New Roman" w:hAnsi="Times New Roman" w:eastAsia="黑体" w:cs="Times New Roman"/>
          <w:b/>
          <w:bCs/>
          <w:kern w:val="44"/>
          <w:sz w:val="44"/>
          <w:szCs w:val="44"/>
          <w:lang w:val="en-US" w:eastAsia="zh-CN" w:bidi="ar-SA"/>
        </w:rPr>
        <w:t>章</w:t>
      </w:r>
      <w:r>
        <w:rPr>
          <w:rFonts w:hint="eastAsia" w:ascii="Times New Roman" w:hAnsi="Times New Roman" w:eastAsia="黑体" w:cs="Times New Roman"/>
          <w:b/>
          <w:bCs/>
          <w:kern w:val="44"/>
          <w:sz w:val="44"/>
          <w:szCs w:val="44"/>
          <w:lang w:val="en-US" w:eastAsia="zh-CN" w:bidi="ar-SA"/>
        </w:rPr>
        <w:t xml:space="preserve"> </w:t>
      </w:r>
      <w:r>
        <w:rPr>
          <w:rFonts w:hint="default" w:ascii="Times New Roman" w:hAnsi="Times New Roman" w:eastAsia="黑体" w:cs="Times New Roman"/>
          <w:b/>
          <w:bCs/>
          <w:kern w:val="44"/>
          <w:sz w:val="44"/>
          <w:szCs w:val="44"/>
          <w:lang w:val="en-US" w:eastAsia="zh-CN" w:bidi="ar-SA"/>
        </w:rPr>
        <w:t>项目概况</w:t>
      </w:r>
      <w:bookmarkEnd w:id="17"/>
      <w:bookmarkEnd w:id="18"/>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19" w:name="_bookmark26"/>
      <w:bookmarkEnd w:id="19"/>
      <w:bookmarkStart w:id="20" w:name="_bookmark28"/>
      <w:bookmarkEnd w:id="20"/>
      <w:bookmarkStart w:id="21" w:name="_bookmark27"/>
      <w:bookmarkEnd w:id="21"/>
      <w:bookmarkStart w:id="22" w:name="_Toc28364"/>
      <w:bookmarkStart w:id="23" w:name="_Toc1679"/>
      <w:bookmarkStart w:id="24" w:name="_Toc5801"/>
      <w:bookmarkStart w:id="25" w:name="_Toc23087"/>
      <w:bookmarkStart w:id="26" w:name="_Toc15273"/>
      <w:bookmarkStart w:id="27" w:name="_Toc3786"/>
      <w:bookmarkStart w:id="28" w:name="_Toc6374"/>
      <w:r>
        <w:rPr>
          <w:rFonts w:hint="eastAsia" w:ascii="Arial" w:hAnsi="Arial" w:eastAsia="黑体" w:cs="Times New Roman"/>
          <w:b/>
          <w:bCs/>
          <w:kern w:val="2"/>
          <w:sz w:val="32"/>
          <w:szCs w:val="32"/>
          <w:lang w:val="en-US" w:eastAsia="zh-CN" w:bidi="ar-SA"/>
        </w:rPr>
        <w:t>2</w:t>
      </w:r>
      <w:r>
        <w:rPr>
          <w:rFonts w:hint="default" w:ascii="Arial" w:hAnsi="Arial" w:eastAsia="黑体" w:cs="Times New Roman"/>
          <w:b/>
          <w:bCs/>
          <w:kern w:val="2"/>
          <w:sz w:val="32"/>
          <w:szCs w:val="32"/>
          <w:lang w:val="en-US" w:eastAsia="zh-CN" w:bidi="ar-SA"/>
        </w:rPr>
        <w:t>.1</w:t>
      </w:r>
      <w:r>
        <w:rPr>
          <w:rFonts w:hint="eastAsia" w:ascii="Arial" w:hAnsi="Arial" w:eastAsia="黑体" w:cs="Times New Roman"/>
          <w:b/>
          <w:bCs/>
          <w:kern w:val="2"/>
          <w:sz w:val="32"/>
          <w:szCs w:val="32"/>
          <w:lang w:val="en-US" w:eastAsia="zh-CN" w:bidi="ar-SA"/>
        </w:rPr>
        <w:t xml:space="preserve"> </w:t>
      </w:r>
      <w:r>
        <w:rPr>
          <w:rFonts w:hint="default" w:ascii="Arial" w:hAnsi="Arial" w:eastAsia="黑体" w:cs="Times New Roman"/>
          <w:b/>
          <w:bCs/>
          <w:kern w:val="2"/>
          <w:sz w:val="32"/>
          <w:szCs w:val="32"/>
          <w:lang w:val="en-US" w:eastAsia="zh-CN" w:bidi="ar-SA"/>
        </w:rPr>
        <w:t>项目名称</w:t>
      </w:r>
      <w:bookmarkEnd w:id="22"/>
      <w:bookmarkEnd w:id="23"/>
      <w:bookmarkEnd w:id="24"/>
      <w:bookmarkEnd w:id="25"/>
    </w:p>
    <w:p>
      <w:pPr>
        <w:bidi w:val="0"/>
        <w:spacing w:line="360" w:lineRule="auto"/>
        <w:ind w:firstLine="560" w:firstLineChars="200"/>
        <w:rPr>
          <w:rFonts w:hint="default" w:ascii="Times New Roman" w:hAnsi="Times New Roman" w:eastAsia="宋体" w:cs="Times New Roman"/>
          <w:sz w:val="28"/>
        </w:rPr>
      </w:pPr>
      <w:r>
        <w:rPr>
          <w:rFonts w:hint="eastAsia" w:ascii="Times New Roman" w:hAnsi="Times New Roman" w:eastAsia="宋体" w:cs="Times New Roman"/>
          <w:sz w:val="28"/>
          <w:lang w:eastAsia="zh-CN"/>
        </w:rPr>
        <w:t>遂宁市安居区城区智慧停车位项目。</w:t>
      </w:r>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29" w:name="_Toc18738"/>
      <w:r>
        <w:rPr>
          <w:rFonts w:hint="eastAsia" w:ascii="Arial" w:hAnsi="Arial" w:eastAsia="黑体" w:cs="Times New Roman"/>
          <w:b/>
          <w:bCs/>
          <w:kern w:val="2"/>
          <w:sz w:val="32"/>
          <w:szCs w:val="32"/>
          <w:lang w:val="en-US" w:eastAsia="zh-CN" w:bidi="ar-SA"/>
        </w:rPr>
        <w:t>2</w:t>
      </w:r>
      <w:r>
        <w:rPr>
          <w:rFonts w:hint="default" w:ascii="Arial" w:hAnsi="Arial" w:eastAsia="黑体" w:cs="Times New Roman"/>
          <w:b/>
          <w:bCs/>
          <w:kern w:val="2"/>
          <w:sz w:val="32"/>
          <w:szCs w:val="32"/>
          <w:lang w:val="en-US" w:eastAsia="zh-CN" w:bidi="ar-SA"/>
        </w:rPr>
        <w:t>.</w:t>
      </w:r>
      <w:r>
        <w:rPr>
          <w:rFonts w:hint="eastAsia" w:ascii="Arial" w:hAnsi="Arial" w:eastAsia="黑体" w:cs="Times New Roman"/>
          <w:b/>
          <w:bCs/>
          <w:kern w:val="2"/>
          <w:sz w:val="32"/>
          <w:szCs w:val="32"/>
          <w:lang w:val="en-US" w:eastAsia="zh-CN" w:bidi="ar-SA"/>
        </w:rPr>
        <w:t xml:space="preserve">2 </w:t>
      </w:r>
      <w:r>
        <w:rPr>
          <w:rFonts w:hint="default" w:ascii="Arial" w:hAnsi="Arial" w:eastAsia="黑体" w:cs="Times New Roman"/>
          <w:b/>
          <w:bCs/>
          <w:kern w:val="2"/>
          <w:sz w:val="32"/>
          <w:szCs w:val="32"/>
          <w:lang w:val="en-US" w:eastAsia="zh-CN" w:bidi="ar-SA"/>
        </w:rPr>
        <w:t>项目实施机构</w:t>
      </w:r>
      <w:bookmarkEnd w:id="26"/>
      <w:bookmarkEnd w:id="27"/>
      <w:bookmarkEnd w:id="28"/>
      <w:bookmarkEnd w:id="29"/>
    </w:p>
    <w:p>
      <w:pPr>
        <w:bidi w:val="0"/>
        <w:spacing w:line="360" w:lineRule="auto"/>
        <w:ind w:firstLine="560" w:firstLineChars="200"/>
        <w:rPr>
          <w:rFonts w:hint="default" w:ascii="Times New Roman" w:hAnsi="Times New Roman" w:eastAsia="宋体" w:cs="Times New Roman"/>
          <w:sz w:val="28"/>
          <w:lang w:eastAsia="zh-CN"/>
        </w:rPr>
      </w:pPr>
      <w:bookmarkStart w:id="30" w:name="_bookmark29"/>
      <w:bookmarkEnd w:id="30"/>
      <w:bookmarkStart w:id="31" w:name="_Toc3343"/>
      <w:bookmarkStart w:id="32" w:name="_Toc13105"/>
      <w:bookmarkStart w:id="33" w:name="_Toc11726"/>
      <w:r>
        <w:rPr>
          <w:rFonts w:hint="eastAsia" w:ascii="Times New Roman" w:hAnsi="Times New Roman" w:eastAsia="宋体" w:cs="Times New Roman"/>
          <w:sz w:val="28"/>
          <w:lang w:eastAsia="zh-CN"/>
        </w:rPr>
        <w:t>遂宁市安居区综合行政执法局。</w:t>
      </w:r>
    </w:p>
    <w:p>
      <w:pPr>
        <w:widowControl w:val="0"/>
        <w:bidi w:val="0"/>
        <w:spacing w:before="200" w:after="200" w:line="300" w:lineRule="auto"/>
        <w:ind w:firstLine="0" w:firstLineChars="0"/>
        <w:jc w:val="both"/>
        <w:outlineLvl w:val="1"/>
        <w:rPr>
          <w:rFonts w:hint="eastAsia" w:ascii="Arial" w:hAnsi="Arial" w:eastAsia="黑体" w:cs="Times New Roman"/>
          <w:b/>
          <w:bCs/>
          <w:kern w:val="2"/>
          <w:sz w:val="32"/>
          <w:szCs w:val="32"/>
          <w:lang w:val="en-US" w:eastAsia="zh-CN" w:bidi="ar-SA"/>
        </w:rPr>
      </w:pPr>
      <w:bookmarkStart w:id="34" w:name="_Toc13088"/>
      <w:r>
        <w:rPr>
          <w:rFonts w:hint="eastAsia" w:ascii="Arial" w:hAnsi="Arial" w:eastAsia="黑体" w:cs="Times New Roman"/>
          <w:b/>
          <w:bCs/>
          <w:kern w:val="2"/>
          <w:sz w:val="32"/>
          <w:szCs w:val="32"/>
          <w:lang w:val="en-US" w:eastAsia="zh-CN" w:bidi="ar-SA"/>
        </w:rPr>
        <w:t>2</w:t>
      </w:r>
      <w:r>
        <w:rPr>
          <w:rFonts w:hint="default" w:ascii="Arial" w:hAnsi="Arial" w:eastAsia="黑体" w:cs="Times New Roman"/>
          <w:b/>
          <w:bCs/>
          <w:kern w:val="2"/>
          <w:sz w:val="32"/>
          <w:szCs w:val="32"/>
          <w:lang w:val="en-US" w:eastAsia="zh-CN" w:bidi="ar-SA"/>
        </w:rPr>
        <w:t>.</w:t>
      </w:r>
      <w:r>
        <w:rPr>
          <w:rFonts w:hint="eastAsia" w:ascii="Arial" w:hAnsi="Arial" w:eastAsia="黑体" w:cs="Times New Roman"/>
          <w:b/>
          <w:bCs/>
          <w:kern w:val="2"/>
          <w:sz w:val="32"/>
          <w:szCs w:val="32"/>
          <w:lang w:val="en-US" w:eastAsia="zh-CN" w:bidi="ar-SA"/>
        </w:rPr>
        <w:t xml:space="preserve">3 </w:t>
      </w:r>
      <w:r>
        <w:rPr>
          <w:rFonts w:hint="default" w:ascii="Arial" w:hAnsi="Arial" w:eastAsia="黑体" w:cs="Times New Roman"/>
          <w:b/>
          <w:bCs/>
          <w:kern w:val="2"/>
          <w:sz w:val="32"/>
          <w:szCs w:val="32"/>
          <w:lang w:val="en-US" w:eastAsia="zh-CN" w:bidi="ar-SA"/>
        </w:rPr>
        <w:t>项目</w:t>
      </w:r>
      <w:bookmarkEnd w:id="31"/>
      <w:bookmarkEnd w:id="32"/>
      <w:r>
        <w:rPr>
          <w:rFonts w:hint="eastAsia" w:ascii="Arial" w:hAnsi="Arial" w:eastAsia="黑体" w:cs="Times New Roman"/>
          <w:b/>
          <w:bCs/>
          <w:kern w:val="2"/>
          <w:sz w:val="32"/>
          <w:szCs w:val="32"/>
          <w:lang w:val="en-US" w:eastAsia="zh-CN" w:bidi="ar-SA"/>
        </w:rPr>
        <w:t>涉及对象</w:t>
      </w:r>
      <w:bookmarkEnd w:id="33"/>
      <w:bookmarkEnd w:id="34"/>
    </w:p>
    <w:p>
      <w:pPr>
        <w:bidi w:val="0"/>
        <w:spacing w:line="360" w:lineRule="auto"/>
        <w:ind w:firstLine="560" w:firstLineChars="200"/>
        <w:rPr>
          <w:rFonts w:hint="eastAsia" w:ascii="Times New Roman" w:hAnsi="Times New Roman" w:eastAsia="宋体" w:cs="Times New Roman"/>
          <w:sz w:val="28"/>
          <w:lang w:val="en-US" w:eastAsia="zh-CN"/>
        </w:rPr>
      </w:pPr>
      <w:r>
        <w:rPr>
          <w:rFonts w:hint="eastAsia" w:ascii="Times New Roman" w:hAnsi="Times New Roman" w:eastAsia="宋体" w:cs="Times New Roman"/>
          <w:sz w:val="28"/>
          <w:lang w:eastAsia="zh-CN"/>
        </w:rPr>
        <w:t>遂宁安居区</w:t>
      </w:r>
      <w:r>
        <w:rPr>
          <w:rFonts w:hint="eastAsia" w:ascii="Times New Roman" w:hAnsi="Times New Roman" w:eastAsia="宋体" w:cs="Times New Roman"/>
          <w:sz w:val="28"/>
          <w:lang w:val="en-US" w:eastAsia="zh-CN"/>
        </w:rPr>
        <w:t>各目标街道两侧</w:t>
      </w:r>
      <w:r>
        <w:rPr>
          <w:rFonts w:hint="eastAsia" w:ascii="Times New Roman" w:hAnsi="Times New Roman" w:eastAsia="宋体" w:cs="Times New Roman"/>
          <w:sz w:val="28"/>
        </w:rPr>
        <w:t>标准停车位和街道边临时停车位</w:t>
      </w:r>
      <w:r>
        <w:rPr>
          <w:rFonts w:hint="eastAsia" w:ascii="Times New Roman" w:hAnsi="Times New Roman" w:eastAsia="宋体" w:cs="Times New Roman"/>
          <w:sz w:val="28"/>
          <w:lang w:val="en-US" w:eastAsia="zh-CN"/>
        </w:rPr>
        <w:t>总共</w:t>
      </w:r>
      <w:r>
        <w:rPr>
          <w:rFonts w:hint="eastAsia" w:ascii="Times New Roman" w:hAnsi="Times New Roman" w:eastAsia="宋体" w:cs="Times New Roman"/>
          <w:sz w:val="28"/>
        </w:rPr>
        <w:t>11018</w:t>
      </w:r>
      <w:r>
        <w:rPr>
          <w:rFonts w:hint="eastAsia" w:ascii="Times New Roman" w:hAnsi="Times New Roman" w:eastAsia="宋体" w:cs="Times New Roman"/>
          <w:sz w:val="28"/>
          <w:lang w:val="en-US" w:eastAsia="zh-CN"/>
        </w:rPr>
        <w:t>个</w:t>
      </w:r>
      <w:r>
        <w:rPr>
          <w:rFonts w:hint="eastAsia" w:ascii="Times New Roman" w:hAnsi="Times New Roman" w:eastAsia="宋体" w:cs="Times New Roman"/>
          <w:sz w:val="28"/>
          <w:lang w:eastAsia="zh-CN"/>
        </w:rPr>
        <w:t>，</w:t>
      </w:r>
      <w:r>
        <w:rPr>
          <w:rFonts w:hint="eastAsia" w:ascii="Times New Roman" w:hAnsi="Times New Roman" w:eastAsia="宋体" w:cs="Times New Roman"/>
          <w:sz w:val="28"/>
          <w:lang w:val="en-US" w:eastAsia="zh-CN"/>
        </w:rPr>
        <w:t>详见下表：</w:t>
      </w:r>
    </w:p>
    <w:p>
      <w:pPr>
        <w:widowControl/>
        <w:spacing w:line="560" w:lineRule="exact"/>
        <w:ind w:left="0" w:leftChars="0" w:firstLine="0" w:firstLineChars="0"/>
        <w:jc w:val="center"/>
        <w:rPr>
          <w:rFonts w:hint="default" w:ascii="宋体" w:hAnsi="宋体" w:eastAsia="宋体" w:cs="宋体"/>
          <w:b/>
          <w:bCs/>
          <w:kern w:val="0"/>
          <w:sz w:val="24"/>
          <w:szCs w:val="21"/>
          <w:lang w:val="en-US" w:eastAsia="zh-CN" w:bidi="ar-SA"/>
        </w:rPr>
      </w:pPr>
      <w:r>
        <w:rPr>
          <w:rFonts w:hint="eastAsia" w:ascii="宋体" w:hAnsi="宋体" w:eastAsia="宋体" w:cs="宋体"/>
          <w:b/>
          <w:bCs/>
          <w:kern w:val="0"/>
          <w:sz w:val="24"/>
          <w:szCs w:val="21"/>
          <w:lang w:val="en-US" w:eastAsia="zh-CN" w:bidi="ar-SA"/>
        </w:rPr>
        <w:t>表2-1 项目停车位资产统计表</w:t>
      </w:r>
    </w:p>
    <w:tbl>
      <w:tblPr>
        <w:tblStyle w:val="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7"/>
        <w:gridCol w:w="1404"/>
        <w:gridCol w:w="2160"/>
        <w:gridCol w:w="979"/>
        <w:gridCol w:w="1262"/>
        <w:gridCol w:w="1410"/>
        <w:gridCol w:w="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bookmarkStart w:id="35" w:name="_Toc17900"/>
            <w:r>
              <w:rPr>
                <w:rFonts w:hint="eastAsia" w:ascii="宋体" w:hAnsi="宋体" w:eastAsia="宋体" w:cs="宋体"/>
                <w:b/>
                <w:bCs/>
                <w:i w:val="0"/>
                <w:iCs w:val="0"/>
                <w:color w:val="000000"/>
                <w:kern w:val="0"/>
                <w:sz w:val="24"/>
                <w:szCs w:val="24"/>
                <w:u w:val="none"/>
                <w:lang w:val="en-US" w:eastAsia="zh-CN" w:bidi="ar"/>
              </w:rPr>
              <w:t>序号</w:t>
            </w:r>
          </w:p>
        </w:tc>
        <w:tc>
          <w:tcPr>
            <w:tcW w:w="824"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所属街道</w:t>
            </w:r>
          </w:p>
        </w:tc>
        <w:tc>
          <w:tcPr>
            <w:tcW w:w="1267"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位置</w:t>
            </w:r>
          </w:p>
        </w:tc>
        <w:tc>
          <w:tcPr>
            <w:tcW w:w="574"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单双侧</w:t>
            </w:r>
          </w:p>
        </w:tc>
        <w:tc>
          <w:tcPr>
            <w:tcW w:w="740"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所在道路等级</w:t>
            </w:r>
          </w:p>
        </w:tc>
        <w:tc>
          <w:tcPr>
            <w:tcW w:w="824"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车行道或人行道</w:t>
            </w:r>
          </w:p>
        </w:tc>
        <w:tc>
          <w:tcPr>
            <w:tcW w:w="481"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车位个数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滨江南路北段</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琼江东路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琼江中路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琼江西路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兴贸东路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兴贸西路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三官塘街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百汇街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兴业路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正东街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幸福街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育才路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兴旺街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锦绣街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陶家湾道路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蓝溪街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国贸西路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国贸南路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国贸东路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安居大道中段</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安居大道中段南侧</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安居大道中段北侧</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泰和西街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泰和东街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康乐街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凤鸣路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凤凰大道北段</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518"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遂安大道中段</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遂安大道南段</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栖凤大道西段</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秀眉路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小祠街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黄林路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小祠路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嘉乐路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梧桐南路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明珠街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乌木厅街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翠云街</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顺安北路中路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4518"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滨江北路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聚安南路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聚安中路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兴安北路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凤鸣支路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凤凰大道南段</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安居第八幼儿园南侧道路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解元路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次干路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柔刚街道</w:t>
            </w:r>
          </w:p>
        </w:tc>
        <w:tc>
          <w:tcPr>
            <w:tcW w:w="1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滨江南路南段</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双侧</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支路</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车行道</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518"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2554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518"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安居主城区总计</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11018</w:t>
            </w:r>
          </w:p>
        </w:tc>
      </w:tr>
    </w:tbl>
    <w:p>
      <w:pPr>
        <w:widowControl w:val="0"/>
        <w:bidi w:val="0"/>
        <w:spacing w:before="200" w:after="200" w:line="300" w:lineRule="auto"/>
        <w:ind w:firstLine="0" w:firstLineChars="0"/>
        <w:jc w:val="both"/>
        <w:outlineLvl w:val="1"/>
        <w:rPr>
          <w:rFonts w:hint="eastAsia" w:ascii="Arial" w:hAnsi="Arial" w:eastAsia="黑体" w:cs="Times New Roman"/>
          <w:b/>
          <w:bCs/>
          <w:kern w:val="2"/>
          <w:sz w:val="32"/>
          <w:szCs w:val="32"/>
          <w:lang w:val="en-US" w:eastAsia="zh-CN" w:bidi="ar-SA"/>
        </w:rPr>
      </w:pPr>
      <w:bookmarkStart w:id="36" w:name="_Toc29287"/>
      <w:r>
        <w:rPr>
          <w:rFonts w:hint="eastAsia" w:ascii="Arial" w:hAnsi="Arial" w:eastAsia="黑体" w:cs="Times New Roman"/>
          <w:b/>
          <w:bCs/>
          <w:kern w:val="2"/>
          <w:sz w:val="32"/>
          <w:szCs w:val="32"/>
          <w:lang w:val="en-US" w:eastAsia="zh-CN" w:bidi="ar-SA"/>
        </w:rPr>
        <w:t>2.4 项目评估价值</w:t>
      </w:r>
      <w:bookmarkEnd w:id="35"/>
      <w:bookmarkEnd w:id="36"/>
    </w:p>
    <w:p>
      <w:pPr>
        <w:bidi w:val="0"/>
        <w:spacing w:line="360" w:lineRule="auto"/>
        <w:ind w:firstLine="560" w:firstLineChars="200"/>
        <w:rPr>
          <w:rFonts w:hint="default" w:ascii="Times New Roman" w:hAnsi="Times New Roman" w:eastAsia="宋体" w:cs="Times New Roman"/>
          <w:sz w:val="28"/>
          <w:lang w:val="en-US" w:eastAsia="zh-CN"/>
        </w:rPr>
      </w:pPr>
      <w:r>
        <w:rPr>
          <w:rFonts w:hint="eastAsia" w:ascii="Times New Roman" w:hAnsi="Times New Roman" w:eastAsia="宋体" w:cs="Times New Roman"/>
          <w:sz w:val="28"/>
          <w:lang w:eastAsia="zh-CN"/>
        </w:rPr>
        <w:t>成都中地华诚房地产评估咨询有限责任公司</w:t>
      </w:r>
      <w:r>
        <w:rPr>
          <w:rFonts w:hint="eastAsia" w:ascii="Times New Roman" w:hAnsi="Times New Roman" w:eastAsia="宋体" w:cs="Times New Roman"/>
          <w:sz w:val="28"/>
          <w:lang w:val="en-US" w:eastAsia="zh-CN"/>
        </w:rPr>
        <w:t>对</w:t>
      </w:r>
      <w:r>
        <w:rPr>
          <w:rFonts w:hint="eastAsia" w:ascii="Times New Roman" w:hAnsi="Times New Roman" w:eastAsia="宋体" w:cs="Times New Roman"/>
          <w:sz w:val="28"/>
          <w:lang w:eastAsia="zh-CN"/>
        </w:rPr>
        <w:t>遂宁市安居区</w:t>
      </w:r>
      <w:r>
        <w:rPr>
          <w:rFonts w:hint="default" w:ascii="Times New Roman" w:hAnsi="Times New Roman" w:eastAsia="宋体" w:cs="Times New Roman"/>
          <w:sz w:val="28"/>
        </w:rPr>
        <w:t>各目标街道两侧标准停车位和街道边临时停车位总共</w:t>
      </w:r>
      <w:r>
        <w:rPr>
          <w:rFonts w:hint="eastAsia" w:ascii="Times New Roman" w:hAnsi="Times New Roman" w:eastAsia="宋体" w:cs="Times New Roman"/>
          <w:sz w:val="28"/>
          <w:lang w:val="en-US" w:eastAsia="zh-CN"/>
        </w:rPr>
        <w:t>11018</w:t>
      </w:r>
      <w:r>
        <w:rPr>
          <w:rFonts w:hint="default" w:ascii="Times New Roman" w:hAnsi="Times New Roman" w:eastAsia="宋体" w:cs="Times New Roman"/>
          <w:sz w:val="28"/>
        </w:rPr>
        <w:t>个停车位</w:t>
      </w:r>
      <w:r>
        <w:rPr>
          <w:rFonts w:hint="default" w:ascii="Times New Roman" w:hAnsi="Times New Roman" w:eastAsia="宋体" w:cs="Times New Roman"/>
          <w:sz w:val="28"/>
          <w:lang w:val="en-US" w:eastAsia="zh-CN"/>
        </w:rPr>
        <w:t>30</w:t>
      </w:r>
      <w:r>
        <w:rPr>
          <w:rFonts w:hint="default" w:ascii="Times New Roman" w:hAnsi="Times New Roman" w:eastAsia="宋体" w:cs="Times New Roman"/>
          <w:sz w:val="28"/>
        </w:rPr>
        <w:t>年特许经营权</w:t>
      </w:r>
      <w:r>
        <w:rPr>
          <w:rFonts w:hint="eastAsia" w:ascii="Times New Roman" w:hAnsi="Times New Roman" w:eastAsia="宋体" w:cs="Times New Roman"/>
          <w:sz w:val="28"/>
          <w:lang w:val="en-US" w:eastAsia="zh-CN"/>
        </w:rPr>
        <w:t>进行了评估，根据出具的《遂宁市安居区城区智慧停车位项目资产预评估报告》，停车位经营权总价为21705.00万元。</w:t>
      </w:r>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37" w:name="_Toc17421"/>
      <w:bookmarkStart w:id="38" w:name="_Toc15366"/>
      <w:r>
        <w:rPr>
          <w:rFonts w:hint="eastAsia" w:ascii="Arial" w:hAnsi="Arial" w:eastAsia="黑体" w:cs="Times New Roman"/>
          <w:b/>
          <w:bCs/>
          <w:kern w:val="2"/>
          <w:sz w:val="32"/>
          <w:szCs w:val="32"/>
          <w:lang w:val="en-US" w:eastAsia="zh-CN" w:bidi="ar-SA"/>
        </w:rPr>
        <w:t>2</w:t>
      </w:r>
      <w:r>
        <w:rPr>
          <w:rFonts w:hint="default" w:ascii="Arial" w:hAnsi="Arial" w:eastAsia="黑体" w:cs="Times New Roman"/>
          <w:b/>
          <w:bCs/>
          <w:kern w:val="2"/>
          <w:sz w:val="32"/>
          <w:szCs w:val="32"/>
          <w:lang w:val="en-US" w:eastAsia="zh-CN" w:bidi="ar-SA"/>
        </w:rPr>
        <w:t>.</w:t>
      </w:r>
      <w:r>
        <w:rPr>
          <w:rFonts w:hint="eastAsia" w:ascii="Arial" w:hAnsi="Arial" w:eastAsia="黑体" w:cs="Times New Roman"/>
          <w:b/>
          <w:bCs/>
          <w:kern w:val="2"/>
          <w:sz w:val="32"/>
          <w:szCs w:val="32"/>
          <w:lang w:val="en-US" w:eastAsia="zh-CN" w:bidi="ar-SA"/>
        </w:rPr>
        <w:t xml:space="preserve">5 </w:t>
      </w:r>
      <w:r>
        <w:rPr>
          <w:rFonts w:hint="default" w:ascii="Arial" w:hAnsi="Arial" w:eastAsia="黑体" w:cs="Times New Roman"/>
          <w:b/>
          <w:bCs/>
          <w:kern w:val="2"/>
          <w:sz w:val="32"/>
          <w:szCs w:val="32"/>
          <w:lang w:val="en-US" w:eastAsia="zh-CN" w:bidi="ar-SA"/>
        </w:rPr>
        <w:t>项目合同期限</w:t>
      </w:r>
      <w:bookmarkEnd w:id="37"/>
      <w:bookmarkEnd w:id="38"/>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本项目的特许经营</w:t>
      </w:r>
      <w:r>
        <w:rPr>
          <w:rFonts w:hint="default" w:ascii="Times New Roman" w:hAnsi="Times New Roman" w:eastAsia="宋体" w:cs="Times New Roman"/>
          <w:sz w:val="28"/>
          <w:lang w:val="en-US" w:eastAsia="zh-CN"/>
        </w:rPr>
        <w:t>合同</w:t>
      </w:r>
      <w:r>
        <w:rPr>
          <w:rFonts w:hint="default" w:ascii="Times New Roman" w:hAnsi="Times New Roman" w:eastAsia="宋体" w:cs="Times New Roman"/>
          <w:sz w:val="28"/>
        </w:rPr>
        <w:t>期限拟定为</w:t>
      </w:r>
      <w:r>
        <w:rPr>
          <w:rFonts w:hint="default" w:ascii="Times New Roman" w:hAnsi="Times New Roman" w:eastAsia="宋体" w:cs="Times New Roman"/>
          <w:sz w:val="28"/>
          <w:lang w:val="en-US" w:eastAsia="zh-CN"/>
        </w:rPr>
        <w:t>30</w:t>
      </w:r>
      <w:r>
        <w:rPr>
          <w:rFonts w:hint="default" w:ascii="Times New Roman" w:hAnsi="Times New Roman" w:eastAsia="宋体" w:cs="Times New Roman"/>
          <w:sz w:val="28"/>
        </w:rPr>
        <w:t>年。</w:t>
      </w:r>
    </w:p>
    <w:p>
      <w:pPr>
        <w:widowControl w:val="0"/>
        <w:bidi w:val="0"/>
        <w:spacing w:before="200" w:after="200" w:line="300" w:lineRule="auto"/>
        <w:ind w:firstLine="0" w:firstLineChars="0"/>
        <w:jc w:val="both"/>
        <w:outlineLvl w:val="1"/>
        <w:rPr>
          <w:rFonts w:hint="eastAsia" w:ascii="Arial" w:hAnsi="Arial" w:eastAsia="黑体" w:cs="Times New Roman"/>
          <w:b/>
          <w:bCs/>
          <w:kern w:val="2"/>
          <w:sz w:val="32"/>
          <w:szCs w:val="32"/>
          <w:lang w:val="en-US" w:eastAsia="zh-CN" w:bidi="ar-SA"/>
        </w:rPr>
      </w:pPr>
      <w:bookmarkStart w:id="39" w:name="_Toc5516"/>
      <w:bookmarkStart w:id="40" w:name="_Toc19612"/>
      <w:r>
        <w:rPr>
          <w:rFonts w:hint="eastAsia" w:ascii="Arial" w:hAnsi="Arial" w:eastAsia="黑体" w:cs="Times New Roman"/>
          <w:b/>
          <w:bCs/>
          <w:kern w:val="2"/>
          <w:sz w:val="32"/>
          <w:szCs w:val="32"/>
          <w:lang w:val="en-US" w:eastAsia="zh-CN" w:bidi="ar-SA"/>
        </w:rPr>
        <w:t>2.6 项目经营要求</w:t>
      </w:r>
      <w:bookmarkEnd w:id="39"/>
      <w:bookmarkEnd w:id="40"/>
    </w:p>
    <w:p>
      <w:pPr>
        <w:bidi w:val="0"/>
        <w:spacing w:line="360" w:lineRule="auto"/>
        <w:ind w:firstLine="560" w:firstLineChars="200"/>
        <w:rPr>
          <w:rFonts w:hint="default" w:ascii="Times New Roman" w:hAnsi="Times New Roman" w:eastAsia="宋体" w:cs="Times New Roman"/>
          <w:sz w:val="28"/>
          <w:lang w:val="en-US" w:eastAsia="zh-CN"/>
        </w:rPr>
      </w:pPr>
      <w:r>
        <w:rPr>
          <w:rFonts w:hint="eastAsia" w:ascii="Times New Roman" w:hAnsi="Times New Roman" w:eastAsia="宋体" w:cs="Times New Roman"/>
          <w:sz w:val="28"/>
          <w:lang w:val="en-US" w:eastAsia="zh-CN"/>
        </w:rPr>
        <w:t>由特许经营权中标方在特许经营期内自筹资金，进行建设、运营、管理，自负盈亏并按照规定取得相关职能部门有关审批手续。</w:t>
      </w:r>
    </w:p>
    <w:p>
      <w:pPr>
        <w:spacing w:line="360" w:lineRule="auto"/>
        <w:ind w:firstLine="560" w:firstLineChars="200"/>
        <w:rPr>
          <w:rFonts w:hint="default" w:ascii="Times New Roman" w:hAnsi="Times New Roman" w:eastAsia="宋体" w:cs="Times New Roman"/>
          <w:sz w:val="28"/>
        </w:rPr>
      </w:pPr>
      <w:bookmarkStart w:id="41" w:name="_Toc12269"/>
      <w:r>
        <w:rPr>
          <w:rFonts w:hint="default" w:ascii="Times New Roman" w:hAnsi="Times New Roman" w:eastAsia="宋体" w:cs="Times New Roman"/>
          <w:sz w:val="28"/>
        </w:rPr>
        <w:br w:type="page"/>
      </w:r>
    </w:p>
    <w:p>
      <w:pPr>
        <w:keepNext/>
        <w:keepLines/>
        <w:widowControl w:val="0"/>
        <w:bidi w:val="0"/>
        <w:spacing w:before="300" w:after="300" w:line="300" w:lineRule="auto"/>
        <w:ind w:firstLine="0" w:firstLineChars="0"/>
        <w:jc w:val="center"/>
        <w:outlineLvl w:val="0"/>
        <w:rPr>
          <w:rFonts w:hint="default" w:ascii="Times New Roman" w:hAnsi="Times New Roman" w:eastAsia="黑体" w:cs="Times New Roman"/>
          <w:b/>
          <w:bCs/>
          <w:kern w:val="44"/>
          <w:sz w:val="44"/>
          <w:szCs w:val="44"/>
          <w:lang w:val="en-US" w:eastAsia="zh-CN" w:bidi="ar-SA"/>
        </w:rPr>
      </w:pPr>
      <w:bookmarkStart w:id="42" w:name="_Toc30362"/>
      <w:r>
        <w:rPr>
          <w:rFonts w:hint="default" w:ascii="Times New Roman" w:hAnsi="Times New Roman" w:eastAsia="黑体" w:cs="Times New Roman"/>
          <w:b/>
          <w:bCs/>
          <w:kern w:val="44"/>
          <w:sz w:val="44"/>
          <w:szCs w:val="44"/>
          <w:lang w:val="en-US" w:eastAsia="zh-CN" w:bidi="ar-SA"/>
        </w:rPr>
        <w:t>第</w:t>
      </w:r>
      <w:r>
        <w:rPr>
          <w:rFonts w:hint="eastAsia" w:ascii="Times New Roman" w:hAnsi="Times New Roman" w:eastAsia="黑体" w:cs="Times New Roman"/>
          <w:b/>
          <w:bCs/>
          <w:kern w:val="44"/>
          <w:sz w:val="44"/>
          <w:szCs w:val="44"/>
          <w:lang w:val="en-US" w:eastAsia="zh-CN" w:bidi="ar-SA"/>
        </w:rPr>
        <w:t>三</w:t>
      </w:r>
      <w:r>
        <w:rPr>
          <w:rFonts w:hint="default" w:ascii="Times New Roman" w:hAnsi="Times New Roman" w:eastAsia="黑体" w:cs="Times New Roman"/>
          <w:b/>
          <w:bCs/>
          <w:kern w:val="44"/>
          <w:sz w:val="44"/>
          <w:szCs w:val="44"/>
          <w:lang w:val="en-US" w:eastAsia="zh-CN" w:bidi="ar-SA"/>
        </w:rPr>
        <w:t>章</w:t>
      </w:r>
      <w:r>
        <w:rPr>
          <w:rFonts w:hint="eastAsia" w:ascii="Times New Roman" w:hAnsi="Times New Roman" w:eastAsia="黑体" w:cs="Times New Roman"/>
          <w:b/>
          <w:bCs/>
          <w:kern w:val="44"/>
          <w:sz w:val="44"/>
          <w:szCs w:val="44"/>
          <w:lang w:val="en-US" w:eastAsia="zh-CN" w:bidi="ar-SA"/>
        </w:rPr>
        <w:t xml:space="preserve"> </w:t>
      </w:r>
      <w:r>
        <w:rPr>
          <w:rFonts w:hint="default" w:ascii="Times New Roman" w:hAnsi="Times New Roman" w:eastAsia="黑体" w:cs="Times New Roman"/>
          <w:b/>
          <w:bCs/>
          <w:kern w:val="44"/>
          <w:sz w:val="44"/>
          <w:szCs w:val="44"/>
          <w:lang w:val="en-US" w:eastAsia="zh-CN" w:bidi="ar-SA"/>
        </w:rPr>
        <w:t>项目运作方式</w:t>
      </w:r>
      <w:bookmarkEnd w:id="41"/>
      <w:bookmarkEnd w:id="42"/>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43" w:name="_bookmark39"/>
      <w:bookmarkEnd w:id="43"/>
      <w:bookmarkStart w:id="44" w:name="_Toc9305"/>
      <w:bookmarkStart w:id="45" w:name="_Toc30948"/>
      <w:bookmarkStart w:id="46" w:name="_Toc14604"/>
      <w:bookmarkStart w:id="47" w:name="_Toc7325"/>
      <w:r>
        <w:rPr>
          <w:rFonts w:hint="eastAsia" w:ascii="Arial" w:hAnsi="Arial" w:eastAsia="黑体" w:cs="Times New Roman"/>
          <w:b/>
          <w:bCs/>
          <w:kern w:val="2"/>
          <w:sz w:val="32"/>
          <w:szCs w:val="32"/>
          <w:lang w:val="en-US" w:eastAsia="zh-CN" w:bidi="ar-SA"/>
        </w:rPr>
        <w:t>3</w:t>
      </w:r>
      <w:r>
        <w:rPr>
          <w:rFonts w:hint="default" w:ascii="Arial" w:hAnsi="Arial" w:eastAsia="黑体" w:cs="Times New Roman"/>
          <w:b/>
          <w:bCs/>
          <w:kern w:val="2"/>
          <w:sz w:val="32"/>
          <w:szCs w:val="32"/>
          <w:lang w:val="en-US" w:eastAsia="zh-CN" w:bidi="ar-SA"/>
        </w:rPr>
        <w:t>.1</w:t>
      </w:r>
      <w:r>
        <w:rPr>
          <w:rFonts w:hint="eastAsia" w:ascii="Arial" w:hAnsi="Arial" w:eastAsia="黑体" w:cs="Times New Roman"/>
          <w:b/>
          <w:bCs/>
          <w:kern w:val="2"/>
          <w:sz w:val="32"/>
          <w:szCs w:val="32"/>
          <w:lang w:val="en-US" w:eastAsia="zh-CN" w:bidi="ar-SA"/>
        </w:rPr>
        <w:t xml:space="preserve"> </w:t>
      </w:r>
      <w:r>
        <w:rPr>
          <w:rFonts w:hint="default" w:ascii="Arial" w:hAnsi="Arial" w:eastAsia="黑体" w:cs="Times New Roman"/>
          <w:b/>
          <w:bCs/>
          <w:kern w:val="2"/>
          <w:sz w:val="32"/>
          <w:szCs w:val="32"/>
          <w:lang w:val="en-US" w:eastAsia="zh-CN" w:bidi="ar-SA"/>
        </w:rPr>
        <w:t>项目具体运作方式</w:t>
      </w:r>
      <w:bookmarkEnd w:id="44"/>
      <w:bookmarkEnd w:id="45"/>
      <w:bookmarkEnd w:id="46"/>
      <w:bookmarkEnd w:id="47"/>
    </w:p>
    <w:p>
      <w:pPr>
        <w:bidi w:val="0"/>
        <w:spacing w:line="360" w:lineRule="auto"/>
        <w:ind w:firstLine="560" w:firstLineChars="200"/>
        <w:rPr>
          <w:rFonts w:hint="eastAsia" w:ascii="宋体" w:hAnsi="宋体" w:eastAsia="宋体" w:cs="宋体"/>
          <w:sz w:val="28"/>
          <w:lang w:val="en-US" w:eastAsia="zh-CN"/>
        </w:rPr>
      </w:pPr>
      <w:bookmarkStart w:id="48" w:name="_bookmark40"/>
      <w:bookmarkEnd w:id="48"/>
      <w:bookmarkStart w:id="49" w:name="_bookmark41"/>
      <w:bookmarkEnd w:id="49"/>
      <w:bookmarkStart w:id="50" w:name="_Toc20741"/>
      <w:bookmarkStart w:id="51" w:name="_Toc31153"/>
      <w:bookmarkStart w:id="52" w:name="_Toc5070"/>
      <w:r>
        <w:rPr>
          <w:rFonts w:hint="eastAsia" w:ascii="Times New Roman" w:hAnsi="Times New Roman" w:eastAsia="宋体" w:cs="Times New Roman"/>
          <w:sz w:val="28"/>
          <w:lang w:val="en-US" w:eastAsia="zh-CN"/>
        </w:rPr>
        <w:t>本项目为政府公共服务存量资产的经营权出让。拟采用ROT（投资改造—运营—移交（Retrofit-Operate-Transfer））模式运作。项目运作结</w:t>
      </w:r>
      <w:r>
        <w:rPr>
          <w:rFonts w:hint="eastAsia" w:ascii="宋体" w:hAnsi="宋体" w:eastAsia="宋体" w:cs="宋体"/>
          <w:sz w:val="28"/>
          <w:lang w:val="en-US" w:eastAsia="zh-CN"/>
        </w:rPr>
        <w:t>构图如下图所示：</w:t>
      </w:r>
    </w:p>
    <w:p>
      <w:pPr>
        <w:pageBreakBefore w:val="0"/>
        <w:kinsoku/>
        <w:wordWrap/>
        <w:overflowPunct/>
        <w:topLinePunct w:val="0"/>
        <w:bidi w:val="0"/>
        <w:spacing w:line="360" w:lineRule="auto"/>
        <w:ind w:left="0" w:leftChars="0" w:firstLine="0" w:firstLineChars="0"/>
        <w:rPr>
          <w:rFonts w:hint="default" w:ascii="Times New Roman" w:hAnsi="Times New Roman" w:eastAsia="宋体" w:cs="Times New Roman"/>
          <w:b/>
          <w:color w:val="000000"/>
          <w:kern w:val="2"/>
          <w:sz w:val="44"/>
          <w:szCs w:val="44"/>
          <w:highlight w:val="none"/>
          <w:lang w:val="en-US" w:eastAsia="zh-CN" w:bidi="ar-SA"/>
        </w:rPr>
      </w:pPr>
      <w:r>
        <w:rPr>
          <w:rFonts w:hint="eastAsia" w:ascii="宋体" w:hAnsi="宋体" w:eastAsia="宋体" w:cs="宋体"/>
          <w:sz w:val="28"/>
          <w:highlight w:val="none"/>
        </w:rPr>
        <mc:AlternateContent>
          <mc:Choice Requires="wpg">
            <w:drawing>
              <wp:inline distT="0" distB="0" distL="114300" distR="114300">
                <wp:extent cx="5419725" cy="4766310"/>
                <wp:effectExtent l="6350" t="6350" r="22225" b="8890"/>
                <wp:docPr id="31" name="组合 36"/>
                <wp:cNvGraphicFramePr/>
                <a:graphic xmlns:a="http://schemas.openxmlformats.org/drawingml/2006/main">
                  <a:graphicData uri="http://schemas.microsoft.com/office/word/2010/wordprocessingGroup">
                    <wpg:wgp>
                      <wpg:cNvGrpSpPr/>
                      <wpg:grpSpPr>
                        <a:xfrm>
                          <a:off x="0" y="0"/>
                          <a:ext cx="5419725" cy="4766310"/>
                          <a:chOff x="2323" y="1021"/>
                          <a:chExt cx="9151" cy="6182"/>
                        </a:xfrm>
                        <a:effectLst/>
                      </wpg:grpSpPr>
                      <wps:wsp>
                        <wps:cNvPr id="1" name="矩形 1"/>
                        <wps:cNvSpPr/>
                        <wps:spPr>
                          <a:xfrm>
                            <a:off x="4705" y="1021"/>
                            <a:ext cx="3391" cy="584"/>
                          </a:xfrm>
                          <a:prstGeom prst="rect">
                            <a:avLst/>
                          </a:prstGeom>
                          <a:noFill/>
                          <a:ln w="12700" cap="flat" cmpd="sng" algn="ctr">
                            <a:solidFill>
                              <a:srgbClr val="BBE0E3">
                                <a:shade val="50000"/>
                              </a:srgbClr>
                            </a:solidFill>
                            <a:prstDash val="solid"/>
                            <a:miter lim="800000"/>
                          </a:ln>
                          <a:effectLst/>
                        </wps:spPr>
                        <wps:txbx>
                          <w:txbxContent>
                            <w:p>
                              <w:pPr>
                                <w:spacing w:line="360" w:lineRule="auto"/>
                                <w:ind w:firstLine="440" w:firstLineChars="200"/>
                                <w:rPr>
                                  <w:rFonts w:hint="eastAsia" w:ascii="Times New Roman" w:hAnsi="Times New Roman" w:eastAsia="宋体" w:cs="Times New Roman"/>
                                  <w:color w:val="000000"/>
                                  <w:sz w:val="28"/>
                                  <w:lang w:val="en-US" w:eastAsia="zh-CN"/>
                                </w:rPr>
                              </w:pPr>
                              <w:r>
                                <w:rPr>
                                  <w:rFonts w:hint="eastAsia" w:ascii="等线" w:hAnsi="Times New Roman" w:eastAsia="等线" w:cs="Times New Roman"/>
                                  <w:color w:val="000000"/>
                                  <w:kern w:val="24"/>
                                  <w:sz w:val="22"/>
                                  <w:szCs w:val="22"/>
                                  <w:lang w:val="en-US" w:eastAsia="zh-CN"/>
                                </w:rPr>
                                <w:t>遂宁市安居区人民政府</w:t>
                              </w:r>
                            </w:p>
                          </w:txbxContent>
                        </wps:txbx>
                        <wps:bodyPr rtlCol="0" anchor="ctr" anchorCtr="0"/>
                      </wps:wsp>
                      <wps:wsp>
                        <wps:cNvPr id="3" name="矩形 2"/>
                        <wps:cNvSpPr/>
                        <wps:spPr>
                          <a:xfrm>
                            <a:off x="4592" y="2066"/>
                            <a:ext cx="3746" cy="737"/>
                          </a:xfrm>
                          <a:prstGeom prst="rect">
                            <a:avLst/>
                          </a:prstGeom>
                          <a:noFill/>
                          <a:ln w="12700" cap="flat" cmpd="sng" algn="ctr">
                            <a:solidFill>
                              <a:srgbClr val="BBE0E3">
                                <a:shade val="50000"/>
                              </a:srgbClr>
                            </a:solidFill>
                            <a:prstDash val="solid"/>
                            <a:miter lim="800000"/>
                          </a:ln>
                          <a:effectLst/>
                        </wps:spPr>
                        <wps:txbx>
                          <w:txbxContent>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baseline"/>
                                <w:rPr>
                                  <w:rFonts w:hint="eastAsia" w:ascii="等线" w:hAnsi="Times New Roman" w:eastAsia="等线" w:cs="宋体"/>
                                  <w:color w:val="000000"/>
                                  <w:kern w:val="24"/>
                                  <w:sz w:val="22"/>
                                  <w:szCs w:val="22"/>
                                  <w:lang w:val="en-US" w:eastAsia="zh-CN" w:bidi="ar-SA"/>
                                </w:rPr>
                              </w:pPr>
                              <w:r>
                                <w:rPr>
                                  <w:rFonts w:hint="eastAsia" w:ascii="等线" w:hAnsi="Times New Roman" w:eastAsia="等线" w:cs="宋体"/>
                                  <w:color w:val="000000"/>
                                  <w:kern w:val="24"/>
                                  <w:sz w:val="22"/>
                                  <w:szCs w:val="22"/>
                                  <w:lang w:val="en-US" w:eastAsia="zh-CN" w:bidi="ar-SA"/>
                                </w:rPr>
                                <w:t>遂宁市安居区综合行政执法局</w:t>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baseline"/>
                                <w:rPr>
                                  <w:rFonts w:hint="eastAsia" w:ascii="等线" w:hAnsi="Times New Roman" w:eastAsia="等线" w:cs="宋体"/>
                                  <w:color w:val="000000"/>
                                  <w:kern w:val="24"/>
                                  <w:sz w:val="22"/>
                                  <w:szCs w:val="22"/>
                                  <w:lang w:val="en-US" w:eastAsia="zh-CN" w:bidi="ar-SA"/>
                                </w:rPr>
                              </w:pPr>
                              <w:r>
                                <w:rPr>
                                  <w:rFonts w:hint="eastAsia" w:ascii="等线" w:hAnsi="Times New Roman" w:eastAsia="等线" w:cs="宋体"/>
                                  <w:color w:val="000000"/>
                                  <w:kern w:val="24"/>
                                  <w:sz w:val="22"/>
                                  <w:szCs w:val="22"/>
                                  <w:lang w:val="en-US" w:eastAsia="zh-CN" w:bidi="ar-SA"/>
                                </w:rPr>
                                <w:t>（实施机构）</w:t>
                              </w:r>
                            </w:p>
                          </w:txbxContent>
                        </wps:txbx>
                        <wps:bodyPr rtlCol="0" anchor="ctr" anchorCtr="0"/>
                      </wps:wsp>
                      <wps:wsp>
                        <wps:cNvPr id="4" name="下箭头 3"/>
                        <wps:cNvSpPr/>
                        <wps:spPr>
                          <a:xfrm>
                            <a:off x="6285" y="1640"/>
                            <a:ext cx="225" cy="454"/>
                          </a:xfrm>
                          <a:prstGeom prst="downArrow">
                            <a:avLst/>
                          </a:prstGeom>
                          <a:solidFill>
                            <a:srgbClr val="BBE0E3"/>
                          </a:solidFill>
                          <a:ln w="12700" cap="flat" cmpd="sng" algn="ctr">
                            <a:solidFill>
                              <a:srgbClr val="BBE0E3">
                                <a:shade val="50000"/>
                              </a:srgbClr>
                            </a:solidFill>
                            <a:prstDash val="solid"/>
                            <a:miter lim="800000"/>
                          </a:ln>
                          <a:effectLst/>
                        </wps:spPr>
                        <wps:bodyPr rtlCol="0" anchor="ctr" anchorCtr="0"/>
                      </wps:wsp>
                      <wps:wsp>
                        <wps:cNvPr id="5" name="下箭头 4"/>
                        <wps:cNvSpPr/>
                        <wps:spPr>
                          <a:xfrm>
                            <a:off x="6380" y="2896"/>
                            <a:ext cx="226" cy="454"/>
                          </a:xfrm>
                          <a:prstGeom prst="downArrow">
                            <a:avLst/>
                          </a:prstGeom>
                          <a:solidFill>
                            <a:srgbClr val="BBE0E3"/>
                          </a:solidFill>
                          <a:ln w="12700" cap="flat" cmpd="sng" algn="ctr">
                            <a:solidFill>
                              <a:srgbClr val="BBE0E3">
                                <a:shade val="50000"/>
                              </a:srgbClr>
                            </a:solidFill>
                            <a:prstDash val="solid"/>
                            <a:miter lim="800000"/>
                          </a:ln>
                          <a:effectLst/>
                        </wps:spPr>
                        <wps:bodyPr rtlCol="0" anchor="ctr" anchorCtr="0"/>
                      </wps:wsp>
                      <wps:wsp>
                        <wps:cNvPr id="6" name="矩形 5"/>
                        <wps:cNvSpPr/>
                        <wps:spPr>
                          <a:xfrm>
                            <a:off x="5159" y="3347"/>
                            <a:ext cx="2784" cy="556"/>
                          </a:xfrm>
                          <a:prstGeom prst="rect">
                            <a:avLst/>
                          </a:prstGeom>
                          <a:noFill/>
                          <a:ln w="12700" cap="flat" cmpd="sng" algn="ctr">
                            <a:solidFill>
                              <a:srgbClr val="BBE0E3">
                                <a:shade val="50000"/>
                              </a:srgbClr>
                            </a:solidFill>
                            <a:prstDash val="solid"/>
                            <a:miter lim="800000"/>
                          </a:ln>
                          <a:effectLst/>
                        </wps:spPr>
                        <wps:txbx>
                          <w:txbxContent>
                            <w:p>
                              <w:pPr>
                                <w:widowControl/>
                                <w:kinsoku/>
                                <w:spacing w:before="0" w:beforeAutospacing="1" w:after="0" w:afterAutospacing="1" w:line="240" w:lineRule="auto"/>
                                <w:ind w:left="0" w:leftChars="0" w:firstLine="0" w:firstLineChars="0"/>
                                <w:jc w:val="center"/>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特许经营协议</w:t>
                              </w:r>
                            </w:p>
                          </w:txbxContent>
                        </wps:txbx>
                        <wps:bodyPr rtlCol="0" anchor="ctr" anchorCtr="0"/>
                      </wps:wsp>
                      <wps:wsp>
                        <wps:cNvPr id="7" name="矩形 6"/>
                        <wps:cNvSpPr/>
                        <wps:spPr>
                          <a:xfrm>
                            <a:off x="5159" y="4447"/>
                            <a:ext cx="2784" cy="556"/>
                          </a:xfrm>
                          <a:prstGeom prst="rect">
                            <a:avLst/>
                          </a:prstGeom>
                          <a:noFill/>
                          <a:ln w="12700" cap="flat" cmpd="sng" algn="ctr">
                            <a:solidFill>
                              <a:srgbClr val="BBE0E3">
                                <a:shade val="50000"/>
                              </a:srgbClr>
                            </a:solidFill>
                            <a:prstDash val="solid"/>
                            <a:miter lim="800000"/>
                          </a:ln>
                          <a:effectLst/>
                        </wps:spPr>
                        <wps:txbx>
                          <w:txbxContent>
                            <w:p>
                              <w:pPr>
                                <w:widowControl/>
                                <w:kinsoku/>
                                <w:spacing w:before="0" w:beforeAutospacing="1" w:after="0" w:afterAutospacing="1" w:line="240" w:lineRule="auto"/>
                                <w:ind w:left="0" w:leftChars="0" w:firstLine="0" w:firstLineChars="0"/>
                                <w:jc w:val="center"/>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特许经营企业</w:t>
                              </w:r>
                            </w:p>
                          </w:txbxContent>
                        </wps:txbx>
                        <wps:bodyPr rtlCol="0" anchor="ctr" anchorCtr="0"/>
                      </wps:wsp>
                      <wps:wsp>
                        <wps:cNvPr id="8" name="上箭头 7"/>
                        <wps:cNvSpPr/>
                        <wps:spPr>
                          <a:xfrm>
                            <a:off x="6406" y="3909"/>
                            <a:ext cx="227" cy="454"/>
                          </a:xfrm>
                          <a:prstGeom prst="upArrow">
                            <a:avLst/>
                          </a:prstGeom>
                          <a:solidFill>
                            <a:srgbClr val="BBE0E3"/>
                          </a:solidFill>
                          <a:ln w="12700" cap="flat" cmpd="sng" algn="ctr">
                            <a:solidFill>
                              <a:srgbClr val="BBE0E3">
                                <a:shade val="50000"/>
                              </a:srgbClr>
                            </a:solidFill>
                            <a:prstDash val="solid"/>
                            <a:miter lim="800000"/>
                          </a:ln>
                          <a:effectLst/>
                        </wps:spPr>
                        <wps:bodyPr rtlCol="0" anchor="ctr" anchorCtr="0"/>
                      </wps:wsp>
                      <wps:wsp>
                        <wps:cNvPr id="9" name="文本框 8"/>
                        <wps:cNvSpPr txBox="1"/>
                        <wps:spPr>
                          <a:xfrm>
                            <a:off x="6519" y="1564"/>
                            <a:ext cx="1030" cy="768"/>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授权</w:t>
                              </w:r>
                            </w:p>
                          </w:txbxContent>
                        </wps:txbx>
                        <wps:bodyPr wrap="square" rtlCol="0">
                          <a:noAutofit/>
                        </wps:bodyPr>
                      </wps:wsp>
                      <wps:wsp>
                        <wps:cNvPr id="10" name="文本框 9"/>
                        <wps:cNvSpPr txBox="1"/>
                        <wps:spPr>
                          <a:xfrm>
                            <a:off x="6606" y="3925"/>
                            <a:ext cx="1030" cy="768"/>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签署</w:t>
                              </w:r>
                            </w:p>
                          </w:txbxContent>
                        </wps:txbx>
                        <wps:bodyPr wrap="square" rtlCol="0">
                          <a:noAutofit/>
                        </wps:bodyPr>
                      </wps:wsp>
                      <wps:wsp>
                        <wps:cNvPr id="11" name="矩形 10"/>
                        <wps:cNvSpPr/>
                        <wps:spPr>
                          <a:xfrm>
                            <a:off x="4800" y="5547"/>
                            <a:ext cx="3635" cy="698"/>
                          </a:xfrm>
                          <a:prstGeom prst="rect">
                            <a:avLst/>
                          </a:prstGeom>
                          <a:noFill/>
                          <a:ln w="12700" cap="flat" cmpd="sng" algn="ctr">
                            <a:solidFill>
                              <a:srgbClr val="BBE0E3">
                                <a:shade val="50000"/>
                              </a:srgbClr>
                            </a:solidFill>
                            <a:prstDash val="solid"/>
                            <a:miter lim="800000"/>
                          </a:ln>
                          <a:effectLst/>
                        </wps:spPr>
                        <wps:txbx>
                          <w:txbxContent>
                            <w:p>
                              <w:pPr>
                                <w:widowControl/>
                                <w:spacing w:before="100" w:beforeAutospacing="1" w:after="100" w:afterAutospacing="1" w:line="360" w:lineRule="auto"/>
                                <w:ind w:left="0" w:leftChars="0" w:firstLine="0" w:firstLineChars="0"/>
                                <w:jc w:val="center"/>
                                <w:textAlignment w:val="baseline"/>
                                <w:rPr>
                                  <w:rFonts w:ascii="宋体" w:hAnsi="宋体" w:eastAsia="宋体" w:cs="宋体"/>
                                  <w:kern w:val="0"/>
                                  <w:sz w:val="22"/>
                                  <w:szCs w:val="22"/>
                                  <w:lang w:val="en-US" w:eastAsia="zh-CN" w:bidi="ar-SA"/>
                                </w:rPr>
                              </w:pPr>
                              <w:r>
                                <w:rPr>
                                  <w:rFonts w:hint="eastAsia" w:ascii="等线" w:hAnsi="Times New Roman" w:eastAsia="等线" w:cs="宋体"/>
                                  <w:color w:val="000000"/>
                                  <w:kern w:val="24"/>
                                  <w:sz w:val="24"/>
                                  <w:szCs w:val="24"/>
                                  <w:lang w:val="en-US" w:eastAsia="zh-CN" w:bidi="ar-SA"/>
                                </w:rPr>
                                <w:t>智慧停车位项目</w:t>
                              </w:r>
                            </w:p>
                            <w:p>
                              <w:pPr>
                                <w:widowControl/>
                                <w:kinsoku/>
                                <w:spacing w:before="0" w:beforeAutospacing="1" w:after="0" w:afterAutospacing="1" w:line="240" w:lineRule="auto"/>
                                <w:ind w:left="0" w:firstLine="560" w:firstLineChars="200"/>
                                <w:jc w:val="center"/>
                                <w:textAlignment w:val="baseline"/>
                                <w:rPr>
                                  <w:rFonts w:hint="default" w:ascii="宋体" w:hAnsi="宋体" w:eastAsia="宋体" w:cs="宋体"/>
                                  <w:kern w:val="0"/>
                                  <w:sz w:val="24"/>
                                  <w:szCs w:val="24"/>
                                  <w:lang w:val="en-US" w:eastAsia="zh-CN" w:bidi="ar-SA"/>
                                </w:rPr>
                              </w:pPr>
                              <w:r>
                                <w:rPr>
                                  <w:rFonts w:hint="eastAsia" w:ascii="等线" w:hAnsi="Times New Roman" w:eastAsia="等线" w:cs="宋体"/>
                                  <w:color w:val="000000"/>
                                  <w:kern w:val="24"/>
                                  <w:sz w:val="28"/>
                                  <w:szCs w:val="28"/>
                                  <w:lang w:val="en-US" w:eastAsia="zh-CN" w:bidi="ar-SA"/>
                                </w:rPr>
                                <w:t>车特许经营权项目</w:t>
                              </w:r>
                            </w:p>
                          </w:txbxContent>
                        </wps:txbx>
                        <wps:bodyPr rtlCol="0" anchor="ctr" anchorCtr="0"/>
                      </wps:wsp>
                      <wps:wsp>
                        <wps:cNvPr id="12" name="下箭头 11"/>
                        <wps:cNvSpPr/>
                        <wps:spPr>
                          <a:xfrm>
                            <a:off x="6467" y="5108"/>
                            <a:ext cx="226" cy="454"/>
                          </a:xfrm>
                          <a:prstGeom prst="downArrow">
                            <a:avLst/>
                          </a:prstGeom>
                          <a:solidFill>
                            <a:srgbClr val="BBE0E3"/>
                          </a:solidFill>
                          <a:ln w="12700" cap="flat" cmpd="sng" algn="ctr">
                            <a:solidFill>
                              <a:srgbClr val="BBE0E3">
                                <a:shade val="50000"/>
                              </a:srgbClr>
                            </a:solidFill>
                            <a:prstDash val="solid"/>
                            <a:miter lim="800000"/>
                          </a:ln>
                          <a:effectLst/>
                        </wps:spPr>
                        <wps:bodyPr rtlCol="0" anchor="ctr" anchorCtr="0"/>
                      </wps:wsp>
                      <wps:wsp>
                        <wps:cNvPr id="13" name="文本框 12"/>
                        <wps:cNvSpPr txBox="1"/>
                        <wps:spPr>
                          <a:xfrm>
                            <a:off x="6746" y="5035"/>
                            <a:ext cx="1436" cy="768"/>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投资改造</w:t>
                              </w:r>
                            </w:p>
                          </w:txbxContent>
                        </wps:txbx>
                        <wps:bodyPr wrap="square" rtlCol="0">
                          <a:noAutofit/>
                        </wps:bodyPr>
                      </wps:wsp>
                      <wps:wsp>
                        <wps:cNvPr id="14" name="文本框 13"/>
                        <wps:cNvSpPr txBox="1"/>
                        <wps:spPr>
                          <a:xfrm>
                            <a:off x="4978" y="5035"/>
                            <a:ext cx="1436" cy="768"/>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运营维护</w:t>
                              </w:r>
                            </w:p>
                          </w:txbxContent>
                        </wps:txbx>
                        <wps:bodyPr wrap="square" rtlCol="0">
                          <a:noAutofit/>
                        </wps:bodyPr>
                      </wps:wsp>
                      <wps:wsp>
                        <wps:cNvPr id="17" name="矩形 14"/>
                        <wps:cNvSpPr/>
                        <wps:spPr>
                          <a:xfrm>
                            <a:off x="4800" y="6647"/>
                            <a:ext cx="3635" cy="556"/>
                          </a:xfrm>
                          <a:prstGeom prst="rect">
                            <a:avLst/>
                          </a:prstGeom>
                          <a:noFill/>
                          <a:ln w="12700" cap="flat" cmpd="sng" algn="ctr">
                            <a:solidFill>
                              <a:srgbClr val="BBE0E3">
                                <a:shade val="50000"/>
                              </a:srgbClr>
                            </a:solidFill>
                            <a:prstDash val="solid"/>
                            <a:miter lim="800000"/>
                          </a:ln>
                          <a:effectLst/>
                        </wps:spPr>
                        <wps:txbx>
                          <w:txbxContent>
                            <w:p>
                              <w:pPr>
                                <w:widowControl/>
                                <w:kinsoku/>
                                <w:spacing w:before="0" w:beforeAutospacing="1" w:after="0" w:afterAutospacing="1" w:line="240" w:lineRule="auto"/>
                                <w:ind w:left="0" w:leftChars="0" w:firstLine="0" w:firstLineChars="0"/>
                                <w:jc w:val="center"/>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使用方</w:t>
                              </w:r>
                            </w:p>
                          </w:txbxContent>
                        </wps:txbx>
                        <wps:bodyPr rtlCol="0" anchor="ctr" anchorCtr="0"/>
                      </wps:wsp>
                      <wps:wsp>
                        <wps:cNvPr id="20" name="下箭头 15"/>
                        <wps:cNvSpPr/>
                        <wps:spPr>
                          <a:xfrm>
                            <a:off x="6041" y="6262"/>
                            <a:ext cx="258" cy="343"/>
                          </a:xfrm>
                          <a:prstGeom prst="downArrow">
                            <a:avLst/>
                          </a:prstGeom>
                          <a:solidFill>
                            <a:srgbClr val="BBE0E3"/>
                          </a:solidFill>
                          <a:ln w="12700" cap="flat" cmpd="sng" algn="ctr">
                            <a:solidFill>
                              <a:srgbClr val="BBE0E3">
                                <a:shade val="50000"/>
                              </a:srgbClr>
                            </a:solidFill>
                            <a:prstDash val="solid"/>
                            <a:miter lim="800000"/>
                          </a:ln>
                          <a:effectLst/>
                        </wps:spPr>
                        <wps:bodyPr rtlCol="0" anchor="ctr" anchorCtr="0"/>
                      </wps:wsp>
                      <wps:wsp>
                        <wps:cNvPr id="21" name="上箭头 16"/>
                        <wps:cNvSpPr/>
                        <wps:spPr>
                          <a:xfrm>
                            <a:off x="6832" y="6220"/>
                            <a:ext cx="196" cy="393"/>
                          </a:xfrm>
                          <a:prstGeom prst="upArrow">
                            <a:avLst/>
                          </a:prstGeom>
                          <a:solidFill>
                            <a:srgbClr val="BBE0E3"/>
                          </a:solidFill>
                          <a:ln w="12700" cap="flat" cmpd="sng" algn="ctr">
                            <a:solidFill>
                              <a:srgbClr val="BBE0E3">
                                <a:shade val="50000"/>
                              </a:srgbClr>
                            </a:solidFill>
                            <a:prstDash val="solid"/>
                            <a:miter lim="800000"/>
                          </a:ln>
                          <a:effectLst/>
                        </wps:spPr>
                        <wps:bodyPr rtlCol="0" anchor="ctr" anchorCtr="0"/>
                      </wps:wsp>
                      <wps:wsp>
                        <wps:cNvPr id="22" name="文本框 17"/>
                        <wps:cNvSpPr txBox="1"/>
                        <wps:spPr>
                          <a:xfrm>
                            <a:off x="4478" y="6158"/>
                            <a:ext cx="1468" cy="768"/>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经营服务</w:t>
                              </w:r>
                            </w:p>
                          </w:txbxContent>
                        </wps:txbx>
                        <wps:bodyPr wrap="square" rtlCol="0">
                          <a:noAutofit/>
                        </wps:bodyPr>
                      </wps:wsp>
                      <wps:wsp>
                        <wps:cNvPr id="23" name="文本框 18"/>
                        <wps:cNvSpPr txBox="1"/>
                        <wps:spPr>
                          <a:xfrm>
                            <a:off x="6918" y="6219"/>
                            <a:ext cx="1468" cy="681"/>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服务缴费</w:t>
                              </w:r>
                            </w:p>
                          </w:txbxContent>
                        </wps:txbx>
                        <wps:bodyPr wrap="square" rtlCol="0">
                          <a:noAutofit/>
                        </wps:bodyPr>
                      </wps:wsp>
                      <wps:wsp>
                        <wps:cNvPr id="24" name="矩形 19"/>
                        <wps:cNvSpPr/>
                        <wps:spPr>
                          <a:xfrm>
                            <a:off x="2323" y="5411"/>
                            <a:ext cx="1538" cy="556"/>
                          </a:xfrm>
                          <a:prstGeom prst="rect">
                            <a:avLst/>
                          </a:prstGeom>
                          <a:noFill/>
                          <a:ln w="12700" cap="flat" cmpd="sng" algn="ctr">
                            <a:solidFill>
                              <a:srgbClr val="BBE0E3">
                                <a:shade val="50000"/>
                              </a:srgbClr>
                            </a:solidFill>
                            <a:prstDash val="solid"/>
                            <a:miter lim="800000"/>
                          </a:ln>
                          <a:effectLst/>
                        </wps:spPr>
                        <wps:txbx>
                          <w:txbxContent>
                            <w:p>
                              <w:pPr>
                                <w:widowControl/>
                                <w:kinsoku/>
                                <w:spacing w:before="0" w:beforeAutospacing="1" w:after="0" w:afterAutospacing="1" w:line="240" w:lineRule="auto"/>
                                <w:ind w:left="0" w:leftChars="0" w:firstLine="0" w:firstLineChars="0"/>
                                <w:jc w:val="both"/>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职能部门</w:t>
                              </w:r>
                            </w:p>
                          </w:txbxContent>
                        </wps:txbx>
                        <wps:bodyPr rtlCol="0" anchor="ctr" anchorCtr="0"/>
                      </wps:wsp>
                      <wps:wsp>
                        <wps:cNvPr id="25" name="右箭头 20"/>
                        <wps:cNvSpPr/>
                        <wps:spPr>
                          <a:xfrm>
                            <a:off x="3911" y="5626"/>
                            <a:ext cx="794" cy="227"/>
                          </a:xfrm>
                          <a:prstGeom prst="rightArrow">
                            <a:avLst/>
                          </a:prstGeom>
                          <a:solidFill>
                            <a:srgbClr val="BBE0E3"/>
                          </a:solidFill>
                          <a:ln w="12700" cap="flat" cmpd="sng" algn="ctr">
                            <a:solidFill>
                              <a:srgbClr val="BBE0E3">
                                <a:shade val="50000"/>
                              </a:srgbClr>
                            </a:solidFill>
                            <a:prstDash val="solid"/>
                            <a:miter lim="800000"/>
                          </a:ln>
                          <a:effectLst/>
                        </wps:spPr>
                        <wps:bodyPr rtlCol="0" anchor="ctr" anchorCtr="0"/>
                      </wps:wsp>
                      <wps:wsp>
                        <wps:cNvPr id="26" name="文本框 21"/>
                        <wps:cNvSpPr txBox="1"/>
                        <wps:spPr>
                          <a:xfrm>
                            <a:off x="3883" y="5173"/>
                            <a:ext cx="1124" cy="456"/>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Arial" w:hAnsi="Times New Roman" w:eastAsia="宋体" w:cs="宋体"/>
                                  <w:color w:val="000000"/>
                                  <w:kern w:val="24"/>
                                  <w:sz w:val="24"/>
                                  <w:szCs w:val="24"/>
                                  <w:lang w:val="en-US" w:eastAsia="zh-CN" w:bidi="ar-SA"/>
                                </w:rPr>
                                <w:t>监管</w:t>
                              </w:r>
                            </w:p>
                          </w:txbxContent>
                        </wps:txbx>
                        <wps:bodyPr wrap="square" rtlCol="0">
                          <a:noAutofit/>
                        </wps:bodyPr>
                      </wps:wsp>
                      <wps:wsp>
                        <wps:cNvPr id="27" name="矩形 22"/>
                        <wps:cNvSpPr/>
                        <wps:spPr>
                          <a:xfrm>
                            <a:off x="9706" y="5359"/>
                            <a:ext cx="1768" cy="733"/>
                          </a:xfrm>
                          <a:prstGeom prst="rect">
                            <a:avLst/>
                          </a:prstGeom>
                          <a:noFill/>
                          <a:ln w="12700" cap="flat" cmpd="sng" algn="ctr">
                            <a:solidFill>
                              <a:srgbClr val="BBE0E3">
                                <a:shade val="50000"/>
                              </a:srgbClr>
                            </a:solidFill>
                            <a:prstDash val="solid"/>
                            <a:miter lim="800000"/>
                          </a:ln>
                          <a:effectLst/>
                        </wps:spPr>
                        <wps:txbx>
                          <w:txbxContent>
                            <w:p>
                              <w:pPr>
                                <w:widowControl/>
                                <w:kinsoku/>
                                <w:spacing w:before="0" w:beforeAutospacing="1" w:after="0" w:afterAutospacing="1" w:line="240" w:lineRule="auto"/>
                                <w:ind w:left="0" w:leftChars="0" w:firstLine="0" w:firstLineChars="0"/>
                                <w:jc w:val="both"/>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政府指定部门和机构</w:t>
                              </w:r>
                            </w:p>
                          </w:txbxContent>
                        </wps:txbx>
                        <wps:bodyPr rtlCol="0" anchor="ctr" anchorCtr="0"/>
                      </wps:wsp>
                      <wps:wsp>
                        <wps:cNvPr id="28" name="右箭头 23"/>
                        <wps:cNvSpPr/>
                        <wps:spPr>
                          <a:xfrm>
                            <a:off x="8518" y="5607"/>
                            <a:ext cx="1268" cy="220"/>
                          </a:xfrm>
                          <a:prstGeom prst="rightArrow">
                            <a:avLst/>
                          </a:prstGeom>
                          <a:solidFill>
                            <a:srgbClr val="BBE0E3"/>
                          </a:solidFill>
                          <a:ln w="12700" cap="flat" cmpd="sng" algn="ctr">
                            <a:solidFill>
                              <a:srgbClr val="BBE0E3">
                                <a:shade val="50000"/>
                              </a:srgbClr>
                            </a:solidFill>
                            <a:prstDash val="solid"/>
                            <a:miter lim="800000"/>
                          </a:ln>
                          <a:effectLst/>
                        </wps:spPr>
                        <wps:bodyPr rtlCol="0" anchor="ctr" anchorCtr="0"/>
                      </wps:wsp>
                      <wps:wsp>
                        <wps:cNvPr id="29" name="文本框 24"/>
                        <wps:cNvSpPr txBox="1"/>
                        <wps:spPr>
                          <a:xfrm>
                            <a:off x="8470" y="5315"/>
                            <a:ext cx="1423" cy="622"/>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Arial" w:hAnsi="Times New Roman" w:eastAsia="宋体" w:cs="宋体"/>
                                  <w:color w:val="000000"/>
                                  <w:kern w:val="24"/>
                                  <w:sz w:val="24"/>
                                  <w:szCs w:val="24"/>
                                  <w:lang w:val="en-US" w:eastAsia="zh-CN" w:bidi="ar-SA"/>
                                </w:rPr>
                                <w:t>期满</w:t>
                              </w:r>
                              <w:r>
                                <w:rPr>
                                  <w:rFonts w:hint="eastAsia" w:ascii="Arial" w:hAnsi="Times New Roman" w:eastAsia="宋体" w:cs="宋体"/>
                                  <w:color w:val="000000"/>
                                  <w:kern w:val="24"/>
                                  <w:sz w:val="24"/>
                                  <w:szCs w:val="24"/>
                                  <w:lang w:val="en-US" w:eastAsia="zh-CN" w:bidi="ar-SA"/>
                                </w:rPr>
                                <w:t>移交</w:t>
                              </w:r>
                            </w:p>
                          </w:txbxContent>
                        </wps:txbx>
                        <wps:bodyPr wrap="square" rtlCol="0">
                          <a:noAutofit/>
                        </wps:bodyPr>
                      </wps:wsp>
                      <wps:wsp>
                        <wps:cNvPr id="32" name="直接箭头连接符 30"/>
                        <wps:cNvCnPr/>
                        <wps:spPr>
                          <a:xfrm flipV="1">
                            <a:off x="2675" y="4767"/>
                            <a:ext cx="2518" cy="3"/>
                          </a:xfrm>
                          <a:prstGeom prst="straightConnector1">
                            <a:avLst/>
                          </a:prstGeom>
                          <a:noFill/>
                          <a:ln w="9525" cap="flat" cmpd="sng" algn="ctr">
                            <a:solidFill>
                              <a:srgbClr val="F9F9F9">
                                <a:shade val="95000"/>
                                <a:satMod val="105000"/>
                              </a:srgbClr>
                            </a:solidFill>
                            <a:prstDash val="solid"/>
                            <a:tailEnd type="arrow"/>
                          </a:ln>
                          <a:effectLst/>
                        </wps:spPr>
                        <wps:bodyPr/>
                      </wps:wsp>
                      <wps:wsp>
                        <wps:cNvPr id="33" name="直接连接符 31"/>
                        <wps:cNvCnPr/>
                        <wps:spPr>
                          <a:xfrm>
                            <a:off x="2655" y="2447"/>
                            <a:ext cx="0" cy="2356"/>
                          </a:xfrm>
                          <a:prstGeom prst="line">
                            <a:avLst/>
                          </a:prstGeom>
                          <a:noFill/>
                          <a:ln w="9525" cap="flat" cmpd="sng" algn="ctr">
                            <a:solidFill>
                              <a:srgbClr val="4A7EBB">
                                <a:shade val="95000"/>
                                <a:satMod val="105000"/>
                              </a:srgbClr>
                            </a:solidFill>
                            <a:prstDash val="solid"/>
                          </a:ln>
                          <a:effectLst/>
                        </wps:spPr>
                        <wps:bodyPr/>
                      </wps:wsp>
                      <wps:wsp>
                        <wps:cNvPr id="35" name="直接连接符 32"/>
                        <wps:cNvCnPr/>
                        <wps:spPr>
                          <a:xfrm flipV="1">
                            <a:off x="2629" y="2465"/>
                            <a:ext cx="1901" cy="3"/>
                          </a:xfrm>
                          <a:prstGeom prst="line">
                            <a:avLst/>
                          </a:prstGeom>
                          <a:noFill/>
                          <a:ln w="9525" cap="flat" cmpd="sng" algn="ctr">
                            <a:solidFill>
                              <a:srgbClr val="4A7EBB">
                                <a:shade val="95000"/>
                                <a:satMod val="105000"/>
                              </a:srgbClr>
                            </a:solidFill>
                            <a:prstDash val="solid"/>
                          </a:ln>
                          <a:effectLst/>
                        </wps:spPr>
                        <wps:bodyPr/>
                      </wps:wsp>
                      <wps:wsp>
                        <wps:cNvPr id="36" name="文本框 34"/>
                        <wps:cNvSpPr txBox="1"/>
                        <wps:spPr>
                          <a:xfrm>
                            <a:off x="2802" y="4137"/>
                            <a:ext cx="2143" cy="787"/>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监管、绩效考</w:t>
                              </w:r>
                              <w:r>
                                <w:rPr>
                                  <w:rFonts w:hint="eastAsia" w:ascii="等线" w:hAnsi="Times New Roman" w:eastAsia="等线" w:cs="宋体"/>
                                  <w:color w:val="000000"/>
                                  <w:kern w:val="24"/>
                                  <w:sz w:val="24"/>
                                  <w:szCs w:val="24"/>
                                  <w:lang w:val="en-US" w:eastAsia="zh-CN" w:bidi="ar-SA"/>
                                </w:rPr>
                                <w:t>核</w:t>
                              </w:r>
                              <w:r>
                                <w:rPr>
                                  <w:rFonts w:ascii="等线" w:hAnsi="Times New Roman" w:eastAsia="等线" w:cs="宋体"/>
                                  <w:color w:val="000000"/>
                                  <w:kern w:val="24"/>
                                  <w:sz w:val="24"/>
                                  <w:szCs w:val="24"/>
                                  <w:lang w:val="en-US" w:eastAsia="zh-CN" w:bidi="ar-SA"/>
                                </w:rPr>
                                <w:t>核、支持、保障</w:t>
                              </w:r>
                            </w:p>
                          </w:txbxContent>
                        </wps:txbx>
                        <wps:bodyPr wrap="square" rtlCol="0">
                          <a:noAutofit/>
                        </wps:bodyPr>
                      </wps:wsp>
                      <wps:wsp>
                        <wps:cNvPr id="42" name="文本框 35"/>
                        <wps:cNvSpPr txBox="1"/>
                        <wps:spPr>
                          <a:xfrm>
                            <a:off x="2543" y="2079"/>
                            <a:ext cx="2478" cy="786"/>
                          </a:xfrm>
                          <a:prstGeom prst="rect">
                            <a:avLst/>
                          </a:prstGeom>
                          <a:noFill/>
                          <a:ln>
                            <a:noFill/>
                          </a:ln>
                          <a:effectLst/>
                        </wps:spPr>
                        <wps:txb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授权特许经营权</w:t>
                              </w:r>
                            </w:p>
                          </w:txbxContent>
                        </wps:txbx>
                        <wps:bodyPr wrap="square" rtlCol="0">
                          <a:noAutofit/>
                        </wps:bodyPr>
                      </wps:wsp>
                    </wpg:wgp>
                  </a:graphicData>
                </a:graphic>
              </wp:inline>
            </w:drawing>
          </mc:Choice>
          <mc:Fallback>
            <w:pict>
              <v:group id="组合 36" o:spid="_x0000_s1026" o:spt="203" style="height:375.3pt;width:426.75pt;" coordorigin="2323,1021" coordsize="9151,6182" o:gfxdata="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">
                <o:lock v:ext="edit" aspectratio="f"/>
                <v:rect id="_x0000_s1026" o:spid="_x0000_s1026" o:spt="1" style="position:absolute;left:4705;top:1021;height:584;width:3391;v-text-anchor:middle;" filled="f" stroked="t" coordsize="21600,21600" o:gfxdata="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BZDLsAAADa&#10;AAAADwAAAAAAAAABACAAAAAiAAAAZHJzL2Rvd25yZXYueG1sUEsBAhQAFAAAAAgAh07iQDMvBZ47&#10;AAAAOQAAABAAAAAAAAAAAQAgAAAACgEAAGRycy9zaGFwZXhtbC54bWxQSwUGAAAAAAYABgBbAQAA&#10;tAMAAAAA&#10;">
                  <v:fill on="f" focussize="0,0"/>
                  <v:stroke weight="1pt" color="#89A4A7" miterlimit="8" joinstyle="miter"/>
                  <v:imagedata o:title=""/>
                  <o:lock v:ext="edit" aspectratio="f"/>
                  <v:textbox>
                    <w:txbxContent>
                      <w:p>
                        <w:pPr>
                          <w:spacing w:line="360" w:lineRule="auto"/>
                          <w:ind w:firstLine="440" w:firstLineChars="200"/>
                          <w:rPr>
                            <w:rFonts w:hint="eastAsia" w:ascii="Times New Roman" w:hAnsi="Times New Roman" w:eastAsia="宋体" w:cs="Times New Roman"/>
                            <w:color w:val="000000"/>
                            <w:sz w:val="28"/>
                            <w:lang w:val="en-US" w:eastAsia="zh-CN"/>
                          </w:rPr>
                        </w:pPr>
                        <w:r>
                          <w:rPr>
                            <w:rFonts w:hint="eastAsia" w:ascii="等线" w:hAnsi="Times New Roman" w:eastAsia="等线" w:cs="Times New Roman"/>
                            <w:color w:val="000000"/>
                            <w:kern w:val="24"/>
                            <w:sz w:val="22"/>
                            <w:szCs w:val="22"/>
                            <w:lang w:val="en-US" w:eastAsia="zh-CN"/>
                          </w:rPr>
                          <w:t>遂宁市安居区人民政府</w:t>
                        </w:r>
                      </w:p>
                    </w:txbxContent>
                  </v:textbox>
                </v:rect>
                <v:rect id="矩形 2" o:spid="_x0000_s1026" o:spt="1" style="position:absolute;left:4592;top:2066;height:737;width:3746;v-text-anchor:middle;" filled="f" stroked="t" coordsize="21600,21600" o:gfxdata="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zmLgvQAA&#10;ANoAAAAPAAAAAAAAAAEAIAAAACIAAABkcnMvZG93bnJldi54bWxQSwECFAAUAAAACACHTuJAMy8F&#10;njsAAAA5AAAAEAAAAAAAAAABACAAAAAMAQAAZHJzL3NoYXBleG1sLnhtbFBLBQYAAAAABgAGAFsB&#10;AAC2AwAAAAA=&#10;">
                  <v:fill on="f" focussize="0,0"/>
                  <v:stroke weight="1pt" color="#89A4A7"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baseline"/>
                          <w:rPr>
                            <w:rFonts w:hint="eastAsia" w:ascii="等线" w:hAnsi="Times New Roman" w:eastAsia="等线" w:cs="宋体"/>
                            <w:color w:val="000000"/>
                            <w:kern w:val="24"/>
                            <w:sz w:val="22"/>
                            <w:szCs w:val="22"/>
                            <w:lang w:val="en-US" w:eastAsia="zh-CN" w:bidi="ar-SA"/>
                          </w:rPr>
                        </w:pPr>
                        <w:r>
                          <w:rPr>
                            <w:rFonts w:hint="eastAsia" w:ascii="等线" w:hAnsi="Times New Roman" w:eastAsia="等线" w:cs="宋体"/>
                            <w:color w:val="000000"/>
                            <w:kern w:val="24"/>
                            <w:sz w:val="22"/>
                            <w:szCs w:val="22"/>
                            <w:lang w:val="en-US" w:eastAsia="zh-CN" w:bidi="ar-SA"/>
                          </w:rPr>
                          <w:t>遂宁市安居区综合行政执法局</w:t>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baseline"/>
                          <w:rPr>
                            <w:rFonts w:hint="eastAsia" w:ascii="等线" w:hAnsi="Times New Roman" w:eastAsia="等线" w:cs="宋体"/>
                            <w:color w:val="000000"/>
                            <w:kern w:val="24"/>
                            <w:sz w:val="22"/>
                            <w:szCs w:val="22"/>
                            <w:lang w:val="en-US" w:eastAsia="zh-CN" w:bidi="ar-SA"/>
                          </w:rPr>
                        </w:pPr>
                        <w:r>
                          <w:rPr>
                            <w:rFonts w:hint="eastAsia" w:ascii="等线" w:hAnsi="Times New Roman" w:eastAsia="等线" w:cs="宋体"/>
                            <w:color w:val="000000"/>
                            <w:kern w:val="24"/>
                            <w:sz w:val="22"/>
                            <w:szCs w:val="22"/>
                            <w:lang w:val="en-US" w:eastAsia="zh-CN" w:bidi="ar-SA"/>
                          </w:rPr>
                          <w:t>（实施机构）</w:t>
                        </w:r>
                      </w:p>
                    </w:txbxContent>
                  </v:textbox>
                </v:rect>
                <v:shape id="下箭头 3" o:spid="_x0000_s1026" o:spt="67" type="#_x0000_t67" style="position:absolute;left:6285;top:1640;height:454;width:225;v-text-anchor:middle;" fillcolor="#BBE0E3" filled="t" stroked="t" coordsize="21600,21600" o:gfxdata="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Akx74A&#10;AADaAAAADwAAAAAAAAABACAAAAAiAAAAZHJzL2Rvd25yZXYueG1sUEsBAhQAFAAAAAgAh07iQDMv&#10;BZ47AAAAOQAAABAAAAAAAAAAAQAgAAAADQEAAGRycy9zaGFwZXhtbC54bWxQSwUGAAAAAAYABgBb&#10;AQAAtwMAAAAA&#10;" adj="16248,5400">
                  <v:fill on="t" focussize="0,0"/>
                  <v:stroke weight="1pt" color="#89A4A7" miterlimit="8" joinstyle="miter"/>
                  <v:imagedata o:title=""/>
                  <o:lock v:ext="edit" aspectratio="f"/>
                </v:shape>
                <v:shape id="下箭头 4" o:spid="_x0000_s1026" o:spt="67" type="#_x0000_t67" style="position:absolute;left:6380;top:2896;height:454;width:226;v-text-anchor:middle;" fillcolor="#BBE0E3" filled="t" stroked="t" coordsize="21600,21600" o:gfxdata="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I9r68AAAA&#10;2gAAAA8AAAAAAAAAAQAgAAAAIgAAAGRycy9kb3ducmV2LnhtbFBLAQIUABQAAAAIAIdO4kAzLwWe&#10;OwAAADkAAAAQAAAAAAAAAAEAIAAAAAsBAABkcnMvc2hhcGV4bWwueG1sUEsFBgAAAAAGAAYAWwEA&#10;ALUDAAAAAA==&#10;" adj="16224,5400">
                  <v:fill on="t" focussize="0,0"/>
                  <v:stroke weight="1pt" color="#89A4A7" miterlimit="8" joinstyle="miter"/>
                  <v:imagedata o:title=""/>
                  <o:lock v:ext="edit" aspectratio="f"/>
                </v:shape>
                <v:rect id="矩形 5" o:spid="_x0000_s1026" o:spt="1" style="position:absolute;left:5159;top:3347;height:556;width:2784;v-text-anchor:middle;" filled="f" stroked="t" coordsize="21600,21600" o:gfxdata="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ucF4vQAA&#10;ANoAAAAPAAAAAAAAAAEAIAAAACIAAABkcnMvZG93bnJldi54bWxQSwECFAAUAAAACACHTuJAMy8F&#10;njsAAAA5AAAAEAAAAAAAAAABACAAAAAMAQAAZHJzL3NoYXBleG1sLnhtbFBLBQYAAAAABgAGAFsB&#10;AAC2AwAAAAA=&#10;">
                  <v:fill on="f" focussize="0,0"/>
                  <v:stroke weight="1pt" color="#89A4A7" miterlimit="8" joinstyle="miter"/>
                  <v:imagedata o:title=""/>
                  <o:lock v:ext="edit" aspectratio="f"/>
                  <v:textbox>
                    <w:txbxContent>
                      <w:p>
                        <w:pPr>
                          <w:widowControl/>
                          <w:kinsoku/>
                          <w:spacing w:before="0" w:beforeAutospacing="1" w:after="0" w:afterAutospacing="1" w:line="240" w:lineRule="auto"/>
                          <w:ind w:left="0" w:leftChars="0" w:firstLine="0" w:firstLineChars="0"/>
                          <w:jc w:val="center"/>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特许经营协议</w:t>
                        </w:r>
                      </w:p>
                    </w:txbxContent>
                  </v:textbox>
                </v:rect>
                <v:rect id="矩形 6" o:spid="_x0000_s1026" o:spt="1" style="position:absolute;left:5159;top:4447;height:556;width:2784;v-text-anchor:middle;" filled="f" stroked="t" coordsize="21600,21600" o:gfxdata="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9WTjvQAA&#10;ANoAAAAPAAAAAAAAAAEAIAAAACIAAABkcnMvZG93bnJldi54bWxQSwECFAAUAAAACACHTuJAMy8F&#10;njsAAAA5AAAAEAAAAAAAAAABACAAAAAMAQAAZHJzL3NoYXBleG1sLnhtbFBLBQYAAAAABgAGAFsB&#10;AAC2AwAAAAA=&#10;">
                  <v:fill on="f" focussize="0,0"/>
                  <v:stroke weight="1pt" color="#89A4A7" miterlimit="8" joinstyle="miter"/>
                  <v:imagedata o:title=""/>
                  <o:lock v:ext="edit" aspectratio="f"/>
                  <v:textbox>
                    <w:txbxContent>
                      <w:p>
                        <w:pPr>
                          <w:widowControl/>
                          <w:kinsoku/>
                          <w:spacing w:before="0" w:beforeAutospacing="1" w:after="0" w:afterAutospacing="1" w:line="240" w:lineRule="auto"/>
                          <w:ind w:left="0" w:leftChars="0" w:firstLine="0" w:firstLineChars="0"/>
                          <w:jc w:val="center"/>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特许经营企业</w:t>
                        </w:r>
                      </w:p>
                    </w:txbxContent>
                  </v:textbox>
                </v:rect>
                <v:shape id="上箭头 7" o:spid="_x0000_s1026" o:spt="68" type="#_x0000_t68" style="position:absolute;left:6406;top:3909;height:454;width:227;v-text-anchor:middle;" fillcolor="#BBE0E3" filled="t" stroked="t" coordsize="21600,21600" o:gfxdata="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K2XK8AAAA&#10;2gAAAA8AAAAAAAAAAQAgAAAAIgAAAGRycy9kb3ducmV2LnhtbFBLAQIUABQAAAAIAIdO4kAzLwWe&#10;OwAAADkAAAAQAAAAAAAAAAEAIAAAAAsBAABkcnMvc2hhcGV4bWwueG1sUEsFBgAAAAAGAAYAWwEA&#10;ALUDAAAAAA==&#10;" adj="5400,5400">
                  <v:fill on="t" focussize="0,0"/>
                  <v:stroke weight="1pt" color="#89A4A7" miterlimit="8" joinstyle="miter"/>
                  <v:imagedata o:title=""/>
                  <o:lock v:ext="edit" aspectratio="f"/>
                </v:shape>
                <v:shape id="文本框 8" o:spid="_x0000_s1026" o:spt="202" type="#_x0000_t202" style="position:absolute;left:6519;top:1564;height:768;width:1030;"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授权</w:t>
                        </w:r>
                      </w:p>
                    </w:txbxContent>
                  </v:textbox>
                </v:shape>
                <v:shape id="文本框 9" o:spid="_x0000_s1026" o:spt="202" type="#_x0000_t202" style="position:absolute;left:6606;top:3925;height:768;width:1030;"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签署</w:t>
                        </w:r>
                      </w:p>
                    </w:txbxContent>
                  </v:textbox>
                </v:shape>
                <v:rect id="矩形 10" o:spid="_x0000_s1026" o:spt="1" style="position:absolute;left:4800;top:5547;height:698;width:3635;v-text-anchor:middle;" filled="f" stroked="t" coordsize="21600,21600" o:gfxdata="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tJHbsAAADb&#10;AAAADwAAAAAAAAABACAAAAAiAAAAZHJzL2Rvd25yZXYueG1sUEsBAhQAFAAAAAgAh07iQDMvBZ47&#10;AAAAOQAAABAAAAAAAAAAAQAgAAAACgEAAGRycy9zaGFwZXhtbC54bWxQSwUGAAAAAAYABgBbAQAA&#10;tAMAAAAA&#10;">
                  <v:fill on="f" focussize="0,0"/>
                  <v:stroke weight="1pt" color="#89A4A7" miterlimit="8" joinstyle="miter"/>
                  <v:imagedata o:title=""/>
                  <o:lock v:ext="edit" aspectratio="f"/>
                  <v:textbox>
                    <w:txbxContent>
                      <w:p>
                        <w:pPr>
                          <w:widowControl/>
                          <w:spacing w:before="100" w:beforeAutospacing="1" w:after="100" w:afterAutospacing="1" w:line="360" w:lineRule="auto"/>
                          <w:ind w:left="0" w:leftChars="0" w:firstLine="0" w:firstLineChars="0"/>
                          <w:jc w:val="center"/>
                          <w:textAlignment w:val="baseline"/>
                          <w:rPr>
                            <w:rFonts w:ascii="宋体" w:hAnsi="宋体" w:eastAsia="宋体" w:cs="宋体"/>
                            <w:kern w:val="0"/>
                            <w:sz w:val="22"/>
                            <w:szCs w:val="22"/>
                            <w:lang w:val="en-US" w:eastAsia="zh-CN" w:bidi="ar-SA"/>
                          </w:rPr>
                        </w:pPr>
                        <w:r>
                          <w:rPr>
                            <w:rFonts w:hint="eastAsia" w:ascii="等线" w:hAnsi="Times New Roman" w:eastAsia="等线" w:cs="宋体"/>
                            <w:color w:val="000000"/>
                            <w:kern w:val="24"/>
                            <w:sz w:val="24"/>
                            <w:szCs w:val="24"/>
                            <w:lang w:val="en-US" w:eastAsia="zh-CN" w:bidi="ar-SA"/>
                          </w:rPr>
                          <w:t>智慧停车位项目</w:t>
                        </w:r>
                      </w:p>
                      <w:p>
                        <w:pPr>
                          <w:widowControl/>
                          <w:kinsoku/>
                          <w:spacing w:before="0" w:beforeAutospacing="1" w:after="0" w:afterAutospacing="1" w:line="240" w:lineRule="auto"/>
                          <w:ind w:left="0" w:firstLine="560" w:firstLineChars="200"/>
                          <w:jc w:val="center"/>
                          <w:textAlignment w:val="baseline"/>
                          <w:rPr>
                            <w:rFonts w:hint="default" w:ascii="宋体" w:hAnsi="宋体" w:eastAsia="宋体" w:cs="宋体"/>
                            <w:kern w:val="0"/>
                            <w:sz w:val="24"/>
                            <w:szCs w:val="24"/>
                            <w:lang w:val="en-US" w:eastAsia="zh-CN" w:bidi="ar-SA"/>
                          </w:rPr>
                        </w:pPr>
                        <w:r>
                          <w:rPr>
                            <w:rFonts w:hint="eastAsia" w:ascii="等线" w:hAnsi="Times New Roman" w:eastAsia="等线" w:cs="宋体"/>
                            <w:color w:val="000000"/>
                            <w:kern w:val="24"/>
                            <w:sz w:val="28"/>
                            <w:szCs w:val="28"/>
                            <w:lang w:val="en-US" w:eastAsia="zh-CN" w:bidi="ar-SA"/>
                          </w:rPr>
                          <w:t>车特许经营权项目</w:t>
                        </w:r>
                      </w:p>
                    </w:txbxContent>
                  </v:textbox>
                </v:rect>
                <v:shape id="下箭头 11" o:spid="_x0000_s1026" o:spt="67" type="#_x0000_t67" style="position:absolute;left:6467;top:5108;height:454;width:226;v-text-anchor:middle;" fillcolor="#BBE0E3" filled="t" stroked="t" coordsize="21600,21600" o:gfxdata="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3t1TO5AAAA2wAA&#10;AA8AAAAAAAAAAQAgAAAAIgAAAGRycy9kb3ducmV2LnhtbFBLAQIUABQAAAAIAIdO4kAzLwWeOwAA&#10;ADkAAAAQAAAAAAAAAAEAIAAAAAgBAABkcnMvc2hhcGV4bWwueG1sUEsFBgAAAAAGAAYAWwEAALID&#10;AAAAAA==&#10;" adj="16224,5400">
                  <v:fill on="t" focussize="0,0"/>
                  <v:stroke weight="1pt" color="#89A4A7" miterlimit="8" joinstyle="miter"/>
                  <v:imagedata o:title=""/>
                  <o:lock v:ext="edit" aspectratio="f"/>
                </v:shape>
                <v:shape id="文本框 12" o:spid="_x0000_s1026" o:spt="202" type="#_x0000_t202" style="position:absolute;left:6746;top:5035;height:768;width:1436;"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投资改造</w:t>
                        </w:r>
                      </w:p>
                    </w:txbxContent>
                  </v:textbox>
                </v:shape>
                <v:shape id="文本框 13" o:spid="_x0000_s1026" o:spt="202" type="#_x0000_t202" style="position:absolute;left:4978;top:5035;height:768;width:1436;"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运营维护</w:t>
                        </w:r>
                      </w:p>
                    </w:txbxContent>
                  </v:textbox>
                </v:shape>
                <v:rect id="矩形 14" o:spid="_x0000_s1026" o:spt="1" style="position:absolute;left:4800;top:6647;height:556;width:3635;v-text-anchor:middle;" filled="f" stroked="t" coordsize="21600,21600" o:gfxdata="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508rsAAADb&#10;AAAADwAAAAAAAAABACAAAAAiAAAAZHJzL2Rvd25yZXYueG1sUEsBAhQAFAAAAAgAh07iQDMvBZ47&#10;AAAAOQAAABAAAAAAAAAAAQAgAAAACgEAAGRycy9zaGFwZXhtbC54bWxQSwUGAAAAAAYABgBbAQAA&#10;tAMAAAAA&#10;">
                  <v:fill on="f" focussize="0,0"/>
                  <v:stroke weight="1pt" color="#89A4A7" miterlimit="8" joinstyle="miter"/>
                  <v:imagedata o:title=""/>
                  <o:lock v:ext="edit" aspectratio="f"/>
                  <v:textbox>
                    <w:txbxContent>
                      <w:p>
                        <w:pPr>
                          <w:widowControl/>
                          <w:kinsoku/>
                          <w:spacing w:before="0" w:beforeAutospacing="1" w:after="0" w:afterAutospacing="1" w:line="240" w:lineRule="auto"/>
                          <w:ind w:left="0" w:leftChars="0" w:firstLine="0" w:firstLineChars="0"/>
                          <w:jc w:val="center"/>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使用方</w:t>
                        </w:r>
                      </w:p>
                    </w:txbxContent>
                  </v:textbox>
                </v:rect>
                <v:shape id="下箭头 15" o:spid="_x0000_s1026" o:spt="67" type="#_x0000_t67" style="position:absolute;left:6041;top:6262;height:343;width:258;v-text-anchor:middle;" fillcolor="#BBE0E3" filled="t" stroked="t" coordsize="21600,21600" o:gfxdata="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DXaKW2AAAA2wAAAA8A&#10;AAAAAAAAAQAgAAAAIgAAAGRycy9kb3ducmV2LnhtbFBLAQIUABQAAAAIAIdO4kAzLwWeOwAAADkA&#10;AAAQAAAAAAAAAAEAIAAAAAUBAABkcnMvc2hhcGV4bWwueG1sUEsFBgAAAAAGAAYAWwEAAK8DAAAA&#10;AA==&#10;" adj="13477,5400">
                  <v:fill on="t" focussize="0,0"/>
                  <v:stroke weight="1pt" color="#89A4A7" miterlimit="8" joinstyle="miter"/>
                  <v:imagedata o:title=""/>
                  <o:lock v:ext="edit" aspectratio="f"/>
                </v:shape>
                <v:shape id="上箭头 16" o:spid="_x0000_s1026" o:spt="68" type="#_x0000_t68" style="position:absolute;left:6832;top:6220;height:393;width:196;v-text-anchor:middle;" fillcolor="#BBE0E3" filled="t" stroked="t" coordsize="21600,21600" o:gfxdata="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gd5vQAA&#10;ANsAAAAPAAAAAAAAAAEAIAAAACIAAABkcnMvZG93bnJldi54bWxQSwECFAAUAAAACACHTuJAMy8F&#10;njsAAAA5AAAAEAAAAAAAAAABACAAAAAMAQAAZHJzL3NoYXBleG1sLnhtbFBLBQYAAAAABgAGAFsB&#10;AAC2AwAAAAA=&#10;" adj="5386,5400">
                  <v:fill on="t" focussize="0,0"/>
                  <v:stroke weight="1pt" color="#89A4A7" miterlimit="8" joinstyle="miter"/>
                  <v:imagedata o:title=""/>
                  <o:lock v:ext="edit" aspectratio="f"/>
                </v:shape>
                <v:shape id="文本框 17" o:spid="_x0000_s1026" o:spt="202" type="#_x0000_t202" style="position:absolute;left:4478;top:6158;height:768;width:1468;"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经营服务</w:t>
                        </w:r>
                      </w:p>
                    </w:txbxContent>
                  </v:textbox>
                </v:shape>
                <v:shape id="文本框 18" o:spid="_x0000_s1026" o:spt="202" type="#_x0000_t202" style="position:absolute;left:6918;top:6219;height:681;width:1468;"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服务缴费</w:t>
                        </w:r>
                      </w:p>
                    </w:txbxContent>
                  </v:textbox>
                </v:shape>
                <v:rect id="矩形 19" o:spid="_x0000_s1026" o:spt="1" style="position:absolute;left:2323;top:5411;height:556;width:1538;v-text-anchor:middle;" filled="f" stroked="t" coordsize="21600,21600" o:gfxdata="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CA4vQAA&#10;ANsAAAAPAAAAAAAAAAEAIAAAACIAAABkcnMvZG93bnJldi54bWxQSwECFAAUAAAACACHTuJAMy8F&#10;njsAAAA5AAAAEAAAAAAAAAABACAAAAAMAQAAZHJzL3NoYXBleG1sLnhtbFBLBQYAAAAABgAGAFsB&#10;AAC2AwAAAAA=&#10;">
                  <v:fill on="f" focussize="0,0"/>
                  <v:stroke weight="1pt" color="#89A4A7" miterlimit="8" joinstyle="miter"/>
                  <v:imagedata o:title=""/>
                  <o:lock v:ext="edit" aspectratio="f"/>
                  <v:textbox>
                    <w:txbxContent>
                      <w:p>
                        <w:pPr>
                          <w:widowControl/>
                          <w:kinsoku/>
                          <w:spacing w:before="0" w:beforeAutospacing="1" w:after="0" w:afterAutospacing="1" w:line="240" w:lineRule="auto"/>
                          <w:ind w:left="0" w:leftChars="0" w:firstLine="0" w:firstLineChars="0"/>
                          <w:jc w:val="both"/>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职能部门</w:t>
                        </w:r>
                      </w:p>
                    </w:txbxContent>
                  </v:textbox>
                </v:rect>
                <v:shape id="右箭头 20" o:spid="_x0000_s1026" o:spt="13" type="#_x0000_t13" style="position:absolute;left:3911;top:5626;height:227;width:794;v-text-anchor:middle;" fillcolor="#BBE0E3" filled="t" stroked="t" coordsize="21600,21600" o:gfxdata="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RO9K/&#10;AAAA2wAAAA8AAAAAAAAAAQAgAAAAIgAAAGRycy9kb3ducmV2LnhtbFBLAQIUABQAAAAIAIdO4kAz&#10;LwWeOwAAADkAAAAQAAAAAAAAAAEAIAAAAA4BAABkcnMvc2hhcGV4bWwueG1sUEsFBgAAAAAGAAYA&#10;WwEAALgDAAAAAA==&#10;" adj="18513,5400">
                  <v:fill on="t" focussize="0,0"/>
                  <v:stroke weight="1pt" color="#89A4A7" miterlimit="8" joinstyle="miter"/>
                  <v:imagedata o:title=""/>
                  <o:lock v:ext="edit" aspectratio="f"/>
                </v:shape>
                <v:shape id="文本框 21" o:spid="_x0000_s1026" o:spt="202" type="#_x0000_t202" style="position:absolute;left:3883;top:5173;height:456;width:1124;"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Arial" w:hAnsi="Times New Roman" w:eastAsia="宋体" w:cs="宋体"/>
                            <w:color w:val="000000"/>
                            <w:kern w:val="24"/>
                            <w:sz w:val="24"/>
                            <w:szCs w:val="24"/>
                            <w:lang w:val="en-US" w:eastAsia="zh-CN" w:bidi="ar-SA"/>
                          </w:rPr>
                          <w:t>监管</w:t>
                        </w:r>
                      </w:p>
                    </w:txbxContent>
                  </v:textbox>
                </v:shape>
                <v:rect id="矩形 22" o:spid="_x0000_s1026" o:spt="1" style="position:absolute;left:9706;top:5359;height:733;width:1768;v-text-anchor:middle;" filled="f" stroked="t" coordsize="21600,21600" o:gfxdata="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K+T74A&#10;AADbAAAADwAAAAAAAAABACAAAAAiAAAAZHJzL2Rvd25yZXYueG1sUEsBAhQAFAAAAAgAh07iQDMv&#10;BZ47AAAAOQAAABAAAAAAAAAAAQAgAAAADQEAAGRycy9zaGFwZXhtbC54bWxQSwUGAAAAAAYABgBb&#10;AQAAtwMAAAAA&#10;">
                  <v:fill on="f" focussize="0,0"/>
                  <v:stroke weight="1pt" color="#89A4A7" miterlimit="8" joinstyle="miter"/>
                  <v:imagedata o:title=""/>
                  <o:lock v:ext="edit" aspectratio="f"/>
                  <v:textbox>
                    <w:txbxContent>
                      <w:p>
                        <w:pPr>
                          <w:widowControl/>
                          <w:kinsoku/>
                          <w:spacing w:before="0" w:beforeAutospacing="1" w:after="0" w:afterAutospacing="1" w:line="240" w:lineRule="auto"/>
                          <w:ind w:left="0" w:leftChars="0" w:firstLine="0" w:firstLineChars="0"/>
                          <w:jc w:val="both"/>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8"/>
                            <w:szCs w:val="28"/>
                            <w:lang w:val="en-US" w:eastAsia="zh-CN" w:bidi="ar-SA"/>
                          </w:rPr>
                          <w:t>政府指定部门和机构</w:t>
                        </w:r>
                      </w:p>
                    </w:txbxContent>
                  </v:textbox>
                </v:rect>
                <v:shape id="右箭头 23" o:spid="_x0000_s1026" o:spt="13" type="#_x0000_t13" style="position:absolute;left:8518;top:5607;height:220;width:1268;v-text-anchor:middle;" fillcolor="#BBE0E3" filled="t" stroked="t" coordsize="21600,21600" o:gfxdata="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JWXXugAAANsA&#10;AAAPAAAAAAAAAAEAIAAAACIAAABkcnMvZG93bnJldi54bWxQSwECFAAUAAAACACHTuJAMy8FnjsA&#10;AAA5AAAAEAAAAAAAAAABACAAAAAJAQAAZHJzL3NoYXBleG1sLnhtbFBLBQYAAAAABgAGAFsBAACz&#10;AwAAAAA=&#10;" adj="19727,5400">
                  <v:fill on="t" focussize="0,0"/>
                  <v:stroke weight="1pt" color="#89A4A7" miterlimit="8" joinstyle="miter"/>
                  <v:imagedata o:title=""/>
                  <o:lock v:ext="edit" aspectratio="f"/>
                </v:shape>
                <v:shape id="文本框 24" o:spid="_x0000_s1026" o:spt="202" type="#_x0000_t202" style="position:absolute;left:8470;top:5315;height:622;width:1423;"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Arial" w:hAnsi="Times New Roman" w:eastAsia="宋体" w:cs="宋体"/>
                            <w:color w:val="000000"/>
                            <w:kern w:val="24"/>
                            <w:sz w:val="24"/>
                            <w:szCs w:val="24"/>
                            <w:lang w:val="en-US" w:eastAsia="zh-CN" w:bidi="ar-SA"/>
                          </w:rPr>
                          <w:t>期满</w:t>
                        </w:r>
                        <w:r>
                          <w:rPr>
                            <w:rFonts w:hint="eastAsia" w:ascii="Arial" w:hAnsi="Times New Roman" w:eastAsia="宋体" w:cs="宋体"/>
                            <w:color w:val="000000"/>
                            <w:kern w:val="24"/>
                            <w:sz w:val="24"/>
                            <w:szCs w:val="24"/>
                            <w:lang w:val="en-US" w:eastAsia="zh-CN" w:bidi="ar-SA"/>
                          </w:rPr>
                          <w:t>移交</w:t>
                        </w:r>
                      </w:p>
                    </w:txbxContent>
                  </v:textbox>
                </v:shape>
                <v:shape id="直接箭头连接符 30" o:spid="_x0000_s1026" o:spt="32" type="#_x0000_t32" style="position:absolute;left:2675;top:4767;flip:y;height:3;width:2518;" filled="f" stroked="t" coordsize="21600,21600" o:gfxdata="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nihr4A&#10;AADbAAAADwAAAAAAAAABACAAAAAiAAAAZHJzL2Rvd25yZXYueG1sUEsBAhQAFAAAAAgAh07iQDMv&#10;BZ47AAAAOQAAABAAAAAAAAAAAQAgAAAADQEAAGRycy9zaGFwZXhtbC54bWxQSwUGAAAAAAYABgBb&#10;AQAAtwMAAAAA&#10;">
                  <v:fill on="f" focussize="0,0"/>
                  <v:stroke color="#F3F3F3" joinstyle="round" endarrow="open"/>
                  <v:imagedata o:title=""/>
                  <o:lock v:ext="edit" aspectratio="f"/>
                </v:shape>
                <v:line id="直接连接符 31" o:spid="_x0000_s1026" o:spt="20" style="position:absolute;left:2655;top:2447;height:2356;width:0;" filled="f" stroked="t" coordsize="21600,21600" o:gfxdata="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iNZvQAA&#10;ANsAAAAPAAAAAAAAAAEAIAAAACIAAABkcnMvZG93bnJldi54bWxQSwECFAAUAAAACACHTuJAMy8F&#10;njsAAAA5AAAAEAAAAAAAAAABACAAAAAMAQAAZHJzL3NoYXBleG1sLnhtbFBLBQYAAAAABgAGAFsB&#10;AAC2AwAAAAA=&#10;">
                  <v:fill on="f" focussize="0,0"/>
                  <v:stroke color="#457BBA" joinstyle="round"/>
                  <v:imagedata o:title=""/>
                  <o:lock v:ext="edit" aspectratio="f"/>
                </v:line>
                <v:line id="直接连接符 32" o:spid="_x0000_s1026" o:spt="20" style="position:absolute;left:2629;top:2465;flip:y;height:3;width:1901;" filled="f" stroked="t" coordsize="21600,21600" o:gfxdata="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x/iL4A&#10;AADbAAAADwAAAAAAAAABACAAAAAiAAAAZHJzL2Rvd25yZXYueG1sUEsBAhQAFAAAAAgAh07iQDMv&#10;BZ47AAAAOQAAABAAAAAAAAAAAQAgAAAADQEAAGRycy9zaGFwZXhtbC54bWxQSwUGAAAAAAYABgBb&#10;AQAAtwMAAAAA&#10;">
                  <v:fill on="f" focussize="0,0"/>
                  <v:stroke color="#457BBA" joinstyle="round"/>
                  <v:imagedata o:title=""/>
                  <o:lock v:ext="edit" aspectratio="f"/>
                </v:line>
                <v:shape id="文本框 34" o:spid="_x0000_s1026" o:spt="202" type="#_x0000_t202" style="position:absolute;left:2802;top:4137;height:787;width:2143;"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监管、绩效考</w:t>
                        </w:r>
                        <w:r>
                          <w:rPr>
                            <w:rFonts w:hint="eastAsia" w:ascii="等线" w:hAnsi="Times New Roman" w:eastAsia="等线" w:cs="宋体"/>
                            <w:color w:val="000000"/>
                            <w:kern w:val="24"/>
                            <w:sz w:val="24"/>
                            <w:szCs w:val="24"/>
                            <w:lang w:val="en-US" w:eastAsia="zh-CN" w:bidi="ar-SA"/>
                          </w:rPr>
                          <w:t>核</w:t>
                        </w:r>
                        <w:r>
                          <w:rPr>
                            <w:rFonts w:ascii="等线" w:hAnsi="Times New Roman" w:eastAsia="等线" w:cs="宋体"/>
                            <w:color w:val="000000"/>
                            <w:kern w:val="24"/>
                            <w:sz w:val="24"/>
                            <w:szCs w:val="24"/>
                            <w:lang w:val="en-US" w:eastAsia="zh-CN" w:bidi="ar-SA"/>
                          </w:rPr>
                          <w:t>核、支持、保障</w:t>
                        </w:r>
                      </w:p>
                    </w:txbxContent>
                  </v:textbox>
                </v:shape>
                <v:shape id="文本框 35" o:spid="_x0000_s1026" o:spt="202" type="#_x0000_t202" style="position:absolute;left:2543;top:2079;height:786;width:2478;"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widowControl/>
                          <w:kinsoku/>
                          <w:spacing w:before="0" w:beforeAutospacing="1" w:after="0" w:afterAutospacing="1" w:line="240" w:lineRule="auto"/>
                          <w:ind w:left="0" w:leftChars="0" w:firstLine="0" w:firstLineChars="0"/>
                          <w:jc w:val="left"/>
                          <w:textAlignment w:val="baseline"/>
                          <w:rPr>
                            <w:rFonts w:ascii="宋体" w:hAnsi="宋体" w:eastAsia="宋体" w:cs="宋体"/>
                            <w:kern w:val="0"/>
                            <w:sz w:val="24"/>
                            <w:szCs w:val="24"/>
                            <w:lang w:val="en-US" w:eastAsia="zh-CN" w:bidi="ar-SA"/>
                          </w:rPr>
                        </w:pPr>
                        <w:r>
                          <w:rPr>
                            <w:rFonts w:ascii="等线" w:hAnsi="Times New Roman" w:eastAsia="等线" w:cs="宋体"/>
                            <w:color w:val="000000"/>
                            <w:kern w:val="24"/>
                            <w:sz w:val="24"/>
                            <w:szCs w:val="24"/>
                            <w:lang w:val="en-US" w:eastAsia="zh-CN" w:bidi="ar-SA"/>
                          </w:rPr>
                          <w:t>授权特许经营权</w:t>
                        </w:r>
                      </w:p>
                    </w:txbxContent>
                  </v:textbox>
                </v:shape>
                <w10:wrap type="none"/>
                <w10:anchorlock/>
              </v:group>
            </w:pict>
          </mc:Fallback>
        </mc:AlternateContent>
      </w:r>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1.经</w:t>
      </w:r>
      <w:r>
        <w:rPr>
          <w:rFonts w:hint="eastAsia" w:ascii="Times New Roman" w:hAnsi="Times New Roman" w:eastAsia="宋体" w:cs="Times New Roman"/>
          <w:sz w:val="28"/>
          <w:lang w:val="en-US" w:eastAsia="zh-CN"/>
        </w:rPr>
        <w:t>遂宁市安居区人民政府</w:t>
      </w:r>
      <w:r>
        <w:rPr>
          <w:rFonts w:hint="default" w:ascii="Times New Roman" w:hAnsi="Times New Roman" w:eastAsia="宋体" w:cs="Times New Roman"/>
          <w:sz w:val="28"/>
          <w:lang w:val="en-US" w:eastAsia="zh-CN"/>
        </w:rPr>
        <w:t>授权，</w:t>
      </w:r>
      <w:r>
        <w:rPr>
          <w:rFonts w:hint="eastAsia" w:ascii="Times New Roman" w:hAnsi="Times New Roman" w:eastAsia="宋体" w:cs="Times New Roman"/>
          <w:sz w:val="28"/>
          <w:lang w:val="en-US" w:eastAsia="zh-CN"/>
        </w:rPr>
        <w:t>遂宁市安居区综合行政执法局</w:t>
      </w:r>
      <w:r>
        <w:rPr>
          <w:rFonts w:hint="default" w:ascii="Times New Roman" w:hAnsi="Times New Roman" w:eastAsia="宋体" w:cs="Times New Roman"/>
          <w:sz w:val="28"/>
          <w:lang w:val="en-US" w:eastAsia="zh-CN"/>
        </w:rPr>
        <w:t>作为本项目的具体实施机构，依法依规通过公开</w:t>
      </w:r>
      <w:r>
        <w:rPr>
          <w:rFonts w:hint="eastAsia" w:ascii="Times New Roman" w:hAnsi="Times New Roman" w:eastAsia="宋体" w:cs="Times New Roman"/>
          <w:sz w:val="28"/>
          <w:lang w:val="en-US" w:eastAsia="zh-CN"/>
        </w:rPr>
        <w:t>招投标</w:t>
      </w:r>
      <w:r>
        <w:rPr>
          <w:rFonts w:hint="default" w:ascii="Times New Roman" w:hAnsi="Times New Roman" w:eastAsia="宋体" w:cs="Times New Roman"/>
          <w:sz w:val="28"/>
          <w:lang w:val="en-US" w:eastAsia="zh-CN"/>
        </w:rPr>
        <w:t>方式，确定本项目特许经营期限和范围内的特许经营企业；</w:t>
      </w:r>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2.中标企业与</w:t>
      </w:r>
      <w:r>
        <w:rPr>
          <w:rFonts w:hint="eastAsia" w:ascii="Times New Roman" w:hAnsi="Times New Roman" w:eastAsia="宋体" w:cs="Times New Roman"/>
          <w:sz w:val="28"/>
          <w:lang w:val="en-US" w:eastAsia="zh-CN"/>
        </w:rPr>
        <w:t>遂宁市安居区综合行政执法局</w:t>
      </w:r>
      <w:r>
        <w:rPr>
          <w:rFonts w:hint="default" w:ascii="Times New Roman" w:hAnsi="Times New Roman" w:eastAsia="宋体" w:cs="Times New Roman"/>
          <w:sz w:val="28"/>
          <w:lang w:val="en-US" w:eastAsia="zh-CN"/>
        </w:rPr>
        <w:t>签署《特许经营协议》（下称</w:t>
      </w:r>
      <w:r>
        <w:rPr>
          <w:rFonts w:hint="eastAsia" w:ascii="Times New Roman" w:hAnsi="Times New Roman" w:eastAsia="宋体" w:cs="Times New Roman"/>
          <w:sz w:val="28"/>
          <w:lang w:val="en-US" w:eastAsia="zh-CN"/>
        </w:rPr>
        <w:t>“</w:t>
      </w:r>
      <w:r>
        <w:rPr>
          <w:rFonts w:hint="default" w:ascii="Times New Roman" w:hAnsi="Times New Roman" w:eastAsia="宋体" w:cs="Times New Roman"/>
          <w:sz w:val="28"/>
          <w:lang w:val="en-US" w:eastAsia="zh-CN"/>
        </w:rPr>
        <w:t>特许经营协议</w:t>
      </w:r>
      <w:r>
        <w:rPr>
          <w:rFonts w:hint="eastAsia" w:ascii="Times New Roman" w:hAnsi="Times New Roman" w:eastAsia="宋体" w:cs="Times New Roman"/>
          <w:sz w:val="28"/>
          <w:lang w:val="en-US" w:eastAsia="zh-CN"/>
        </w:rPr>
        <w:t>”</w:t>
      </w:r>
      <w:r>
        <w:rPr>
          <w:rFonts w:hint="default" w:ascii="Times New Roman" w:hAnsi="Times New Roman" w:eastAsia="宋体" w:cs="Times New Roman"/>
          <w:sz w:val="28"/>
          <w:lang w:val="en-US" w:eastAsia="zh-CN"/>
        </w:rPr>
        <w:t>或</w:t>
      </w:r>
      <w:r>
        <w:rPr>
          <w:rFonts w:hint="eastAsia" w:ascii="Times New Roman" w:hAnsi="Times New Roman" w:eastAsia="宋体" w:cs="Times New Roman"/>
          <w:sz w:val="28"/>
          <w:lang w:val="en-US" w:eastAsia="zh-CN"/>
        </w:rPr>
        <w:t>“</w:t>
      </w:r>
      <w:r>
        <w:rPr>
          <w:rFonts w:hint="default" w:ascii="Times New Roman" w:hAnsi="Times New Roman" w:eastAsia="宋体" w:cs="Times New Roman"/>
          <w:sz w:val="28"/>
          <w:lang w:val="en-US" w:eastAsia="zh-CN"/>
        </w:rPr>
        <w:t>协议</w:t>
      </w:r>
      <w:r>
        <w:rPr>
          <w:rFonts w:hint="eastAsia" w:ascii="Times New Roman" w:hAnsi="Times New Roman" w:eastAsia="宋体" w:cs="Times New Roman"/>
          <w:sz w:val="28"/>
          <w:lang w:val="en-US" w:eastAsia="zh-CN"/>
        </w:rPr>
        <w:t>”</w:t>
      </w:r>
      <w:r>
        <w:rPr>
          <w:rFonts w:hint="default" w:ascii="Times New Roman" w:hAnsi="Times New Roman" w:eastAsia="宋体" w:cs="Times New Roman"/>
          <w:sz w:val="28"/>
          <w:lang w:val="en-US" w:eastAsia="zh-CN"/>
        </w:rPr>
        <w:t>），获得本项目的特许经营权；</w:t>
      </w:r>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3.特许经营期内，受让特许经营企业按特许经营合同约定开展相关特许经营活动。特许经营活动应遵守现行相关法律、法规、规章及地方人民政府相关规定，并接受相关行业主管部门依法开展的监督管理工作。</w:t>
      </w:r>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4.特许经营期内，</w:t>
      </w:r>
      <w:r>
        <w:rPr>
          <w:rFonts w:hint="eastAsia" w:ascii="Times New Roman" w:hAnsi="Times New Roman" w:eastAsia="宋体" w:cs="Times New Roman"/>
          <w:sz w:val="28"/>
          <w:lang w:val="en-US" w:eastAsia="zh-CN"/>
        </w:rPr>
        <w:t>遂宁市安居区综合行政执法局</w:t>
      </w:r>
      <w:r>
        <w:rPr>
          <w:rFonts w:hint="default" w:ascii="Times New Roman" w:hAnsi="Times New Roman" w:eastAsia="宋体" w:cs="Times New Roman"/>
          <w:sz w:val="28"/>
          <w:lang w:val="en-US" w:eastAsia="zh-CN"/>
        </w:rPr>
        <w:t>和相关职能部门，依据特许经营协议或合同来对项目运营维护进行监管，并按协议约定开展绩效考核，确保项目实施符合相关标准及特许经营企业按协议履行权责；</w:t>
      </w:r>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5.特许经营期满后，本项目所有资产及特许经营权完好无偿地移交给</w:t>
      </w:r>
      <w:r>
        <w:rPr>
          <w:rFonts w:hint="eastAsia" w:ascii="Times New Roman" w:hAnsi="Times New Roman" w:eastAsia="宋体" w:cs="Times New Roman"/>
          <w:sz w:val="28"/>
          <w:lang w:val="en-US" w:eastAsia="zh-CN"/>
        </w:rPr>
        <w:t>遂宁市安居区综合行政执法局</w:t>
      </w:r>
      <w:r>
        <w:rPr>
          <w:rFonts w:hint="default" w:ascii="Times New Roman" w:hAnsi="Times New Roman" w:eastAsia="宋体" w:cs="Times New Roman"/>
          <w:sz w:val="28"/>
          <w:lang w:val="en-US" w:eastAsia="zh-CN"/>
        </w:rPr>
        <w:t>或其指定机构。</w:t>
      </w:r>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53" w:name="_Toc20003"/>
      <w:r>
        <w:rPr>
          <w:rFonts w:hint="eastAsia" w:ascii="Arial" w:hAnsi="Arial" w:eastAsia="黑体" w:cs="Times New Roman"/>
          <w:b/>
          <w:bCs/>
          <w:kern w:val="2"/>
          <w:sz w:val="32"/>
          <w:szCs w:val="32"/>
          <w:lang w:val="en-US" w:eastAsia="zh-CN" w:bidi="ar-SA"/>
        </w:rPr>
        <w:t>3</w:t>
      </w:r>
      <w:r>
        <w:rPr>
          <w:rFonts w:hint="default" w:ascii="Arial" w:hAnsi="Arial" w:eastAsia="黑体" w:cs="Times New Roman"/>
          <w:b/>
          <w:bCs/>
          <w:kern w:val="2"/>
          <w:sz w:val="32"/>
          <w:szCs w:val="32"/>
          <w:lang w:val="en-US" w:eastAsia="zh-CN" w:bidi="ar-SA"/>
        </w:rPr>
        <w:t>.2</w:t>
      </w:r>
      <w:r>
        <w:rPr>
          <w:rFonts w:hint="eastAsia" w:ascii="Arial" w:hAnsi="Arial" w:eastAsia="黑体" w:cs="Times New Roman"/>
          <w:b/>
          <w:bCs/>
          <w:kern w:val="2"/>
          <w:sz w:val="32"/>
          <w:szCs w:val="32"/>
          <w:lang w:val="en-US" w:eastAsia="zh-CN" w:bidi="ar-SA"/>
        </w:rPr>
        <w:t xml:space="preserve"> </w:t>
      </w:r>
      <w:r>
        <w:rPr>
          <w:rFonts w:hint="default" w:ascii="Arial" w:hAnsi="Arial" w:eastAsia="黑体" w:cs="Times New Roman"/>
          <w:b/>
          <w:bCs/>
          <w:kern w:val="2"/>
          <w:sz w:val="32"/>
          <w:szCs w:val="32"/>
          <w:lang w:val="en-US" w:eastAsia="zh-CN" w:bidi="ar-SA"/>
        </w:rPr>
        <w:t>资产权属</w:t>
      </w:r>
      <w:bookmarkEnd w:id="50"/>
      <w:bookmarkEnd w:id="51"/>
      <w:bookmarkEnd w:id="52"/>
      <w:bookmarkEnd w:id="53"/>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在特许经营期内，特许经营企业享有本项目设施等各类有形及无形资产的经营权（包括使用权、收益权）。</w:t>
      </w:r>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项目特许经营期内，中标企业需通过市场化的方式取得存量资产经营权，经营权价值应以</w:t>
      </w:r>
      <w:r>
        <w:rPr>
          <w:rFonts w:hint="eastAsia" w:ascii="Times New Roman" w:hAnsi="Times New Roman" w:eastAsia="宋体" w:cs="Times New Roman"/>
          <w:sz w:val="28"/>
          <w:lang w:val="en-US" w:eastAsia="zh-CN"/>
        </w:rPr>
        <w:t>遂宁市安居区综合行政执法局</w:t>
      </w:r>
      <w:r>
        <w:rPr>
          <w:rFonts w:hint="default" w:ascii="Times New Roman" w:hAnsi="Times New Roman" w:eastAsia="宋体" w:cs="Times New Roman"/>
          <w:sz w:val="28"/>
          <w:lang w:val="en-US" w:eastAsia="zh-CN"/>
        </w:rPr>
        <w:t>备案的《资产评估报告》的评估值为参考依据，特许经营期结束无偿移交至</w:t>
      </w:r>
      <w:r>
        <w:rPr>
          <w:rFonts w:hint="eastAsia" w:ascii="Times New Roman" w:hAnsi="Times New Roman" w:eastAsia="宋体" w:cs="Times New Roman"/>
          <w:sz w:val="28"/>
          <w:lang w:val="en-US" w:eastAsia="zh-CN"/>
        </w:rPr>
        <w:t>遂宁市安居区综合行政执法局或其</w:t>
      </w:r>
      <w:r>
        <w:rPr>
          <w:rFonts w:hint="eastAsia" w:ascii="Times New Roman" w:hAnsi="Times New Roman" w:eastAsia="宋体" w:cs="Times New Roman"/>
          <w:sz w:val="28"/>
        </w:rPr>
        <w:t>指定机构</w:t>
      </w:r>
      <w:r>
        <w:rPr>
          <w:rFonts w:hint="default" w:ascii="Times New Roman" w:hAnsi="Times New Roman" w:eastAsia="宋体" w:cs="Times New Roman"/>
          <w:sz w:val="28"/>
          <w:lang w:val="en-US" w:eastAsia="zh-CN"/>
        </w:rPr>
        <w:t>。</w:t>
      </w:r>
    </w:p>
    <w:p>
      <w:pPr>
        <w:bidi w:val="0"/>
        <w:spacing w:line="360" w:lineRule="auto"/>
        <w:ind w:firstLine="560" w:firstLineChars="200"/>
        <w:rPr>
          <w:rFonts w:hint="default" w:ascii="Times New Roman" w:hAnsi="Times New Roman" w:eastAsia="宋体" w:cs="Times New Roman"/>
          <w:sz w:val="28"/>
          <w:lang w:val="en-US" w:eastAsia="zh-CN"/>
        </w:rPr>
      </w:pPr>
    </w:p>
    <w:p>
      <w:pPr>
        <w:spacing w:line="360" w:lineRule="auto"/>
        <w:ind w:firstLine="562" w:firstLineChars="200"/>
        <w:rPr>
          <w:rFonts w:hint="default" w:ascii="Times New Roman" w:hAnsi="Times New Roman" w:eastAsia="宋体" w:cs="Times New Roman"/>
          <w:b/>
          <w:bCs w:val="0"/>
          <w:color w:val="auto"/>
          <w:sz w:val="28"/>
        </w:rPr>
      </w:pPr>
      <w:bookmarkStart w:id="54" w:name="_Toc1203"/>
      <w:bookmarkStart w:id="55" w:name="_Toc12741"/>
      <w:bookmarkStart w:id="56" w:name="_Toc31380"/>
    </w:p>
    <w:p>
      <w:pPr>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br w:type="page"/>
      </w:r>
    </w:p>
    <w:p>
      <w:pPr>
        <w:keepNext/>
        <w:keepLines/>
        <w:widowControl w:val="0"/>
        <w:bidi w:val="0"/>
        <w:spacing w:before="300" w:after="300" w:line="300" w:lineRule="auto"/>
        <w:ind w:firstLine="0" w:firstLineChars="0"/>
        <w:jc w:val="center"/>
        <w:outlineLvl w:val="0"/>
        <w:rPr>
          <w:rFonts w:hint="default" w:ascii="Times New Roman" w:hAnsi="Times New Roman" w:eastAsia="黑体" w:cs="Times New Roman"/>
          <w:b/>
          <w:bCs/>
          <w:kern w:val="44"/>
          <w:sz w:val="44"/>
          <w:szCs w:val="44"/>
          <w:lang w:val="en-US" w:eastAsia="zh-CN" w:bidi="ar-SA"/>
        </w:rPr>
      </w:pPr>
      <w:bookmarkStart w:id="57" w:name="_Toc24710"/>
      <w:r>
        <w:rPr>
          <w:rFonts w:hint="default" w:ascii="Times New Roman" w:hAnsi="Times New Roman" w:eastAsia="黑体" w:cs="Times New Roman"/>
          <w:b/>
          <w:bCs/>
          <w:kern w:val="44"/>
          <w:sz w:val="44"/>
          <w:szCs w:val="44"/>
          <w:lang w:val="en-US" w:eastAsia="zh-CN" w:bidi="ar-SA"/>
        </w:rPr>
        <w:t>第</w:t>
      </w:r>
      <w:r>
        <w:rPr>
          <w:rFonts w:hint="eastAsia" w:ascii="Times New Roman" w:hAnsi="Times New Roman" w:eastAsia="黑体" w:cs="Times New Roman"/>
          <w:b/>
          <w:bCs/>
          <w:kern w:val="44"/>
          <w:sz w:val="44"/>
          <w:szCs w:val="44"/>
          <w:lang w:val="en-US" w:eastAsia="zh-CN" w:bidi="ar-SA"/>
        </w:rPr>
        <w:t>四</w:t>
      </w:r>
      <w:r>
        <w:rPr>
          <w:rFonts w:hint="default" w:ascii="Times New Roman" w:hAnsi="Times New Roman" w:eastAsia="黑体" w:cs="Times New Roman"/>
          <w:b/>
          <w:bCs/>
          <w:kern w:val="44"/>
          <w:sz w:val="44"/>
          <w:szCs w:val="44"/>
          <w:lang w:val="en-US" w:eastAsia="zh-CN" w:bidi="ar-SA"/>
        </w:rPr>
        <w:t>章</w:t>
      </w:r>
      <w:r>
        <w:rPr>
          <w:rFonts w:hint="eastAsia" w:ascii="Times New Roman" w:hAnsi="Times New Roman" w:eastAsia="黑体" w:cs="Times New Roman"/>
          <w:b/>
          <w:bCs/>
          <w:kern w:val="44"/>
          <w:sz w:val="44"/>
          <w:szCs w:val="44"/>
          <w:lang w:val="en-US" w:eastAsia="zh-CN" w:bidi="ar-SA"/>
        </w:rPr>
        <w:t xml:space="preserve"> </w:t>
      </w:r>
      <w:r>
        <w:rPr>
          <w:rFonts w:hint="default" w:ascii="Times New Roman" w:hAnsi="Times New Roman" w:eastAsia="黑体" w:cs="Times New Roman"/>
          <w:b/>
          <w:bCs/>
          <w:kern w:val="44"/>
          <w:sz w:val="44"/>
          <w:szCs w:val="44"/>
          <w:lang w:val="en-US" w:eastAsia="zh-CN" w:bidi="ar-SA"/>
        </w:rPr>
        <w:t>项目</w:t>
      </w:r>
      <w:bookmarkEnd w:id="54"/>
      <w:bookmarkEnd w:id="55"/>
      <w:r>
        <w:rPr>
          <w:rFonts w:hint="eastAsia" w:ascii="Times New Roman" w:hAnsi="Times New Roman" w:eastAsia="黑体" w:cs="Times New Roman"/>
          <w:b/>
          <w:bCs/>
          <w:kern w:val="44"/>
          <w:sz w:val="44"/>
          <w:szCs w:val="44"/>
          <w:lang w:val="en-US" w:eastAsia="zh-CN" w:bidi="ar-SA"/>
        </w:rPr>
        <w:t>投资回报</w:t>
      </w:r>
      <w:bookmarkEnd w:id="56"/>
      <w:bookmarkEnd w:id="57"/>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58" w:name="_bookmark45"/>
      <w:bookmarkEnd w:id="58"/>
      <w:bookmarkStart w:id="59" w:name="_bookmark46"/>
      <w:bookmarkEnd w:id="59"/>
      <w:bookmarkStart w:id="60" w:name="_bookmark44"/>
      <w:bookmarkEnd w:id="60"/>
      <w:bookmarkStart w:id="61" w:name="_Toc16768"/>
      <w:bookmarkStart w:id="62" w:name="_Toc16274"/>
      <w:bookmarkStart w:id="63" w:name="_Toc6519"/>
      <w:bookmarkStart w:id="64" w:name="_Toc18173"/>
      <w:r>
        <w:rPr>
          <w:rFonts w:hint="eastAsia" w:ascii="Arial" w:hAnsi="Arial" w:eastAsia="黑体" w:cs="Times New Roman"/>
          <w:b/>
          <w:bCs/>
          <w:kern w:val="2"/>
          <w:sz w:val="32"/>
          <w:szCs w:val="32"/>
          <w:lang w:val="en-US" w:eastAsia="zh-CN" w:bidi="ar-SA"/>
        </w:rPr>
        <w:t>4</w:t>
      </w:r>
      <w:r>
        <w:rPr>
          <w:rFonts w:hint="default" w:ascii="Arial" w:hAnsi="Arial" w:eastAsia="黑体" w:cs="Times New Roman"/>
          <w:b/>
          <w:bCs/>
          <w:kern w:val="2"/>
          <w:sz w:val="32"/>
          <w:szCs w:val="32"/>
          <w:lang w:val="en-US" w:eastAsia="zh-CN" w:bidi="ar-SA"/>
        </w:rPr>
        <w:t>.</w:t>
      </w:r>
      <w:r>
        <w:rPr>
          <w:rFonts w:hint="eastAsia" w:ascii="Arial" w:hAnsi="Arial" w:eastAsia="黑体" w:cs="Times New Roman"/>
          <w:b/>
          <w:bCs/>
          <w:kern w:val="2"/>
          <w:sz w:val="32"/>
          <w:szCs w:val="32"/>
          <w:lang w:val="en-US" w:eastAsia="zh-CN" w:bidi="ar-SA"/>
        </w:rPr>
        <w:t xml:space="preserve">1 </w:t>
      </w:r>
      <w:r>
        <w:rPr>
          <w:rFonts w:hint="default" w:ascii="Arial" w:hAnsi="Arial" w:eastAsia="黑体" w:cs="Times New Roman"/>
          <w:b/>
          <w:bCs/>
          <w:kern w:val="2"/>
          <w:sz w:val="32"/>
          <w:szCs w:val="32"/>
          <w:lang w:val="en-US" w:eastAsia="zh-CN" w:bidi="ar-SA"/>
        </w:rPr>
        <w:t>回报机制</w:t>
      </w:r>
      <w:bookmarkEnd w:id="61"/>
      <w:bookmarkEnd w:id="62"/>
      <w:bookmarkEnd w:id="63"/>
      <w:bookmarkEnd w:id="64"/>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项目回报机制主要是指社会资本取得投资回报的资金来源，一般包括使用者付费、可行性缺口补助和政府付费等方式。中标社会资本负责本项目的运营和维护，开展相应业务回收成本和获取合理收益，政府不对本项目运营进行付费，回报机制为使用者付费。</w:t>
      </w:r>
    </w:p>
    <w:p>
      <w:pPr>
        <w:bidi w:val="0"/>
        <w:spacing w:line="360" w:lineRule="auto"/>
        <w:ind w:firstLine="562" w:firstLineChars="200"/>
        <w:rPr>
          <w:rFonts w:hint="default" w:ascii="Times New Roman" w:hAnsi="Times New Roman" w:eastAsia="宋体" w:cs="Times New Roman"/>
          <w:b/>
          <w:bCs/>
          <w:sz w:val="28"/>
        </w:rPr>
      </w:pPr>
      <w:r>
        <w:rPr>
          <w:rFonts w:hint="default" w:ascii="Times New Roman" w:hAnsi="Times New Roman" w:eastAsia="宋体" w:cs="Times New Roman"/>
          <w:b/>
          <w:bCs/>
          <w:sz w:val="28"/>
        </w:rPr>
        <w:t>1.收入来源</w:t>
      </w:r>
    </w:p>
    <w:p>
      <w:pPr>
        <w:bidi w:val="0"/>
        <w:spacing w:line="360" w:lineRule="auto"/>
        <w:ind w:firstLine="560" w:firstLineChars="200"/>
        <w:rPr>
          <w:rFonts w:hint="eastAsia" w:ascii="Times New Roman" w:hAnsi="Times New Roman" w:eastAsia="宋体" w:cs="Times New Roman"/>
          <w:sz w:val="28"/>
          <w:lang w:val="en-US" w:eastAsia="zh-CN"/>
        </w:rPr>
      </w:pPr>
      <w:r>
        <w:rPr>
          <w:rFonts w:hint="default" w:ascii="Times New Roman" w:hAnsi="Times New Roman" w:eastAsia="宋体" w:cs="Times New Roman"/>
          <w:sz w:val="28"/>
        </w:rPr>
        <w:t>本项目中标单位在特许经营期内享有</w:t>
      </w:r>
      <w:r>
        <w:rPr>
          <w:rFonts w:hint="eastAsia" w:ascii="Times New Roman" w:hAnsi="Times New Roman" w:eastAsia="宋体" w:cs="Times New Roman"/>
          <w:sz w:val="28"/>
          <w:lang w:eastAsia="zh-CN"/>
        </w:rPr>
        <w:t>遂宁市安居区城区智慧停车位项目</w:t>
      </w:r>
      <w:r>
        <w:rPr>
          <w:rFonts w:hint="default" w:ascii="Times New Roman" w:hAnsi="Times New Roman" w:eastAsia="宋体" w:cs="Times New Roman"/>
          <w:sz w:val="28"/>
        </w:rPr>
        <w:t>的经营权，负责停车位的经营活动，项目收入来自特许经营范围内</w:t>
      </w:r>
      <w:r>
        <w:rPr>
          <w:rFonts w:hint="eastAsia" w:ascii="Times New Roman" w:hAnsi="Times New Roman" w:eastAsia="宋体" w:cs="Times New Roman"/>
          <w:sz w:val="28"/>
          <w:lang w:eastAsia="zh-CN"/>
        </w:rPr>
        <w:t>遂宁市安居区城区</w:t>
      </w:r>
      <w:r>
        <w:rPr>
          <w:rFonts w:hint="default" w:ascii="Times New Roman" w:hAnsi="Times New Roman" w:eastAsia="宋体" w:cs="Times New Roman"/>
          <w:sz w:val="28"/>
        </w:rPr>
        <w:t>的</w:t>
      </w:r>
      <w:r>
        <w:rPr>
          <w:rFonts w:hint="default" w:ascii="Times New Roman" w:hAnsi="Times New Roman" w:eastAsia="宋体" w:cs="Times New Roman"/>
          <w:sz w:val="28"/>
          <w:lang w:eastAsia="zh-CN"/>
        </w:rPr>
        <w:t>停车服务收入</w:t>
      </w:r>
      <w:r>
        <w:rPr>
          <w:rFonts w:hint="default" w:ascii="Times New Roman" w:hAnsi="Times New Roman" w:eastAsia="宋体" w:cs="Times New Roman"/>
          <w:sz w:val="28"/>
        </w:rPr>
        <w:t>、充电桩</w:t>
      </w:r>
      <w:r>
        <w:rPr>
          <w:rFonts w:hint="default" w:ascii="Times New Roman" w:hAnsi="Times New Roman" w:eastAsia="宋体" w:cs="Times New Roman"/>
          <w:sz w:val="28"/>
          <w:lang w:val="en-US" w:eastAsia="zh-CN"/>
        </w:rPr>
        <w:t>服务</w:t>
      </w:r>
      <w:r>
        <w:rPr>
          <w:rFonts w:hint="default" w:ascii="Times New Roman" w:hAnsi="Times New Roman" w:eastAsia="宋体" w:cs="Times New Roman"/>
          <w:sz w:val="28"/>
        </w:rPr>
        <w:t>收入</w:t>
      </w:r>
      <w:r>
        <w:rPr>
          <w:rFonts w:hint="eastAsia" w:ascii="Times New Roman" w:hAnsi="Times New Roman" w:eastAsia="宋体" w:cs="Times New Roman"/>
          <w:sz w:val="28"/>
          <w:lang w:eastAsia="zh-CN"/>
        </w:rPr>
        <w:t>。</w:t>
      </w:r>
    </w:p>
    <w:p>
      <w:pPr>
        <w:bidi w:val="0"/>
        <w:spacing w:line="360" w:lineRule="auto"/>
        <w:ind w:firstLine="562" w:firstLineChars="200"/>
        <w:rPr>
          <w:rFonts w:hint="default" w:ascii="Times New Roman" w:hAnsi="Times New Roman" w:eastAsia="宋体" w:cs="Times New Roman"/>
          <w:b/>
          <w:bCs/>
          <w:sz w:val="28"/>
        </w:rPr>
      </w:pPr>
      <w:r>
        <w:rPr>
          <w:rFonts w:hint="default" w:ascii="Times New Roman" w:hAnsi="Times New Roman" w:eastAsia="宋体" w:cs="Times New Roman"/>
          <w:b/>
          <w:bCs/>
          <w:sz w:val="28"/>
        </w:rPr>
        <w:t>2.收入体系</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经营收入=</w:t>
      </w:r>
      <w:r>
        <w:rPr>
          <w:rFonts w:hint="default" w:ascii="Times New Roman" w:hAnsi="Times New Roman" w:eastAsia="宋体" w:cs="Times New Roman"/>
          <w:sz w:val="28"/>
          <w:lang w:eastAsia="zh-CN"/>
        </w:rPr>
        <w:t>停车服务收入</w:t>
      </w:r>
      <w:r>
        <w:rPr>
          <w:rFonts w:hint="default" w:ascii="Times New Roman" w:hAnsi="Times New Roman" w:eastAsia="宋体" w:cs="Times New Roman"/>
          <w:sz w:val="28"/>
        </w:rPr>
        <w:t>+充电桩</w:t>
      </w:r>
      <w:r>
        <w:rPr>
          <w:rFonts w:hint="default" w:ascii="Times New Roman" w:hAnsi="Times New Roman" w:eastAsia="宋体" w:cs="Times New Roman"/>
          <w:sz w:val="28"/>
          <w:lang w:val="en-US" w:eastAsia="zh-CN"/>
        </w:rPr>
        <w:t>服务</w:t>
      </w:r>
      <w:r>
        <w:rPr>
          <w:rFonts w:hint="default" w:ascii="Times New Roman" w:hAnsi="Times New Roman" w:eastAsia="宋体" w:cs="Times New Roman"/>
          <w:sz w:val="28"/>
        </w:rPr>
        <w:t>收入</w:t>
      </w:r>
      <w:r>
        <w:rPr>
          <w:rFonts w:hint="default" w:ascii="Times New Roman" w:hAnsi="Times New Roman" w:eastAsia="宋体" w:cs="Times New Roman"/>
          <w:sz w:val="28"/>
          <w:lang w:eastAsia="zh-CN"/>
        </w:rPr>
        <w:t>，</w:t>
      </w:r>
      <w:r>
        <w:rPr>
          <w:rFonts w:hint="default" w:ascii="Times New Roman" w:hAnsi="Times New Roman" w:eastAsia="宋体" w:cs="Times New Roman"/>
          <w:sz w:val="28"/>
        </w:rPr>
        <w:t>其中：</w:t>
      </w:r>
    </w:p>
    <w:p>
      <w:pPr>
        <w:bidi w:val="0"/>
        <w:spacing w:line="360" w:lineRule="auto"/>
        <w:ind w:firstLine="560" w:firstLineChars="200"/>
        <w:rPr>
          <w:rFonts w:hint="default" w:ascii="Times New Roman" w:hAnsi="Times New Roman" w:eastAsia="宋体" w:cs="Times New Roman"/>
          <w:sz w:val="28"/>
          <w:lang w:val="en-US"/>
        </w:rPr>
      </w:pPr>
      <w:r>
        <w:rPr>
          <w:rFonts w:hint="default" w:ascii="Times New Roman" w:hAnsi="Times New Roman" w:eastAsia="宋体" w:cs="Times New Roman"/>
          <w:sz w:val="28"/>
          <w:lang w:eastAsia="zh-CN"/>
        </w:rPr>
        <w:t>停车服务收入</w:t>
      </w:r>
      <w:r>
        <w:rPr>
          <w:rFonts w:hint="default" w:ascii="Times New Roman" w:hAnsi="Times New Roman" w:eastAsia="宋体" w:cs="Times New Roman"/>
          <w:sz w:val="28"/>
        </w:rPr>
        <w:t>=</w:t>
      </w:r>
      <w:r>
        <w:rPr>
          <w:rFonts w:hint="default" w:ascii="Times New Roman" w:hAnsi="Times New Roman" w:eastAsia="宋体" w:cs="Times New Roman"/>
          <w:sz w:val="28"/>
          <w:lang w:val="en-US" w:eastAsia="zh-CN"/>
        </w:rPr>
        <w:t>数量*收费单价*周转次数*车位使用率</w:t>
      </w:r>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rPr>
        <w:t>充电桩</w:t>
      </w:r>
      <w:r>
        <w:rPr>
          <w:rFonts w:hint="default" w:ascii="Times New Roman" w:hAnsi="Times New Roman" w:eastAsia="宋体" w:cs="Times New Roman"/>
          <w:sz w:val="28"/>
          <w:lang w:val="en-US" w:eastAsia="zh-CN"/>
        </w:rPr>
        <w:t>服务</w:t>
      </w:r>
      <w:r>
        <w:rPr>
          <w:rFonts w:hint="default" w:ascii="Times New Roman" w:hAnsi="Times New Roman" w:eastAsia="宋体" w:cs="Times New Roman"/>
          <w:sz w:val="28"/>
        </w:rPr>
        <w:t>收入=</w:t>
      </w:r>
      <w:r>
        <w:rPr>
          <w:rFonts w:hint="default" w:ascii="Times New Roman" w:hAnsi="Times New Roman" w:eastAsia="宋体" w:cs="Times New Roman"/>
          <w:sz w:val="28"/>
          <w:lang w:val="en-US" w:eastAsia="zh-CN"/>
        </w:rPr>
        <w:t>数量*周转次数*使用率*服务单价*单次充电量</w:t>
      </w:r>
    </w:p>
    <w:p>
      <w:pPr>
        <w:bidi w:val="0"/>
        <w:spacing w:line="360" w:lineRule="auto"/>
        <w:ind w:firstLine="562" w:firstLineChars="200"/>
        <w:rPr>
          <w:rFonts w:hint="default" w:ascii="Times New Roman" w:hAnsi="Times New Roman" w:eastAsia="宋体" w:cs="Times New Roman"/>
          <w:b/>
          <w:bCs/>
          <w:sz w:val="28"/>
        </w:rPr>
      </w:pPr>
      <w:r>
        <w:rPr>
          <w:rFonts w:hint="default" w:ascii="Times New Roman" w:hAnsi="Times New Roman" w:eastAsia="宋体" w:cs="Times New Roman"/>
          <w:b/>
          <w:bCs/>
          <w:sz w:val="28"/>
        </w:rPr>
        <w:t>3.项目产值</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本项目运营期内预计服务总产值</w:t>
      </w:r>
      <w:r>
        <w:rPr>
          <w:rFonts w:hint="eastAsia" w:ascii="Times New Roman" w:hAnsi="Times New Roman" w:eastAsia="宋体" w:cs="Times New Roman"/>
          <w:sz w:val="28"/>
          <w:lang w:val="en-US" w:eastAsia="zh-CN"/>
        </w:rPr>
        <w:t>101905.52</w:t>
      </w:r>
      <w:r>
        <w:rPr>
          <w:rFonts w:hint="default" w:ascii="Times New Roman" w:hAnsi="Times New Roman" w:eastAsia="宋体" w:cs="Times New Roman"/>
          <w:sz w:val="28"/>
        </w:rPr>
        <w:t>万元，年均产值</w:t>
      </w:r>
      <w:r>
        <w:rPr>
          <w:rFonts w:hint="eastAsia" w:ascii="Times New Roman" w:hAnsi="Times New Roman" w:eastAsia="宋体" w:cs="Times New Roman"/>
          <w:sz w:val="28"/>
          <w:lang w:val="en-US" w:eastAsia="zh-CN"/>
        </w:rPr>
        <w:t>3513.98</w:t>
      </w:r>
      <w:r>
        <w:rPr>
          <w:rFonts w:hint="default" w:ascii="Times New Roman" w:hAnsi="Times New Roman" w:eastAsia="宋体" w:cs="Times New Roman"/>
          <w:sz w:val="28"/>
        </w:rPr>
        <w:t>万元。</w:t>
      </w:r>
    </w:p>
    <w:p>
      <w:pPr>
        <w:bidi w:val="0"/>
        <w:spacing w:line="360" w:lineRule="auto"/>
        <w:ind w:firstLine="562" w:firstLineChars="200"/>
        <w:rPr>
          <w:rFonts w:hint="default" w:ascii="Times New Roman" w:hAnsi="Times New Roman" w:eastAsia="宋体" w:cs="Times New Roman"/>
          <w:b/>
          <w:bCs/>
          <w:sz w:val="28"/>
          <w:lang w:eastAsia="zh-CN"/>
        </w:rPr>
      </w:pPr>
      <w:r>
        <w:rPr>
          <w:rFonts w:hint="default" w:ascii="Times New Roman" w:hAnsi="Times New Roman" w:eastAsia="宋体" w:cs="Times New Roman"/>
          <w:b/>
          <w:bCs/>
          <w:sz w:val="28"/>
        </w:rPr>
        <w:t>4.项目</w:t>
      </w:r>
      <w:r>
        <w:rPr>
          <w:rFonts w:hint="default" w:ascii="Times New Roman" w:hAnsi="Times New Roman" w:eastAsia="宋体" w:cs="Times New Roman"/>
          <w:b/>
          <w:bCs/>
          <w:sz w:val="28"/>
          <w:lang w:val="en-US" w:eastAsia="zh-CN"/>
        </w:rPr>
        <w:t>基准收益率</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参考目前已签约类似的项目，结合项目收入、成本等基本参数，遵守</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保本微利</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的基本原则，本项目</w:t>
      </w:r>
      <w:r>
        <w:rPr>
          <w:rFonts w:hint="default" w:ascii="Times New Roman" w:hAnsi="Times New Roman" w:eastAsia="宋体" w:cs="Times New Roman"/>
          <w:sz w:val="28"/>
          <w:lang w:val="en-US" w:eastAsia="zh-CN"/>
        </w:rPr>
        <w:t>基准收益率</w:t>
      </w:r>
      <w:r>
        <w:rPr>
          <w:rFonts w:hint="default" w:ascii="Times New Roman" w:hAnsi="Times New Roman" w:eastAsia="宋体" w:cs="Times New Roman"/>
          <w:sz w:val="28"/>
        </w:rPr>
        <w:t>取</w:t>
      </w:r>
      <w:r>
        <w:rPr>
          <w:rFonts w:hint="default" w:ascii="Times New Roman" w:hAnsi="Times New Roman" w:eastAsia="宋体" w:cs="Times New Roman"/>
          <w:sz w:val="28"/>
          <w:lang w:val="en-US" w:eastAsia="zh-CN"/>
        </w:rPr>
        <w:t>5.</w:t>
      </w:r>
      <w:r>
        <w:rPr>
          <w:rFonts w:hint="eastAsia" w:ascii="Times New Roman" w:hAnsi="Times New Roman" w:eastAsia="宋体" w:cs="Times New Roman"/>
          <w:sz w:val="28"/>
          <w:lang w:val="en-US" w:eastAsia="zh-CN"/>
        </w:rPr>
        <w:t>0</w:t>
      </w:r>
      <w:r>
        <w:rPr>
          <w:rFonts w:hint="default" w:ascii="Times New Roman" w:hAnsi="Times New Roman" w:eastAsia="宋体" w:cs="Times New Roman"/>
          <w:sz w:val="28"/>
          <w:lang w:val="en-US" w:eastAsia="zh-CN"/>
        </w:rPr>
        <w:t>0</w:t>
      </w:r>
      <w:r>
        <w:rPr>
          <w:rFonts w:hint="default" w:ascii="Times New Roman" w:hAnsi="Times New Roman" w:eastAsia="宋体" w:cs="Times New Roman"/>
          <w:sz w:val="28"/>
        </w:rPr>
        <w:t>%。</w:t>
      </w:r>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65" w:name="_bookmark47"/>
      <w:bookmarkEnd w:id="65"/>
      <w:bookmarkStart w:id="66" w:name="_bookmark48"/>
      <w:bookmarkEnd w:id="66"/>
      <w:bookmarkStart w:id="67" w:name="_Toc320"/>
      <w:bookmarkStart w:id="68" w:name="_Toc28208"/>
      <w:bookmarkStart w:id="69" w:name="_Toc32320"/>
      <w:bookmarkStart w:id="70" w:name="_Toc13444"/>
      <w:r>
        <w:rPr>
          <w:rFonts w:hint="eastAsia" w:ascii="Arial" w:hAnsi="Arial" w:eastAsia="黑体" w:cs="Times New Roman"/>
          <w:b/>
          <w:bCs/>
          <w:kern w:val="2"/>
          <w:sz w:val="32"/>
          <w:szCs w:val="32"/>
          <w:lang w:val="en-US" w:eastAsia="zh-CN" w:bidi="ar-SA"/>
        </w:rPr>
        <w:t>4</w:t>
      </w:r>
      <w:r>
        <w:rPr>
          <w:rFonts w:hint="default" w:ascii="Arial" w:hAnsi="Arial" w:eastAsia="黑体" w:cs="Times New Roman"/>
          <w:b/>
          <w:bCs/>
          <w:kern w:val="2"/>
          <w:sz w:val="32"/>
          <w:szCs w:val="32"/>
          <w:lang w:val="en-US" w:eastAsia="zh-CN" w:bidi="ar-SA"/>
        </w:rPr>
        <w:t>.</w:t>
      </w:r>
      <w:r>
        <w:rPr>
          <w:rFonts w:hint="eastAsia" w:ascii="Arial" w:hAnsi="Arial" w:eastAsia="黑体" w:cs="Times New Roman"/>
          <w:b/>
          <w:bCs/>
          <w:kern w:val="2"/>
          <w:sz w:val="32"/>
          <w:szCs w:val="32"/>
          <w:lang w:val="en-US" w:eastAsia="zh-CN" w:bidi="ar-SA"/>
        </w:rPr>
        <w:t xml:space="preserve">2 </w:t>
      </w:r>
      <w:r>
        <w:rPr>
          <w:rFonts w:hint="default" w:ascii="Arial" w:hAnsi="Arial" w:eastAsia="黑体" w:cs="Times New Roman"/>
          <w:b/>
          <w:bCs/>
          <w:kern w:val="2"/>
          <w:sz w:val="32"/>
          <w:szCs w:val="32"/>
          <w:lang w:val="en-US" w:eastAsia="zh-CN" w:bidi="ar-SA"/>
        </w:rPr>
        <w:t>外部配套安排</w:t>
      </w:r>
      <w:bookmarkEnd w:id="67"/>
      <w:bookmarkEnd w:id="68"/>
      <w:bookmarkEnd w:id="69"/>
      <w:bookmarkEnd w:id="70"/>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1.存量资产手续完备：</w:t>
      </w:r>
      <w:r>
        <w:rPr>
          <w:rFonts w:hint="eastAsia" w:ascii="Times New Roman" w:hAnsi="Times New Roman" w:eastAsia="宋体" w:cs="Times New Roman"/>
          <w:sz w:val="28"/>
          <w:lang w:val="en-US" w:eastAsia="zh-CN"/>
        </w:rPr>
        <w:t>遂宁市安居区综合行政执法局</w:t>
      </w:r>
      <w:r>
        <w:rPr>
          <w:rFonts w:hint="default" w:ascii="Times New Roman" w:hAnsi="Times New Roman" w:eastAsia="宋体" w:cs="Times New Roman"/>
          <w:sz w:val="28"/>
        </w:rPr>
        <w:t>及相关部门应对本项目的手续完备性负责，避免因土地使用权、资产权证、债务、担保等权属模糊而与第三方发生法律纠纷。</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2.工作协调与协助：</w:t>
      </w:r>
      <w:r>
        <w:rPr>
          <w:rFonts w:hint="eastAsia" w:ascii="Times New Roman" w:hAnsi="Times New Roman" w:eastAsia="宋体" w:cs="Times New Roman"/>
          <w:sz w:val="28"/>
          <w:lang w:val="en-US" w:eastAsia="zh-CN"/>
        </w:rPr>
        <w:t>遂宁市安居区综合行政执法局</w:t>
      </w:r>
      <w:r>
        <w:rPr>
          <w:rFonts w:hint="default" w:ascii="Times New Roman" w:hAnsi="Times New Roman" w:eastAsia="宋体" w:cs="Times New Roman"/>
          <w:sz w:val="28"/>
        </w:rPr>
        <w:t>及相关部门应提供保障项目正常运营的外部条件，如水、电、通信、交通等。同时，关于运营期间</w:t>
      </w:r>
      <w:r>
        <w:rPr>
          <w:rFonts w:hint="eastAsia" w:ascii="Times New Roman" w:hAnsi="Times New Roman" w:eastAsia="宋体" w:cs="Times New Roman"/>
          <w:sz w:val="28"/>
          <w:lang w:val="en-US" w:eastAsia="zh-CN"/>
        </w:rPr>
        <w:t>停车</w:t>
      </w:r>
      <w:r>
        <w:rPr>
          <w:rFonts w:hint="default" w:ascii="Times New Roman" w:hAnsi="Times New Roman" w:eastAsia="宋体" w:cs="Times New Roman"/>
          <w:sz w:val="28"/>
        </w:rPr>
        <w:t>的可操作性，政府应提供相应的文件支撑，保证中标社会资本方特许经营权的顺利执行。</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3.日常监管：</w:t>
      </w:r>
      <w:r>
        <w:rPr>
          <w:rFonts w:hint="eastAsia" w:ascii="Times New Roman" w:hAnsi="Times New Roman" w:eastAsia="宋体" w:cs="Times New Roman"/>
          <w:sz w:val="28"/>
          <w:lang w:eastAsia="zh-CN"/>
        </w:rPr>
        <w:t>遂宁市安居区综合行政执法局</w:t>
      </w:r>
      <w:r>
        <w:rPr>
          <w:rFonts w:hint="default" w:ascii="Times New Roman" w:hAnsi="Times New Roman" w:eastAsia="宋体" w:cs="Times New Roman"/>
          <w:sz w:val="28"/>
        </w:rPr>
        <w:t>及相关职能部门负责本项目的日常监管。</w:t>
      </w:r>
    </w:p>
    <w:p>
      <w:pPr>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br w:type="page"/>
      </w:r>
    </w:p>
    <w:p>
      <w:pPr>
        <w:keepNext/>
        <w:keepLines/>
        <w:widowControl w:val="0"/>
        <w:numPr>
          <w:ilvl w:val="0"/>
          <w:numId w:val="2"/>
        </w:numPr>
        <w:bidi w:val="0"/>
        <w:spacing w:before="300" w:after="300" w:line="300" w:lineRule="auto"/>
        <w:ind w:firstLine="0" w:firstLineChars="0"/>
        <w:jc w:val="center"/>
        <w:outlineLvl w:val="0"/>
        <w:rPr>
          <w:rFonts w:hint="default" w:ascii="Times New Roman" w:hAnsi="Times New Roman" w:eastAsia="黑体" w:cs="Times New Roman"/>
          <w:b/>
          <w:bCs/>
          <w:kern w:val="44"/>
          <w:sz w:val="40"/>
          <w:szCs w:val="40"/>
          <w:lang w:val="en-US" w:eastAsia="zh-CN" w:bidi="ar-SA"/>
        </w:rPr>
      </w:pPr>
      <w:bookmarkStart w:id="71" w:name="_Toc4980"/>
      <w:bookmarkStart w:id="72" w:name="_Toc23615"/>
      <w:bookmarkStart w:id="73" w:name="_Toc21780"/>
      <w:bookmarkStart w:id="74" w:name="_Toc27570"/>
      <w:bookmarkStart w:id="75" w:name="_Toc31120"/>
      <w:r>
        <w:rPr>
          <w:rFonts w:hint="default" w:ascii="Times New Roman" w:hAnsi="Times New Roman" w:eastAsia="黑体" w:cs="Times New Roman"/>
          <w:b/>
          <w:bCs/>
          <w:kern w:val="44"/>
          <w:sz w:val="40"/>
          <w:szCs w:val="40"/>
          <w:lang w:val="en-US" w:eastAsia="zh-CN" w:bidi="ar-SA"/>
        </w:rPr>
        <w:t>特许经营者应当具备的条件及选择方式</w:t>
      </w:r>
      <w:bookmarkEnd w:id="71"/>
      <w:bookmarkEnd w:id="72"/>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76" w:name="_bookmark82"/>
      <w:bookmarkEnd w:id="76"/>
      <w:bookmarkStart w:id="77" w:name="_bookmark81"/>
      <w:bookmarkEnd w:id="77"/>
      <w:bookmarkStart w:id="78" w:name="_Toc16346"/>
      <w:bookmarkStart w:id="79" w:name="_Toc29205"/>
      <w:bookmarkStart w:id="80" w:name="_Toc25069"/>
      <w:bookmarkStart w:id="81" w:name="_Toc3147"/>
      <w:r>
        <w:rPr>
          <w:rFonts w:hint="eastAsia" w:ascii="Arial" w:hAnsi="Arial" w:eastAsia="黑体" w:cs="Times New Roman"/>
          <w:b/>
          <w:bCs/>
          <w:kern w:val="2"/>
          <w:sz w:val="32"/>
          <w:szCs w:val="32"/>
          <w:lang w:val="en-US" w:eastAsia="zh-CN" w:bidi="ar-SA"/>
        </w:rPr>
        <w:t>5</w:t>
      </w:r>
      <w:r>
        <w:rPr>
          <w:rFonts w:hint="default" w:ascii="Arial" w:hAnsi="Arial" w:eastAsia="黑体" w:cs="Times New Roman"/>
          <w:b/>
          <w:bCs/>
          <w:kern w:val="2"/>
          <w:sz w:val="32"/>
          <w:szCs w:val="32"/>
          <w:lang w:val="en-US" w:eastAsia="zh-CN" w:bidi="ar-SA"/>
        </w:rPr>
        <w:t>.</w:t>
      </w:r>
      <w:r>
        <w:rPr>
          <w:rFonts w:hint="eastAsia" w:ascii="Arial" w:hAnsi="Arial" w:eastAsia="黑体" w:cs="Times New Roman"/>
          <w:b/>
          <w:bCs/>
          <w:kern w:val="2"/>
          <w:sz w:val="32"/>
          <w:szCs w:val="32"/>
          <w:lang w:val="en-US" w:eastAsia="zh-CN" w:bidi="ar-SA"/>
        </w:rPr>
        <w:t xml:space="preserve">1 </w:t>
      </w:r>
      <w:r>
        <w:rPr>
          <w:rFonts w:hint="default" w:ascii="Arial" w:hAnsi="Arial" w:eastAsia="黑体" w:cs="Times New Roman"/>
          <w:b/>
          <w:bCs/>
          <w:kern w:val="2"/>
          <w:sz w:val="32"/>
          <w:szCs w:val="32"/>
          <w:lang w:val="en-US" w:eastAsia="zh-CN" w:bidi="ar-SA"/>
        </w:rPr>
        <w:t>出让办法</w:t>
      </w:r>
      <w:bookmarkEnd w:id="78"/>
      <w:bookmarkEnd w:id="79"/>
      <w:bookmarkEnd w:id="80"/>
      <w:bookmarkEnd w:id="81"/>
    </w:p>
    <w:p>
      <w:pPr>
        <w:bidi w:val="0"/>
        <w:spacing w:line="360" w:lineRule="auto"/>
        <w:ind w:firstLine="560" w:firstLineChars="200"/>
        <w:rPr>
          <w:rFonts w:hint="default" w:ascii="Times New Roman" w:hAnsi="Times New Roman" w:eastAsia="宋体" w:cs="Times New Roman"/>
          <w:sz w:val="28"/>
        </w:rPr>
      </w:pPr>
      <w:bookmarkStart w:id="82" w:name="_bookmark83"/>
      <w:bookmarkEnd w:id="82"/>
      <w:bookmarkStart w:id="83" w:name="_Toc1405"/>
      <w:bookmarkStart w:id="84" w:name="_Toc19009"/>
      <w:bookmarkStart w:id="85" w:name="_Toc24043"/>
      <w:r>
        <w:rPr>
          <w:rFonts w:hint="default" w:ascii="Times New Roman" w:hAnsi="Times New Roman" w:eastAsia="宋体" w:cs="Times New Roman"/>
          <w:sz w:val="28"/>
        </w:rPr>
        <w:t>本项目采用特许经营模式实施，根据《基础设施和公用事业特许经营管理办法》（六部委第25号令）、《中华人民共和国政府采购法实施条例</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政府和社会资本合作项目政府采购管理办法》（财库〔201</w:t>
      </w:r>
      <w:r>
        <w:rPr>
          <w:rFonts w:hint="eastAsia" w:ascii="Times New Roman" w:hAnsi="Times New Roman" w:eastAsia="宋体" w:cs="Times New Roman"/>
          <w:sz w:val="28"/>
          <w:lang w:val="en-US" w:eastAsia="zh-CN"/>
        </w:rPr>
        <w:t>4</w:t>
      </w:r>
      <w:r>
        <w:rPr>
          <w:rFonts w:hint="default" w:ascii="Times New Roman" w:hAnsi="Times New Roman" w:eastAsia="宋体" w:cs="Times New Roman"/>
          <w:sz w:val="28"/>
        </w:rPr>
        <w:t>〕215号）、《财政部关于印发&lt;政府采购竞争性磋商采购方式管理暂行办法&gt;的通知》财库〔201</w:t>
      </w:r>
      <w:r>
        <w:rPr>
          <w:rFonts w:hint="eastAsia" w:ascii="Times New Roman" w:hAnsi="Times New Roman" w:eastAsia="宋体" w:cs="Times New Roman"/>
          <w:sz w:val="28"/>
          <w:lang w:val="en-US" w:eastAsia="zh-CN"/>
        </w:rPr>
        <w:t>4</w:t>
      </w:r>
      <w:r>
        <w:rPr>
          <w:rFonts w:hint="default" w:ascii="Times New Roman" w:hAnsi="Times New Roman" w:eastAsia="宋体" w:cs="Times New Roman"/>
          <w:sz w:val="28"/>
        </w:rPr>
        <w:t>〕214号规定，并结合本项目实际情况，建议采用</w:t>
      </w:r>
      <w:r>
        <w:rPr>
          <w:rFonts w:hint="eastAsia" w:ascii="Times New Roman" w:hAnsi="Times New Roman" w:eastAsia="宋体" w:cs="Times New Roman"/>
          <w:sz w:val="28"/>
          <w:lang w:eastAsia="zh-CN"/>
        </w:rPr>
        <w:t>“</w:t>
      </w:r>
      <w:r>
        <w:rPr>
          <w:rFonts w:hint="eastAsia" w:ascii="Times New Roman" w:hAnsi="Times New Roman" w:eastAsia="宋体" w:cs="Times New Roman"/>
          <w:sz w:val="28"/>
          <w:lang w:val="en-US" w:eastAsia="zh-CN"/>
        </w:rPr>
        <w:t>公开招标</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方式遴选特许经营者。</w:t>
      </w:r>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86" w:name="_Toc1451"/>
      <w:r>
        <w:rPr>
          <w:rFonts w:hint="eastAsia" w:ascii="Arial" w:hAnsi="Arial" w:eastAsia="黑体" w:cs="Times New Roman"/>
          <w:b/>
          <w:bCs/>
          <w:kern w:val="2"/>
          <w:sz w:val="32"/>
          <w:szCs w:val="32"/>
          <w:lang w:val="en-US" w:eastAsia="zh-CN" w:bidi="ar-SA"/>
        </w:rPr>
        <w:t>5</w:t>
      </w:r>
      <w:r>
        <w:rPr>
          <w:rFonts w:hint="default" w:ascii="Arial" w:hAnsi="Arial" w:eastAsia="黑体" w:cs="Times New Roman"/>
          <w:b/>
          <w:bCs/>
          <w:kern w:val="2"/>
          <w:sz w:val="32"/>
          <w:szCs w:val="32"/>
          <w:lang w:val="en-US" w:eastAsia="zh-CN" w:bidi="ar-SA"/>
        </w:rPr>
        <w:t>.</w:t>
      </w:r>
      <w:r>
        <w:rPr>
          <w:rFonts w:hint="eastAsia" w:ascii="Arial" w:hAnsi="Arial" w:eastAsia="黑体" w:cs="Times New Roman"/>
          <w:b/>
          <w:bCs/>
          <w:kern w:val="2"/>
          <w:sz w:val="32"/>
          <w:szCs w:val="32"/>
          <w:lang w:val="en-US" w:eastAsia="zh-CN" w:bidi="ar-SA"/>
        </w:rPr>
        <w:t xml:space="preserve">2 </w:t>
      </w:r>
      <w:r>
        <w:rPr>
          <w:rFonts w:hint="default" w:ascii="Arial" w:hAnsi="Arial" w:eastAsia="黑体" w:cs="Times New Roman"/>
          <w:b/>
          <w:bCs/>
          <w:kern w:val="2"/>
          <w:sz w:val="32"/>
          <w:szCs w:val="32"/>
          <w:lang w:val="en-US" w:eastAsia="zh-CN" w:bidi="ar-SA"/>
        </w:rPr>
        <w:t>社会资本的资格条件</w:t>
      </w:r>
      <w:bookmarkEnd w:id="83"/>
      <w:bookmarkEnd w:id="84"/>
      <w:bookmarkEnd w:id="85"/>
      <w:bookmarkEnd w:id="86"/>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为保证本项目引进的特许经营企业具备履行合同义务的能力，根据相关法律法规和</w:t>
      </w:r>
      <w:r>
        <w:rPr>
          <w:rFonts w:hint="default" w:ascii="Times New Roman" w:hAnsi="Times New Roman" w:eastAsia="宋体" w:cs="Times New Roman"/>
          <w:sz w:val="28"/>
          <w:lang w:eastAsia="zh-CN"/>
        </w:rPr>
        <w:t>《基础设施和公用事业特许经营管理办法》（国家发改委等六部委令第25号）</w:t>
      </w:r>
      <w:r>
        <w:rPr>
          <w:rFonts w:hint="default" w:ascii="Times New Roman" w:hAnsi="Times New Roman" w:eastAsia="宋体" w:cs="Times New Roman"/>
          <w:sz w:val="28"/>
        </w:rPr>
        <w:t>及《四川省市政公用事业特许经营条例》，并结合本项目实际特点，社会资本应满足以下条件（具体以采购文件为准）：</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满足《中华人民共和国政府采购法》第二十二条规定。社会资本参加特许经营项目应当具备下列条件：</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1.具有独立承担民事责任的能力；</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2.具有良好的商业信誉和健全的财务会计制度；</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3.具有履行合同所必需的设备和专业技术能力；</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4.有依法缴纳税收和社会保障资金的良好记录；</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5.在经营活动中没有重大违法记录；</w:t>
      </w:r>
    </w:p>
    <w:p>
      <w:pPr>
        <w:bidi w:val="0"/>
        <w:spacing w:line="360" w:lineRule="auto"/>
        <w:ind w:firstLine="560" w:firstLineChars="200"/>
        <w:rPr>
          <w:rFonts w:hint="eastAsia" w:ascii="Times New Roman" w:hAnsi="Times New Roman" w:eastAsia="宋体" w:cs="Times New Roman"/>
          <w:sz w:val="28"/>
          <w:lang w:eastAsia="zh-CN"/>
        </w:rPr>
      </w:pPr>
      <w:r>
        <w:rPr>
          <w:rFonts w:hint="default" w:ascii="Times New Roman" w:hAnsi="Times New Roman" w:eastAsia="宋体" w:cs="Times New Roman"/>
          <w:sz w:val="28"/>
        </w:rPr>
        <w:t>6.法律、行政法规规定的其他条件</w:t>
      </w:r>
      <w:r>
        <w:rPr>
          <w:rFonts w:hint="eastAsia" w:ascii="Times New Roman" w:hAnsi="Times New Roman" w:eastAsia="宋体" w:cs="Times New Roman"/>
          <w:sz w:val="28"/>
          <w:lang w:eastAsia="zh-CN"/>
        </w:rPr>
        <w:t>。</w:t>
      </w:r>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87" w:name="_bookmark84"/>
      <w:bookmarkEnd w:id="87"/>
      <w:bookmarkStart w:id="88" w:name="_Toc13024"/>
      <w:bookmarkStart w:id="89" w:name="_Toc22093"/>
      <w:bookmarkStart w:id="90" w:name="_Toc24042"/>
      <w:bookmarkStart w:id="91" w:name="_Toc4719"/>
      <w:r>
        <w:rPr>
          <w:rFonts w:hint="eastAsia" w:ascii="Arial" w:hAnsi="Arial" w:eastAsia="黑体" w:cs="Times New Roman"/>
          <w:b/>
          <w:bCs/>
          <w:kern w:val="2"/>
          <w:sz w:val="32"/>
          <w:szCs w:val="32"/>
          <w:lang w:val="en-US" w:eastAsia="zh-CN" w:bidi="ar-SA"/>
        </w:rPr>
        <w:t>5</w:t>
      </w:r>
      <w:r>
        <w:rPr>
          <w:rFonts w:hint="default" w:ascii="Arial" w:hAnsi="Arial" w:eastAsia="黑体" w:cs="Times New Roman"/>
          <w:b/>
          <w:bCs/>
          <w:kern w:val="2"/>
          <w:sz w:val="32"/>
          <w:szCs w:val="32"/>
          <w:lang w:val="en-US" w:eastAsia="zh-CN" w:bidi="ar-SA"/>
        </w:rPr>
        <w:t>.</w:t>
      </w:r>
      <w:bookmarkEnd w:id="88"/>
      <w:r>
        <w:rPr>
          <w:rFonts w:hint="eastAsia" w:ascii="Arial" w:hAnsi="Arial" w:eastAsia="黑体" w:cs="Times New Roman"/>
          <w:b/>
          <w:bCs/>
          <w:kern w:val="2"/>
          <w:sz w:val="32"/>
          <w:szCs w:val="32"/>
          <w:lang w:val="en-US" w:eastAsia="zh-CN" w:bidi="ar-SA"/>
        </w:rPr>
        <w:t xml:space="preserve">3 </w:t>
      </w:r>
      <w:r>
        <w:rPr>
          <w:rFonts w:hint="default" w:ascii="Arial" w:hAnsi="Arial" w:eastAsia="黑体" w:cs="Times New Roman"/>
          <w:b/>
          <w:bCs/>
          <w:kern w:val="2"/>
          <w:sz w:val="32"/>
          <w:szCs w:val="32"/>
          <w:lang w:val="en-US" w:eastAsia="zh-CN" w:bidi="ar-SA"/>
        </w:rPr>
        <w:t>招标标的</w:t>
      </w:r>
      <w:bookmarkEnd w:id="89"/>
      <w:bookmarkEnd w:id="90"/>
      <w:bookmarkEnd w:id="91"/>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本项目由投标社会资本方根据自身情况报出项目建设方案。具体招标条件及评分细则以本项目</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招标文件</w:t>
      </w:r>
      <w:r>
        <w:rPr>
          <w:rFonts w:hint="eastAsia" w:ascii="Times New Roman" w:hAnsi="Times New Roman" w:eastAsia="宋体" w:cs="Times New Roman"/>
          <w:sz w:val="28"/>
          <w:lang w:eastAsia="zh-CN"/>
        </w:rPr>
        <w:t>”</w:t>
      </w:r>
      <w:r>
        <w:rPr>
          <w:rFonts w:hint="default" w:ascii="Times New Roman" w:hAnsi="Times New Roman" w:eastAsia="宋体" w:cs="Times New Roman"/>
          <w:sz w:val="28"/>
        </w:rPr>
        <w:t>为准。</w:t>
      </w:r>
    </w:p>
    <w:bookmarkEnd w:id="73"/>
    <w:bookmarkEnd w:id="74"/>
    <w:bookmarkEnd w:id="75"/>
    <w:p>
      <w:pPr>
        <w:spacing w:line="360" w:lineRule="auto"/>
        <w:ind w:firstLine="562" w:firstLineChars="200"/>
        <w:rPr>
          <w:rFonts w:hint="eastAsia" w:ascii="Times New Roman" w:hAnsi="Times New Roman" w:eastAsia="宋体" w:cs="Times New Roman"/>
          <w:b/>
          <w:bCs w:val="0"/>
          <w:color w:val="auto"/>
          <w:sz w:val="28"/>
          <w:lang w:val="en-US" w:eastAsia="zh-CN"/>
        </w:rPr>
      </w:pPr>
      <w:bookmarkStart w:id="92" w:name="_Toc19623"/>
    </w:p>
    <w:p>
      <w:pPr>
        <w:spacing w:line="360" w:lineRule="auto"/>
        <w:ind w:firstLine="560" w:firstLineChars="200"/>
        <w:rPr>
          <w:rFonts w:hint="eastAsia" w:ascii="Times New Roman" w:hAnsi="Times New Roman" w:eastAsia="宋体" w:cs="Times New Roman"/>
          <w:sz w:val="28"/>
          <w:lang w:val="en-US" w:eastAsia="zh-CN"/>
        </w:rPr>
      </w:pPr>
      <w:r>
        <w:rPr>
          <w:rFonts w:hint="eastAsia" w:ascii="Times New Roman" w:hAnsi="Times New Roman" w:eastAsia="宋体" w:cs="Times New Roman"/>
          <w:sz w:val="28"/>
          <w:lang w:val="en-US" w:eastAsia="zh-CN"/>
        </w:rPr>
        <w:br w:type="page"/>
      </w:r>
    </w:p>
    <w:p>
      <w:pPr>
        <w:keepNext/>
        <w:keepLines/>
        <w:widowControl w:val="0"/>
        <w:bidi w:val="0"/>
        <w:spacing w:before="300" w:after="300" w:line="300" w:lineRule="auto"/>
        <w:ind w:firstLine="0" w:firstLineChars="0"/>
        <w:jc w:val="center"/>
        <w:outlineLvl w:val="0"/>
        <w:rPr>
          <w:rFonts w:hint="default" w:ascii="Times New Roman" w:hAnsi="Times New Roman" w:eastAsia="黑体" w:cs="Times New Roman"/>
          <w:b/>
          <w:bCs/>
          <w:kern w:val="44"/>
          <w:sz w:val="44"/>
          <w:szCs w:val="44"/>
          <w:lang w:val="en-US" w:eastAsia="zh-CN" w:bidi="ar-SA"/>
        </w:rPr>
      </w:pPr>
      <w:bookmarkStart w:id="93" w:name="_Toc30676"/>
      <w:r>
        <w:rPr>
          <w:rFonts w:hint="eastAsia" w:ascii="Times New Roman" w:hAnsi="Times New Roman" w:eastAsia="黑体" w:cs="Times New Roman"/>
          <w:b/>
          <w:bCs/>
          <w:kern w:val="44"/>
          <w:sz w:val="44"/>
          <w:szCs w:val="44"/>
          <w:lang w:val="en-US" w:eastAsia="zh-CN" w:bidi="ar-SA"/>
        </w:rPr>
        <w:t>第六章 绩效考核</w:t>
      </w:r>
      <w:bookmarkEnd w:id="92"/>
      <w:bookmarkEnd w:id="93"/>
    </w:p>
    <w:p>
      <w:pPr>
        <w:widowControl w:val="0"/>
        <w:bidi w:val="0"/>
        <w:spacing w:before="200" w:after="200" w:line="300" w:lineRule="auto"/>
        <w:ind w:firstLine="0" w:firstLineChars="0"/>
        <w:jc w:val="both"/>
        <w:outlineLvl w:val="1"/>
        <w:rPr>
          <w:rFonts w:hint="eastAsia" w:ascii="Arial" w:hAnsi="Arial" w:eastAsia="黑体" w:cs="Times New Roman"/>
          <w:b/>
          <w:bCs/>
          <w:kern w:val="2"/>
          <w:sz w:val="32"/>
          <w:szCs w:val="32"/>
          <w:lang w:val="en-US" w:eastAsia="zh-CN" w:bidi="ar-SA"/>
        </w:rPr>
      </w:pPr>
      <w:bookmarkStart w:id="94" w:name="_Toc23268"/>
      <w:bookmarkStart w:id="95" w:name="_Toc28437"/>
      <w:r>
        <w:rPr>
          <w:rFonts w:hint="eastAsia" w:ascii="Arial" w:hAnsi="Arial" w:eastAsia="黑体" w:cs="Times New Roman"/>
          <w:b/>
          <w:bCs/>
          <w:kern w:val="2"/>
          <w:sz w:val="32"/>
          <w:szCs w:val="32"/>
          <w:lang w:val="en-US" w:eastAsia="zh-CN" w:bidi="ar-SA"/>
        </w:rPr>
        <w:t>6.1 绩效考核原则</w:t>
      </w:r>
      <w:bookmarkEnd w:id="94"/>
      <w:bookmarkEnd w:id="95"/>
    </w:p>
    <w:p>
      <w:pPr>
        <w:bidi w:val="0"/>
        <w:spacing w:line="360" w:lineRule="auto"/>
        <w:ind w:firstLine="560" w:firstLineChars="200"/>
        <w:rPr>
          <w:rFonts w:hint="default" w:ascii="Times New Roman" w:hAnsi="Times New Roman" w:eastAsia="宋体" w:cs="Times New Roman"/>
          <w:sz w:val="28"/>
          <w:lang w:val="en-US" w:eastAsia="zh-CN"/>
        </w:rPr>
      </w:pPr>
      <w:r>
        <w:rPr>
          <w:rFonts w:hint="default" w:ascii="Times New Roman" w:hAnsi="Times New Roman" w:eastAsia="宋体" w:cs="Times New Roman"/>
          <w:sz w:val="28"/>
          <w:lang w:val="en-US" w:eastAsia="zh-CN"/>
        </w:rPr>
        <w:t>绩效考核应遵循</w:t>
      </w:r>
      <w:r>
        <w:rPr>
          <w:rFonts w:hint="eastAsia" w:ascii="Times New Roman" w:hAnsi="Times New Roman" w:eastAsia="宋体" w:cs="Times New Roman"/>
          <w:sz w:val="28"/>
          <w:lang w:val="en-US" w:eastAsia="zh-CN"/>
        </w:rPr>
        <w:t>“</w:t>
      </w:r>
      <w:r>
        <w:rPr>
          <w:rFonts w:hint="default" w:ascii="Times New Roman" w:hAnsi="Times New Roman" w:eastAsia="宋体" w:cs="Times New Roman"/>
          <w:sz w:val="28"/>
          <w:lang w:val="en-US" w:eastAsia="zh-CN"/>
        </w:rPr>
        <w:t>客观、公正、公开、适度</w:t>
      </w:r>
      <w:r>
        <w:rPr>
          <w:rFonts w:hint="eastAsia" w:ascii="Times New Roman" w:hAnsi="Times New Roman" w:eastAsia="宋体" w:cs="Times New Roman"/>
          <w:sz w:val="28"/>
          <w:lang w:val="en-US" w:eastAsia="zh-CN"/>
        </w:rPr>
        <w:t>”</w:t>
      </w:r>
      <w:r>
        <w:rPr>
          <w:rFonts w:hint="default" w:ascii="Times New Roman" w:hAnsi="Times New Roman" w:eastAsia="宋体" w:cs="Times New Roman"/>
          <w:sz w:val="28"/>
          <w:lang w:val="en-US" w:eastAsia="zh-CN"/>
        </w:rPr>
        <w:t>的原则，将绩效评价结果作为本项目奖惩措施实施、合作期限等重要内容调整的依据，保证公共利益最大化</w:t>
      </w:r>
      <w:r>
        <w:rPr>
          <w:rFonts w:hint="eastAsia" w:ascii="Times New Roman" w:hAnsi="Times New Roman" w:eastAsia="宋体" w:cs="Times New Roman"/>
          <w:sz w:val="28"/>
          <w:lang w:val="en-US" w:eastAsia="zh-CN"/>
        </w:rPr>
        <w:t>。</w:t>
      </w:r>
    </w:p>
    <w:p>
      <w:pPr>
        <w:widowControl w:val="0"/>
        <w:bidi w:val="0"/>
        <w:spacing w:before="200" w:after="200" w:line="300" w:lineRule="auto"/>
        <w:ind w:firstLine="0" w:firstLineChars="0"/>
        <w:jc w:val="both"/>
        <w:outlineLvl w:val="1"/>
        <w:rPr>
          <w:rFonts w:hint="default" w:ascii="Arial" w:hAnsi="Arial" w:eastAsia="黑体" w:cs="Times New Roman"/>
          <w:b/>
          <w:bCs/>
          <w:kern w:val="2"/>
          <w:sz w:val="32"/>
          <w:szCs w:val="32"/>
          <w:lang w:val="en-US" w:eastAsia="zh-CN" w:bidi="ar-SA"/>
        </w:rPr>
      </w:pPr>
      <w:bookmarkStart w:id="96" w:name="_Toc27883"/>
      <w:bookmarkStart w:id="97" w:name="_Toc29579"/>
      <w:r>
        <w:rPr>
          <w:rFonts w:hint="eastAsia" w:ascii="Arial" w:hAnsi="Arial" w:eastAsia="黑体" w:cs="Times New Roman"/>
          <w:b/>
          <w:bCs/>
          <w:kern w:val="2"/>
          <w:sz w:val="32"/>
          <w:szCs w:val="32"/>
          <w:lang w:val="en-US" w:eastAsia="zh-CN" w:bidi="ar-SA"/>
        </w:rPr>
        <w:t>6</w:t>
      </w:r>
      <w:r>
        <w:rPr>
          <w:rFonts w:hint="default" w:ascii="Arial" w:hAnsi="Arial" w:eastAsia="黑体" w:cs="Times New Roman"/>
          <w:b/>
          <w:bCs/>
          <w:kern w:val="2"/>
          <w:sz w:val="32"/>
          <w:szCs w:val="32"/>
          <w:lang w:val="en-US" w:eastAsia="zh-CN" w:bidi="ar-SA"/>
        </w:rPr>
        <w:t>.</w:t>
      </w:r>
      <w:r>
        <w:rPr>
          <w:rFonts w:hint="eastAsia" w:ascii="Arial" w:hAnsi="Arial" w:eastAsia="黑体" w:cs="Times New Roman"/>
          <w:b/>
          <w:bCs/>
          <w:kern w:val="2"/>
          <w:sz w:val="32"/>
          <w:szCs w:val="32"/>
          <w:lang w:val="en-US" w:eastAsia="zh-CN" w:bidi="ar-SA"/>
        </w:rPr>
        <w:t xml:space="preserve">2 </w:t>
      </w:r>
      <w:r>
        <w:rPr>
          <w:rFonts w:hint="default" w:ascii="Arial" w:hAnsi="Arial" w:eastAsia="黑体" w:cs="Times New Roman"/>
          <w:b/>
          <w:bCs/>
          <w:kern w:val="2"/>
          <w:sz w:val="32"/>
          <w:szCs w:val="32"/>
          <w:lang w:val="en-US" w:eastAsia="zh-CN" w:bidi="ar-SA"/>
        </w:rPr>
        <w:t>绩效考核机制</w:t>
      </w:r>
      <w:bookmarkEnd w:id="96"/>
      <w:bookmarkEnd w:id="97"/>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为保证本项目运营符合行业标准，增强政府对本项目的监管，建立特许经营绩效考核机制，制定考核细则。</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在特许经营期内，本项目考核主要针对社会资本对本项目</w:t>
      </w:r>
      <w:r>
        <w:rPr>
          <w:rFonts w:hint="eastAsia" w:ascii="Times New Roman" w:hAnsi="Times New Roman" w:eastAsia="宋体" w:cs="Times New Roman"/>
          <w:sz w:val="28"/>
          <w:lang w:eastAsia="zh-CN"/>
        </w:rPr>
        <w:t>停车位</w:t>
      </w:r>
      <w:r>
        <w:rPr>
          <w:rFonts w:hint="default" w:ascii="Times New Roman" w:hAnsi="Times New Roman" w:eastAsia="宋体" w:cs="Times New Roman"/>
          <w:sz w:val="28"/>
        </w:rPr>
        <w:t>的运营维护情况分别进行监督检查，考核内容包含但不限于：运营管理、维护管理、安全文明生产管理、技术档案管理、社会责任等方面。考核组织、内容、指标、程序等内容在特许经营协议中具体明确。</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（1）绩效评价主体</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项目绩效评价主体为实施机构，项目涉及的政府管理单位为绩效评价成员单位，由实施机构牵头，统一监管项目运营、移交等工作的绩效评价。绩效评价主体应根据《特许经营协议》约定，监督项目公司履行合同义务，定期检测项目产出绩效指标。</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（2）绩效评价周期</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运营期内，绩效评价主体依据《特许经营协议》对项目公司运营维护服务质量进行评价，每个评价周期设定为1年。每个评价周期内绩效评价主体对项目公司运营维护服务质量进行评价.</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①常规绩效评价</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每个评价周期内，进行常规绩效评价一次。绩效评价主体需提前5个工作日通知项目公司开始评价的时间，项目公司应全力配合绩效评价小组对项目运营维护服务工作进行检查。</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②临时绩效评价</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每个评价周期内，临时绩效评价次数由绩效评价主体自行决定，但每月最多可进行一次。绩效评价主体可以随时自行评价项目公司的运营维护服务质量，如发现缺陷，则需在24小时内以书面形式通知项目公司，项目公司在接到实施机构的书面通知后，如该缺陷影响本项目正常供给，则项目公司应在24小时内修复缺陷，如该缺陷不影响正常供给，应在30日内修复缺陷。</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无论是常规绩效评价还是临时绩效评价，项目公司皆应及时修复缺陷，否则实施机构可根据《特许经营协议》相关约定兑取项目公司提交的运维履约担保项下的相应金额。</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（3）绩效评价分数</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常规绩效评价满分为100分，常规绩效评价分数占当期评价分数的权重为90%，每次临时绩效评价满分为100分，临时绩效评价平均分数占当期绩效评价分数的权重为10%，常规绩效评价分数与临时绩效评价分数的加权值为当期绩效评价最终分数。</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具体评价得分按下式计算：Pa=Pb×90%+Pc÷n×10%，</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式中：</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Pa，当期绩效评价得分：</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Pb，当期常规绩效评价得分；</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Pc，当期全部临时绩效评价汇总得分：</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n，当期临时评价次数。</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注：若n为零时，绩效评价得分公式为Pa=Pb；</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（4）绩效评价结果处理</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项目运营期评价结果与运营期履约担保扣减系数K挂钩。</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运营期履约担保扣减系数的确定如下：</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100分≥运营期请效评价得分≥85分，运营期履约担保扣减系数为K=0；85分〉运营期绩效评价得分≥60分，运营期履约担保扣减系数按下式计算：</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K2=（85－运营期绩效评价得分）×0.01。</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运营期评价总得分＜60分，运营期履约担保扣减系数为1。</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项目公司连续三次绩效评价或累计五次绩效评价得分均低于60分的情况下，甲方有权自行或委托第三方介入项目运营工作并向项目公司提出终止《特许经营协议》。</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（5）绩效评价应用</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本项目绩效评价结果将直接影响项目公司履约担保的扣减，具体公式为：当期运维履约担保扣减额=运维履约担保额×当期运维履约担保扣减系数K。</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（6）绩效评价指标</w:t>
      </w:r>
    </w:p>
    <w:p>
      <w:pPr>
        <w:bidi w:val="0"/>
        <w:spacing w:line="360" w:lineRule="auto"/>
        <w:ind w:firstLine="560" w:firstLineChars="200"/>
        <w:rPr>
          <w:rFonts w:hint="default" w:ascii="Times New Roman" w:hAnsi="Times New Roman" w:eastAsia="宋体" w:cs="Times New Roman"/>
          <w:sz w:val="28"/>
        </w:rPr>
      </w:pPr>
      <w:r>
        <w:rPr>
          <w:rFonts w:hint="default" w:ascii="Times New Roman" w:hAnsi="Times New Roman" w:eastAsia="宋体" w:cs="Times New Roman"/>
          <w:sz w:val="28"/>
        </w:rPr>
        <w:t>具体绩效评价指标详见下表。</w:t>
      </w:r>
    </w:p>
    <w:p>
      <w:pPr>
        <w:bidi w:val="0"/>
        <w:spacing w:line="360" w:lineRule="auto"/>
        <w:ind w:firstLine="560" w:firstLineChars="200"/>
        <w:rPr>
          <w:rFonts w:hint="default" w:ascii="Times New Roman" w:hAnsi="Times New Roman" w:eastAsia="宋体" w:cs="Times New Roman"/>
          <w:sz w:val="28"/>
        </w:rPr>
      </w:pPr>
    </w:p>
    <w:p>
      <w:pPr>
        <w:bidi w:val="0"/>
        <w:rPr>
          <w:rFonts w:hint="default"/>
        </w:rPr>
        <w:sectPr>
          <w:footerReference r:id="rId10" w:type="default"/>
          <w:pgSz w:w="11906" w:h="16838"/>
          <w:pgMar w:top="1440" w:right="1797" w:bottom="1440" w:left="1797" w:header="851" w:footer="992" w:gutter="0"/>
          <w:pgNumType w:start="1"/>
          <w:cols w:space="425" w:num="1"/>
          <w:docGrid w:type="lines" w:linePitch="312" w:charSpace="0"/>
        </w:sectPr>
      </w:pPr>
    </w:p>
    <w:p>
      <w:pPr>
        <w:kinsoku/>
        <w:topLinePunct/>
        <w:spacing w:line="360" w:lineRule="auto"/>
        <w:ind w:right="-95" w:rightChars="-44" w:firstLine="412" w:firstLineChars="200"/>
        <w:jc w:val="center"/>
        <w:rPr>
          <w:rFonts w:hint="default" w:ascii="Times New Roman" w:hAnsi="Times New Roman" w:eastAsia="宋体" w:cs="Times New Roman"/>
          <w:b/>
          <w:bCs/>
          <w:color w:val="auto"/>
          <w:spacing w:val="-20"/>
          <w:sz w:val="24"/>
          <w:szCs w:val="24"/>
        </w:rPr>
      </w:pPr>
      <w:r>
        <w:rPr>
          <w:rFonts w:hint="default" w:ascii="Times New Roman" w:hAnsi="Times New Roman" w:eastAsia="宋体" w:cs="Times New Roman"/>
          <w:b/>
          <w:bCs/>
          <w:color w:val="auto"/>
          <w:spacing w:val="-20"/>
          <w:sz w:val="24"/>
          <w:szCs w:val="24"/>
          <w:lang w:val="en-US" w:eastAsia="zh-CN"/>
        </w:rPr>
        <w:t>表</w:t>
      </w:r>
      <w:r>
        <w:rPr>
          <w:rFonts w:hint="eastAsia" w:ascii="Times New Roman" w:hAnsi="Times New Roman" w:eastAsia="宋体" w:cs="Times New Roman"/>
          <w:b/>
          <w:bCs/>
          <w:color w:val="auto"/>
          <w:spacing w:val="-20"/>
          <w:sz w:val="24"/>
          <w:szCs w:val="24"/>
          <w:lang w:val="en-US" w:eastAsia="zh-CN"/>
        </w:rPr>
        <w:t>6</w:t>
      </w:r>
      <w:r>
        <w:rPr>
          <w:rFonts w:hint="default" w:ascii="Times New Roman" w:hAnsi="Times New Roman" w:eastAsia="宋体" w:cs="Times New Roman"/>
          <w:b/>
          <w:bCs/>
          <w:color w:val="auto"/>
          <w:spacing w:val="-20"/>
          <w:sz w:val="24"/>
          <w:szCs w:val="24"/>
          <w:lang w:val="en-US" w:eastAsia="zh-CN"/>
        </w:rPr>
        <w:t>-</w:t>
      </w:r>
      <w:r>
        <w:rPr>
          <w:rFonts w:hint="eastAsia" w:ascii="Times New Roman" w:hAnsi="Times New Roman" w:eastAsia="宋体" w:cs="Times New Roman"/>
          <w:b/>
          <w:bCs/>
          <w:color w:val="auto"/>
          <w:spacing w:val="-20"/>
          <w:sz w:val="24"/>
          <w:szCs w:val="24"/>
          <w:lang w:val="en-US" w:eastAsia="zh-CN"/>
        </w:rPr>
        <w:t xml:space="preserve">1 </w:t>
      </w:r>
      <w:r>
        <w:rPr>
          <w:rFonts w:hint="eastAsia" w:ascii="Times New Roman" w:hAnsi="Times New Roman" w:eastAsia="宋体" w:cs="Times New Roman"/>
          <w:b/>
          <w:bCs/>
          <w:color w:val="auto"/>
          <w:spacing w:val="-20"/>
          <w:sz w:val="24"/>
          <w:szCs w:val="24"/>
          <w:lang w:eastAsia="zh-CN"/>
        </w:rPr>
        <w:t>遂宁市安居区城区智慧停车位项目</w:t>
      </w:r>
      <w:r>
        <w:rPr>
          <w:rFonts w:hint="default" w:ascii="Times New Roman" w:hAnsi="Times New Roman" w:eastAsia="宋体" w:cs="Times New Roman"/>
          <w:b/>
          <w:bCs/>
          <w:color w:val="auto"/>
          <w:spacing w:val="-20"/>
          <w:sz w:val="24"/>
          <w:szCs w:val="24"/>
        </w:rPr>
        <w:t>绩效评价指标表</w:t>
      </w:r>
    </w:p>
    <w:tbl>
      <w:tblPr>
        <w:tblStyle w:val="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341"/>
        <w:gridCol w:w="436"/>
        <w:gridCol w:w="319"/>
        <w:gridCol w:w="678"/>
        <w:gridCol w:w="500"/>
        <w:gridCol w:w="1313"/>
        <w:gridCol w:w="407"/>
        <w:gridCol w:w="5900"/>
        <w:gridCol w:w="3153"/>
        <w:gridCol w:w="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181"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一级</w:t>
            </w:r>
            <w:r>
              <w:rPr>
                <w:rFonts w:hint="default" w:ascii="Times New Roman" w:hAnsi="Times New Roman" w:eastAsia="宋体" w:cs="Times New Roman"/>
                <w:b/>
                <w:bCs/>
                <w:color w:val="auto"/>
                <w:sz w:val="18"/>
                <w:szCs w:val="18"/>
                <w:lang w:bidi="ar"/>
              </w:rPr>
              <w:br w:type="textWrapping"/>
            </w:r>
            <w:r>
              <w:rPr>
                <w:rFonts w:hint="default" w:ascii="Times New Roman" w:hAnsi="Times New Roman" w:eastAsia="宋体" w:cs="Times New Roman"/>
                <w:b/>
                <w:bCs/>
                <w:color w:val="auto"/>
                <w:sz w:val="18"/>
                <w:szCs w:val="18"/>
                <w:lang w:bidi="ar"/>
              </w:rPr>
              <w:t>指标</w:t>
            </w:r>
          </w:p>
        </w:tc>
        <w:tc>
          <w:tcPr>
            <w:tcW w:w="122"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分值</w:t>
            </w:r>
          </w:p>
        </w:tc>
        <w:tc>
          <w:tcPr>
            <w:tcW w:w="156"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二级</w:t>
            </w:r>
            <w:r>
              <w:rPr>
                <w:rFonts w:hint="default" w:ascii="Times New Roman" w:hAnsi="Times New Roman" w:eastAsia="宋体" w:cs="Times New Roman"/>
                <w:b/>
                <w:bCs/>
                <w:color w:val="auto"/>
                <w:sz w:val="18"/>
                <w:szCs w:val="18"/>
                <w:lang w:bidi="ar"/>
              </w:rPr>
              <w:br w:type="textWrapping"/>
            </w:r>
            <w:r>
              <w:rPr>
                <w:rFonts w:hint="default" w:ascii="Times New Roman" w:hAnsi="Times New Roman" w:eastAsia="宋体" w:cs="Times New Roman"/>
                <w:b/>
                <w:bCs/>
                <w:color w:val="auto"/>
                <w:sz w:val="18"/>
                <w:szCs w:val="18"/>
                <w:lang w:bidi="ar"/>
              </w:rPr>
              <w:t>指标</w:t>
            </w:r>
          </w:p>
        </w:tc>
        <w:tc>
          <w:tcPr>
            <w:tcW w:w="114"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分值</w:t>
            </w:r>
          </w:p>
        </w:tc>
        <w:tc>
          <w:tcPr>
            <w:tcW w:w="242"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三级指标</w:t>
            </w:r>
          </w:p>
        </w:tc>
        <w:tc>
          <w:tcPr>
            <w:tcW w:w="178"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分值</w:t>
            </w:r>
          </w:p>
        </w:tc>
        <w:tc>
          <w:tcPr>
            <w:tcW w:w="469"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四级指标</w:t>
            </w:r>
          </w:p>
        </w:tc>
        <w:tc>
          <w:tcPr>
            <w:tcW w:w="145"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分值</w:t>
            </w:r>
          </w:p>
        </w:tc>
        <w:tc>
          <w:tcPr>
            <w:tcW w:w="2111"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指标说明/评价要点</w:t>
            </w:r>
          </w:p>
        </w:tc>
        <w:tc>
          <w:tcPr>
            <w:tcW w:w="1128"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计分方式</w:t>
            </w:r>
          </w:p>
        </w:tc>
        <w:tc>
          <w:tcPr>
            <w:tcW w:w="149" w:type="pct"/>
            <w:shd w:val="clear" w:color="auto" w:fill="BEBEBE"/>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评价得分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181"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决策</w:t>
            </w:r>
          </w:p>
        </w:tc>
        <w:tc>
          <w:tcPr>
            <w:tcW w:w="12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20</w:t>
            </w:r>
          </w:p>
        </w:tc>
        <w:tc>
          <w:tcPr>
            <w:tcW w:w="156"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项目立项</w:t>
            </w:r>
          </w:p>
        </w:tc>
        <w:tc>
          <w:tcPr>
            <w:tcW w:w="114"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8</w:t>
            </w: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立项依据充分性</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依据充分</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（1）项目是否符合国家相关法律法规、国民经济发展规划和党委政府决策；</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（2）项目是否有效缓解供需矛盾，弥补对有效需求的供应不足；</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（3）项目是否为促进事业发展所必需。</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满足其中一项得2分。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论证充分</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（1）项目实施的必要性、急迫性；</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（2）项目的技术可行性：项目技术线路/选型/方案/措施选择以及选址、规模等合理可行；</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（3）项目经济可行性：项目成本造价合理，资金来源有保障；</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（4）项目预期产出数量、质量、时效符合正常水平。</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每项0.5分。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立项程序规范性</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程序规范</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（1）项目是否符合申报条件；</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（2）项目申报、设立程序符合相关规定，是否通过</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一事一议</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等问需于民的方式，确定项目建设内容、建设方式、筹资筹劳及管护制度，相关手续完善。</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每项1分。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内容规范</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所提交的文件、材料是否符合相关要求，内容规范完整，包括立项申请、概预算、</w:t>
            </w:r>
            <w:r>
              <w:rPr>
                <w:rFonts w:hint="eastAsia" w:ascii="Times New Roman" w:hAnsi="Times New Roman" w:eastAsia="宋体" w:cs="Times New Roman"/>
                <w:color w:val="auto"/>
                <w:sz w:val="18"/>
                <w:szCs w:val="18"/>
                <w:lang w:eastAsia="zh-CN" w:bidi="ar"/>
              </w:rPr>
              <w:t>出让方案</w:t>
            </w:r>
            <w:r>
              <w:rPr>
                <w:rFonts w:hint="default" w:ascii="Times New Roman" w:hAnsi="Times New Roman" w:eastAsia="宋体" w:cs="Times New Roman"/>
                <w:color w:val="auto"/>
                <w:sz w:val="18"/>
                <w:szCs w:val="18"/>
                <w:lang w:bidi="ar"/>
              </w:rPr>
              <w:t>、规划编制等规范完整。</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内容规范完整2分，否则0分。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绩效目标</w:t>
            </w:r>
          </w:p>
        </w:tc>
        <w:tc>
          <w:tcPr>
            <w:tcW w:w="114"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绩效目标</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合理性</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目标合理</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绩效目标明确、合理，项目预期产出效益和效果符合正常水平。</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符合1分，否则0分。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绩效指标明确性</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指标明确</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将绩效目标分解为具体绩效指标，绩效指标清晰、细化、可衡量。</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符合1分，否则0分。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项目与平台关联性</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关联紧密</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项目在监控平台中与相关子项编码、子项名称、资金所属专项名称、项目分类等关联情况较好，紧密性较高。</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全部符合2分，部分符合1分，都不符合0分。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资金投入</w:t>
            </w:r>
          </w:p>
        </w:tc>
        <w:tc>
          <w:tcPr>
            <w:tcW w:w="114"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8</w:t>
            </w: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预算编制科学性</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预算编制论证充分、标准合理</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（1）预算编制是否经过科学论证；</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（2）预算内容与项目内容是否匹配；</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（3）预算额度测算依据是否充分，是否按照标准编制；</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（4）预算确定的项目投资额或资金量是否与工作任务相匹配。</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每项1分。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资金分配合理性</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资金分配依据充分、额度合理</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（1）预算资金分配依据是否充分；</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（2）资金分配额度是否合理，与项目单位或地方实际是否相适应。</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每项2分。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过程</w:t>
            </w:r>
          </w:p>
        </w:tc>
        <w:tc>
          <w:tcPr>
            <w:tcW w:w="12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20</w:t>
            </w:r>
          </w:p>
        </w:tc>
        <w:tc>
          <w:tcPr>
            <w:tcW w:w="156"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资金管理</w:t>
            </w:r>
          </w:p>
        </w:tc>
        <w:tc>
          <w:tcPr>
            <w:tcW w:w="114"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10</w:t>
            </w: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资金到位</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资金到位率</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实际到位资金与计划投入资金的比率。</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资金到位率=（实际到位资金/计划投入资金）×100%。</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资金到位率≤60%，得零分；60%〈资金到位率〈100%，得0.5分；资金到位率≥100%，满分。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到位及时率</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到位及时率=（及时到位资金/应到位资金）×100%。</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及时到位资金：截止规定时点实际落实到具体项目的资金。</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应到位资金：按照合同或项目进度要求截止规定时点应落实到位的资金。</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到位及时率≤60%，得零分；60%〈到位及时率〈100%，得0.5分；到位及时率≥100%，满分。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预算执行</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预算执行率</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预算执行率=（实际支出资金/实际到位资金）×100%。</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实际支出资金：一定时期（本年度或项目期）内项目实际拨付的资金。</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预算执行率≤60%，得零分；60%〈预算执行率〈100%，得1分；预算执行率≥100%，满分。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资金使用合规性</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6</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制度健全</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（1）是否已制定或具有相应的项目资金管理办法，管理办法是否全面、完善，以保障项目资金规范安全运行；</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（2）项目实施单位财务管理制度是否健全。</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每符合一项0.5分。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资金审批</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（1）资金使用是否履行审批程序，审批手续是否到位；</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（2）相关凭据是否完整合规。</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每符合一项0.5分。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shd w:val="clear" w:color="auto" w:fill="auto"/>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shd w:val="clear" w:color="auto" w:fill="auto"/>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shd w:val="clear" w:color="auto" w:fill="auto"/>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shd w:val="clear" w:color="auto" w:fill="auto"/>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shd w:val="clear" w:color="auto" w:fill="auto"/>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shd w:val="clear" w:color="auto" w:fill="auto"/>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shd w:val="clear" w:color="auto" w:fill="auto"/>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资金支付</w:t>
            </w:r>
          </w:p>
        </w:tc>
        <w:tc>
          <w:tcPr>
            <w:tcW w:w="145" w:type="pct"/>
            <w:shd w:val="clear" w:color="auto" w:fill="auto"/>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shd w:val="clear" w:color="auto" w:fill="auto"/>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（1）资金支付程序是否规范，支付方式是否符合规；</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（2）资金支付是否及时，是否按照财务管理制度或合同约定方式支付。</w:t>
            </w:r>
          </w:p>
        </w:tc>
        <w:tc>
          <w:tcPr>
            <w:tcW w:w="1128" w:type="pct"/>
            <w:shd w:val="clear" w:color="auto" w:fill="auto"/>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每符合一项0.5分。</w:t>
            </w:r>
          </w:p>
        </w:tc>
        <w:tc>
          <w:tcPr>
            <w:tcW w:w="149" w:type="pct"/>
            <w:shd w:val="clear" w:color="auto" w:fill="FFFFFF"/>
            <w:noWrap w:val="0"/>
            <w:tcMar>
              <w:top w:w="12" w:type="dxa"/>
              <w:left w:w="12" w:type="dxa"/>
              <w:right w:w="12" w:type="dxa"/>
            </w:tcMar>
            <w:vAlign w:val="center"/>
          </w:tcPr>
          <w:p>
            <w:pPr>
              <w:keepNext w:val="0"/>
              <w:keepLines w:val="0"/>
              <w:pageBreakBefore w:val="0"/>
              <w:widowControl w:val="0"/>
              <w:shd w:val="clear" w:color="auto" w:fill="FFFFFF"/>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资金用途</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（1）是否符合项目预算批复或合同规定的用途；</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（2）是否存在截留、挤占、挪用、虚列支出等情况。</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符合1分，有一项不符合0分。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资金核算</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资金使用是否按规定进行财务核算，是否真实、完整、清晰、及时反映项目收支情况。</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符合1分，有一项不符合扣0.5分，扣完为止。</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资金监控</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（1）是否已制定或具有相应的监控机制；</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（2）是否采取了相应的财务检查等监控措施或手段；</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（3）监控措施是否保障资金按规定运行，能及时发现问题并及时改善。</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符合1分，否则0分。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trPr>
        <w:tc>
          <w:tcPr>
            <w:tcW w:w="181"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过程</w:t>
            </w:r>
          </w:p>
        </w:tc>
        <w:tc>
          <w:tcPr>
            <w:tcW w:w="12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20</w:t>
            </w:r>
          </w:p>
        </w:tc>
        <w:tc>
          <w:tcPr>
            <w:tcW w:w="156"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业务</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管理</w:t>
            </w:r>
          </w:p>
        </w:tc>
        <w:tc>
          <w:tcPr>
            <w:tcW w:w="114"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10</w:t>
            </w: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组织管理</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机构设置</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（1）是否健全组织机构并落实专人负责；</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（2）机构运转协调、有效，建立协调会签机制。</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每符合一项0.5分。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人员配备</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（1）人员数量是否与项目匹配；</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（2）是否有合理数量专业人员。</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每符合一项0.5分。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制度建立</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制度健全</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（1）是否已制定或具有相应的业务管理制度；</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（2）业务管理制度是否合法、合规、完整。</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每符合一项0.5分。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制度执行有效性</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5</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项目手续</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项目建设是否完善相关手续。</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全部符合1分，部分符合0.5分，不符合0分。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项目管理</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项目单位是否专人负责现场施工管理和协调；是否进行监理；工程变更手续是否完备；工程是否按规定进行公示（开工前公示，开工后公示）。</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全部符合1分，部分符合0.5分，不符合0分。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项目结算</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是否进行规范的项目结算并审计。</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全部符合1分，部分符合0.5分，不符合0分。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项目验收</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项目完工是否按规定进行验收。</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全部符合1分，部分符合0.5分，不符合0分。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资料管理</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项目建设相关资料是否齐全及时归档。</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全部符合1分，部分符合0.5分，不符合0分。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项目质量可控性</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2</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质量标准</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项目实施单位是否已制定或具有相应的质量要求和标准，并符合相关国家标准、行业标准/规范。</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全部符合1分，部分符合0.5分，不符合0分。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质量监控</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项目实施单位是否为达到质量标准而采取必要措施，包括质量监理、群众监督、质量检查、项目验收等必要的控制措施和手段。</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全部符合1分，部分符合0.5分，不符合0分。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181"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产出</w:t>
            </w:r>
          </w:p>
        </w:tc>
        <w:tc>
          <w:tcPr>
            <w:tcW w:w="12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30</w:t>
            </w:r>
          </w:p>
        </w:tc>
        <w:tc>
          <w:tcPr>
            <w:tcW w:w="156"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产出数量</w:t>
            </w:r>
          </w:p>
        </w:tc>
        <w:tc>
          <w:tcPr>
            <w:tcW w:w="114"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8</w:t>
            </w: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实际完成率</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8</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年度任务完成率</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8</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项目实施内容完成率=（当年实际完成实施内容的总量/当年计划完成实施内容的总量）×100%。</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实际完成率〈60%，得零分；60%≤实际完成率〈100%，得分=实际完成率*分值；实际完成率≥100%，满分。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产出质量</w:t>
            </w:r>
          </w:p>
        </w:tc>
        <w:tc>
          <w:tcPr>
            <w:tcW w:w="114"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8</w:t>
            </w: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质量达标率</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8</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1、抽查质量达标率      2、完工验收达标率</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8</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（1）抽查质量达标率=（抽查质量达标数/总体抽查数）×100%。分值占4分。</w:t>
            </w:r>
            <w:r>
              <w:rPr>
                <w:rFonts w:hint="default" w:ascii="Times New Roman" w:hAnsi="Times New Roman" w:eastAsia="宋体" w:cs="Times New Roman"/>
                <w:color w:val="auto"/>
                <w:sz w:val="18"/>
                <w:szCs w:val="18"/>
                <w:lang w:bidi="ar"/>
              </w:rPr>
              <w:br w:type="textWrapping"/>
            </w:r>
            <w:r>
              <w:rPr>
                <w:rFonts w:hint="default" w:ascii="Times New Roman" w:hAnsi="Times New Roman" w:eastAsia="宋体" w:cs="Times New Roman"/>
                <w:color w:val="auto"/>
                <w:sz w:val="18"/>
                <w:szCs w:val="18"/>
                <w:lang w:bidi="ar"/>
              </w:rPr>
              <w:t>（2）完工验收达标率=（完工验收合格数量/实际完工数量）×100%。分值占4分。</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得分=达标率*分值；达标率〈60%，不得分，该项满分8分；该项总得分=抽查质量达标率*4+完工验收达标率*4。</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产出时效</w:t>
            </w:r>
          </w:p>
        </w:tc>
        <w:tc>
          <w:tcPr>
            <w:tcW w:w="114"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7</w:t>
            </w: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完成及时率</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7</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年度任务完成及时率</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7</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项目实施内容完成及时率=（实际完成时间/计划完成时间）×100%。</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完成及时率≥150%，得零分；100%〈完成及时率〈150%，得分=满分－（完成及时率-1）*分值；完成及时率≤100%，满分。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产出成本</w:t>
            </w:r>
          </w:p>
        </w:tc>
        <w:tc>
          <w:tcPr>
            <w:tcW w:w="114"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7</w:t>
            </w: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成本节约率</w:t>
            </w: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7</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完成项目计划工作目标的实际节约成本与计划成本的比率</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7</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项目成本节约率=[（项目计划成本-项目实际成本）/项目计划成本]×100%。</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成本节约率≥10%，满分；10%＞成本节约率≥0，得5分；0＞成本节约率≥-10%，得3分；-10%＞成本节约率，不得分。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效益</w:t>
            </w:r>
          </w:p>
        </w:tc>
        <w:tc>
          <w:tcPr>
            <w:tcW w:w="12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30</w:t>
            </w:r>
          </w:p>
        </w:tc>
        <w:tc>
          <w:tcPr>
            <w:tcW w:w="156"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项目效益</w:t>
            </w:r>
          </w:p>
        </w:tc>
        <w:tc>
          <w:tcPr>
            <w:tcW w:w="114"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30</w:t>
            </w: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社会经济效益</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12</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提高群众收入</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w:t>
            </w:r>
            <w:r>
              <w:rPr>
                <w:rFonts w:hint="eastAsia" w:ascii="Times New Roman" w:hAnsi="Times New Roman" w:eastAsia="宋体" w:cs="Times New Roman"/>
                <w:color w:val="auto"/>
                <w:sz w:val="18"/>
                <w:szCs w:val="18"/>
                <w:lang w:val="en-US" w:eastAsia="zh-CN" w:bidi="ar"/>
              </w:rPr>
              <w:t>创造大量工作岗位</w:t>
            </w:r>
            <w:r>
              <w:rPr>
                <w:rFonts w:hint="default" w:ascii="Times New Roman" w:hAnsi="Times New Roman" w:eastAsia="宋体" w:cs="Times New Roman"/>
                <w:color w:val="auto"/>
                <w:sz w:val="18"/>
                <w:szCs w:val="18"/>
                <w:lang w:bidi="ar"/>
              </w:rPr>
              <w:t>,提高群众收入水平的作用。</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问卷调查法为主。作用明显4分；作用一般，视情况1—3分；无作用0分。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改善</w:t>
            </w:r>
            <w:r>
              <w:rPr>
                <w:rFonts w:hint="eastAsia" w:ascii="Times New Roman" w:hAnsi="Times New Roman" w:eastAsia="宋体" w:cs="Times New Roman"/>
                <w:color w:val="auto"/>
                <w:sz w:val="18"/>
                <w:szCs w:val="18"/>
                <w:lang w:val="en-US" w:eastAsia="zh-CN" w:bidi="ar"/>
              </w:rPr>
              <w:t>当地停车</w:t>
            </w:r>
            <w:r>
              <w:rPr>
                <w:rFonts w:hint="default" w:ascii="Times New Roman" w:hAnsi="Times New Roman" w:eastAsia="宋体" w:cs="Times New Roman"/>
                <w:color w:val="auto"/>
                <w:sz w:val="18"/>
                <w:szCs w:val="18"/>
                <w:lang w:bidi="ar"/>
              </w:rPr>
              <w:t>条件</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项目对改善当地</w:t>
            </w:r>
            <w:r>
              <w:rPr>
                <w:rFonts w:hint="eastAsia" w:ascii="Times New Roman" w:hAnsi="Times New Roman" w:eastAsia="宋体" w:cs="Times New Roman"/>
                <w:color w:val="auto"/>
                <w:sz w:val="18"/>
                <w:szCs w:val="18"/>
                <w:lang w:val="en-US" w:eastAsia="zh-CN" w:bidi="ar"/>
              </w:rPr>
              <w:t>停车条件，满足日益增长的停车需求的作用</w:t>
            </w:r>
            <w:r>
              <w:rPr>
                <w:rFonts w:hint="default" w:ascii="Times New Roman" w:hAnsi="Times New Roman" w:eastAsia="宋体" w:cs="Times New Roman"/>
                <w:color w:val="auto"/>
                <w:sz w:val="18"/>
                <w:szCs w:val="18"/>
                <w:lang w:bidi="ar"/>
              </w:rPr>
              <w:t>。</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问卷调查法为主。作用明显4分；作用一般，视情况1—3分；无作用0分。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提高群众生活质量</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项目对方便贫困群众生产生活，提高群众生活质量的作用。</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专家评价和问卷调查法为主。作用明显4分；作用一般，视情况1—3分；无作用0分。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可持续影响</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6</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项目自身运行的可持续性</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3</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是否建立并形成保障项目持续运营发挥效益的长效机制，是否建立管护制度，资金经费得到保障等。</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全部满足3分；部分满足，视情况1—2分；不满足0分。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项目效果的可持续性</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3</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项目实施后，作用和效果是否可持续。</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全部满足3分；部分满足，视情况1—2分；不满足0分。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社会公众满意度</w:t>
            </w:r>
          </w:p>
        </w:tc>
        <w:tc>
          <w:tcPr>
            <w:tcW w:w="178" w:type="pct"/>
            <w:vMerge w:val="restar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12</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实施进度满意度</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受益群众对</w:t>
            </w:r>
            <w:r>
              <w:rPr>
                <w:rFonts w:hint="eastAsia" w:ascii="Times New Roman" w:hAnsi="Times New Roman" w:eastAsia="宋体" w:cs="Times New Roman"/>
                <w:color w:val="auto"/>
                <w:sz w:val="18"/>
                <w:szCs w:val="18"/>
                <w:lang w:eastAsia="zh-CN" w:bidi="ar"/>
              </w:rPr>
              <w:t>“遂宁市安居区城区智慧停车位项目”</w:t>
            </w:r>
            <w:r>
              <w:rPr>
                <w:rFonts w:hint="default" w:ascii="Times New Roman" w:hAnsi="Times New Roman" w:eastAsia="宋体" w:cs="Times New Roman"/>
                <w:color w:val="auto"/>
                <w:sz w:val="18"/>
                <w:szCs w:val="18"/>
                <w:lang w:bidi="ar"/>
              </w:rPr>
              <w:t>实施进度的满意度。</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满意度≥90%：4分；≥80%：3分；≥70%：2分；≥60%：1分；否则0分。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实施质量满意度</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受益群众对</w:t>
            </w:r>
            <w:r>
              <w:rPr>
                <w:rFonts w:hint="eastAsia" w:ascii="Times New Roman" w:hAnsi="Times New Roman" w:eastAsia="宋体" w:cs="Times New Roman"/>
                <w:color w:val="auto"/>
                <w:sz w:val="18"/>
                <w:szCs w:val="18"/>
                <w:lang w:eastAsia="zh-CN" w:bidi="ar"/>
              </w:rPr>
              <w:t>“遂宁市安居区城区智慧停车位项目”</w:t>
            </w:r>
            <w:r>
              <w:rPr>
                <w:rFonts w:hint="default" w:ascii="Times New Roman" w:hAnsi="Times New Roman" w:eastAsia="宋体" w:cs="Times New Roman"/>
                <w:color w:val="auto"/>
                <w:sz w:val="18"/>
                <w:szCs w:val="18"/>
                <w:lang w:bidi="ar"/>
              </w:rPr>
              <w:t>实施质量的满意度。</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满意度≥90%：4分；≥80%：3分；≥70%：2分；≥60%：1分；否则0分。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181"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2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56"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14"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242"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178" w:type="pct"/>
            <w:vMerge w:val="continue"/>
            <w:noWrap w:val="0"/>
            <w:tcMar>
              <w:top w:w="12" w:type="dxa"/>
              <w:left w:w="12" w:type="dxa"/>
              <w:right w:w="12" w:type="dxa"/>
            </w:tcMar>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rPr>
            </w:pP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实施效果满意度</w:t>
            </w: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4</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受益群众对</w:t>
            </w:r>
            <w:r>
              <w:rPr>
                <w:rFonts w:hint="eastAsia" w:ascii="Times New Roman" w:hAnsi="Times New Roman" w:eastAsia="宋体" w:cs="Times New Roman"/>
                <w:color w:val="auto"/>
                <w:sz w:val="18"/>
                <w:szCs w:val="18"/>
                <w:lang w:eastAsia="zh-CN" w:bidi="ar"/>
              </w:rPr>
              <w:t>“遂宁市安居区城区智慧停车位项目”</w:t>
            </w:r>
            <w:r>
              <w:rPr>
                <w:rFonts w:hint="default" w:ascii="Times New Roman" w:hAnsi="Times New Roman" w:eastAsia="宋体" w:cs="Times New Roman"/>
                <w:color w:val="auto"/>
                <w:sz w:val="18"/>
                <w:szCs w:val="18"/>
                <w:lang w:bidi="ar"/>
              </w:rPr>
              <w:t>整体实施效果的满意度。</w:t>
            </w: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bidi="ar"/>
              </w:rPr>
              <w:t>满意度≥90%：4分；≥80%：3分；≥70%：2分；≥60%：1分；否则0分。</w:t>
            </w: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8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合计</w:t>
            </w:r>
          </w:p>
        </w:tc>
        <w:tc>
          <w:tcPr>
            <w:tcW w:w="12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100</w:t>
            </w:r>
          </w:p>
        </w:tc>
        <w:tc>
          <w:tcPr>
            <w:tcW w:w="156"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p>
        </w:tc>
        <w:tc>
          <w:tcPr>
            <w:tcW w:w="114"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100</w:t>
            </w:r>
          </w:p>
        </w:tc>
        <w:tc>
          <w:tcPr>
            <w:tcW w:w="242"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p>
        </w:tc>
        <w:tc>
          <w:tcPr>
            <w:tcW w:w="17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100</w:t>
            </w:r>
          </w:p>
        </w:tc>
        <w:tc>
          <w:tcPr>
            <w:tcW w:w="46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p>
        </w:tc>
        <w:tc>
          <w:tcPr>
            <w:tcW w:w="145"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bidi="ar"/>
              </w:rPr>
              <w:t>100</w:t>
            </w:r>
          </w:p>
        </w:tc>
        <w:tc>
          <w:tcPr>
            <w:tcW w:w="2111"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center"/>
              <w:rPr>
                <w:rFonts w:hint="default" w:ascii="Times New Roman" w:hAnsi="Times New Roman" w:eastAsia="宋体" w:cs="Times New Roman"/>
                <w:b/>
                <w:bCs/>
                <w:color w:val="auto"/>
                <w:sz w:val="18"/>
                <w:szCs w:val="18"/>
              </w:rPr>
            </w:pPr>
          </w:p>
        </w:tc>
        <w:tc>
          <w:tcPr>
            <w:tcW w:w="1128"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p>
        </w:tc>
        <w:tc>
          <w:tcPr>
            <w:tcW w:w="149" w:type="pct"/>
            <w:noWrap w:val="0"/>
            <w:tcMar>
              <w:top w:w="12" w:type="dxa"/>
              <w:left w:w="12" w:type="dxa"/>
              <w:right w:w="12" w:type="dxa"/>
            </w:tcMar>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rPr>
            </w:pPr>
          </w:p>
        </w:tc>
      </w:tr>
    </w:tbl>
    <w:p>
      <w:pPr>
        <w:rPr>
          <w:rFonts w:hint="default"/>
        </w:rPr>
        <w:sectPr>
          <w:pgSz w:w="16838" w:h="11906" w:orient="landscape"/>
          <w:pgMar w:top="1797" w:right="1440" w:bottom="1797" w:left="1440" w:header="851" w:footer="992" w:gutter="0"/>
          <w:cols w:space="0" w:num="1"/>
          <w:rtlGutter w:val="0"/>
          <w:docGrid w:type="linesAndChars" w:linePitch="395" w:charSpace="1355"/>
        </w:sectPr>
      </w:pPr>
    </w:p>
    <w:p>
      <w:pPr>
        <w:keepNext/>
        <w:keepLines/>
        <w:widowControl w:val="0"/>
        <w:bidi w:val="0"/>
        <w:spacing w:before="300" w:after="300" w:line="300" w:lineRule="auto"/>
        <w:ind w:firstLine="0" w:firstLineChars="0"/>
        <w:jc w:val="center"/>
        <w:outlineLvl w:val="0"/>
        <w:rPr>
          <w:rFonts w:hint="default" w:ascii="Times New Roman" w:hAnsi="Times New Roman" w:eastAsia="黑体" w:cs="Times New Roman"/>
          <w:b/>
          <w:bCs/>
          <w:kern w:val="44"/>
          <w:sz w:val="44"/>
          <w:szCs w:val="44"/>
          <w:lang w:val="en-US" w:eastAsia="zh-CN" w:bidi="ar-SA"/>
        </w:rPr>
      </w:pPr>
      <w:bookmarkStart w:id="98" w:name="_Toc15336"/>
      <w:bookmarkStart w:id="99" w:name="_Toc16887"/>
      <w:bookmarkStart w:id="100" w:name="_Toc29642"/>
      <w:r>
        <w:rPr>
          <w:rFonts w:hint="eastAsia" w:ascii="Times New Roman" w:hAnsi="Times New Roman" w:eastAsia="黑体" w:cs="Times New Roman"/>
          <w:b/>
          <w:bCs/>
          <w:kern w:val="44"/>
          <w:sz w:val="44"/>
          <w:szCs w:val="44"/>
          <w:lang w:val="en-US" w:eastAsia="zh-CN" w:bidi="ar-SA"/>
        </w:rPr>
        <w:t xml:space="preserve">附件 </w:t>
      </w:r>
      <w:r>
        <w:rPr>
          <w:rFonts w:hint="default" w:ascii="Times New Roman" w:hAnsi="Times New Roman" w:eastAsia="黑体" w:cs="Times New Roman"/>
          <w:b/>
          <w:bCs/>
          <w:kern w:val="44"/>
          <w:sz w:val="44"/>
          <w:szCs w:val="44"/>
          <w:lang w:val="en-US" w:eastAsia="zh-CN" w:bidi="ar-SA"/>
        </w:rPr>
        <w:t>特许经营协议框架</w:t>
      </w:r>
      <w:bookmarkEnd w:id="98"/>
      <w:bookmarkEnd w:id="99"/>
      <w:bookmarkEnd w:id="100"/>
    </w:p>
    <w:p>
      <w:pPr>
        <w:keepLines w:val="0"/>
        <w:pageBreakBefore w:val="0"/>
        <w:widowControl/>
        <w:kinsoku/>
        <w:wordWrap/>
        <w:overflowPunct/>
        <w:topLinePunct w:val="0"/>
        <w:autoSpaceDE w:val="0"/>
        <w:autoSpaceDN w:val="0"/>
        <w:bidi w:val="0"/>
        <w:adjustRightInd w:val="0"/>
        <w:snapToGrid/>
        <w:spacing w:before="156" w:beforeLines="50" w:after="156" w:afterLines="50" w:line="500" w:lineRule="exact"/>
        <w:ind w:left="0" w:right="-11" w:firstLine="562" w:firstLineChars="200"/>
        <w:jc w:val="both"/>
        <w:textAlignment w:val="auto"/>
        <w:outlineLvl w:val="9"/>
        <w:rPr>
          <w:rFonts w:hint="default" w:ascii="Times New Roman" w:hAnsi="Times New Roman" w:eastAsia="宋体" w:cs="Times New Roman"/>
          <w:color w:val="auto"/>
          <w:kern w:val="0"/>
          <w:sz w:val="28"/>
          <w:szCs w:val="28"/>
          <w:highlight w:val="none"/>
          <w:u w:val="none"/>
          <w:lang w:val="en-US" w:eastAsia="zh-CN" w:bidi="ar-SA"/>
        </w:rPr>
      </w:pPr>
      <w:r>
        <w:rPr>
          <w:rFonts w:hint="eastAsia" w:ascii="Times New Roman" w:hAnsi="Times New Roman" w:eastAsia="宋体" w:cs="Times New Roman"/>
          <w:b/>
          <w:color w:val="auto"/>
          <w:kern w:val="0"/>
          <w:sz w:val="28"/>
          <w:szCs w:val="28"/>
          <w:highlight w:val="none"/>
          <w:lang w:val="en-US" w:eastAsia="zh-CN" w:bidi="ar-SA"/>
        </w:rPr>
        <w:t>出让方</w:t>
      </w:r>
      <w:r>
        <w:rPr>
          <w:rFonts w:hint="default" w:ascii="Times New Roman" w:hAnsi="Times New Roman" w:eastAsia="宋体" w:cs="Times New Roman"/>
          <w:b/>
          <w:color w:val="auto"/>
          <w:kern w:val="0"/>
          <w:sz w:val="28"/>
          <w:szCs w:val="28"/>
          <w:highlight w:val="none"/>
          <w:lang w:val="en-US" w:eastAsia="zh-CN" w:bidi="ar-SA"/>
        </w:rPr>
        <w:t>：</w:t>
      </w:r>
      <w:r>
        <w:rPr>
          <w:rFonts w:hint="eastAsia" w:ascii="Times New Roman" w:hAnsi="Times New Roman" w:eastAsia="宋体" w:cs="Times New Roman"/>
          <w:b/>
          <w:bCs w:val="0"/>
          <w:color w:val="auto"/>
          <w:kern w:val="0"/>
          <w:sz w:val="28"/>
          <w:szCs w:val="28"/>
          <w:highlight w:val="none"/>
          <w:u w:val="none"/>
          <w:lang w:val="en-US" w:eastAsia="zh-CN" w:bidi="ar-SA"/>
        </w:rPr>
        <w:t>遂宁市安居区综合行政执法局</w:t>
      </w:r>
    </w:p>
    <w:p>
      <w:pPr>
        <w:keepLines w:val="0"/>
        <w:pageBreakBefore w:val="0"/>
        <w:widowControl/>
        <w:kinsoku/>
        <w:wordWrap/>
        <w:overflowPunct/>
        <w:topLinePunct w:val="0"/>
        <w:autoSpaceDE w:val="0"/>
        <w:autoSpaceDN w:val="0"/>
        <w:bidi w:val="0"/>
        <w:adjustRightInd w:val="0"/>
        <w:snapToGrid/>
        <w:spacing w:before="156" w:beforeLines="50" w:after="156" w:afterLines="50" w:line="500" w:lineRule="exact"/>
        <w:ind w:left="0" w:right="-11" w:firstLine="560" w:firstLineChars="200"/>
        <w:jc w:val="both"/>
        <w:textAlignment w:val="auto"/>
        <w:outlineLvl w:val="9"/>
        <w:rPr>
          <w:rFonts w:hint="default" w:ascii="Times New Roman" w:hAnsi="Times New Roman" w:eastAsia="宋体" w:cs="Times New Roman"/>
          <w:color w:val="auto"/>
          <w:kern w:val="0"/>
          <w:sz w:val="28"/>
          <w:szCs w:val="28"/>
          <w:highlight w:val="none"/>
          <w:u w:val="none"/>
          <w:lang w:val="en-US" w:eastAsia="zh-CN" w:bidi="ar-SA"/>
        </w:rPr>
      </w:pPr>
      <w:r>
        <w:rPr>
          <w:rFonts w:hint="default" w:ascii="Times New Roman" w:hAnsi="Times New Roman" w:eastAsia="宋体" w:cs="Times New Roman"/>
          <w:color w:val="auto"/>
          <w:kern w:val="0"/>
          <w:sz w:val="28"/>
          <w:szCs w:val="28"/>
          <w:highlight w:val="none"/>
          <w:u w:val="none"/>
          <w:lang w:val="en-US" w:eastAsia="zh-CN" w:bidi="ar-SA"/>
        </w:rPr>
        <w:t>和</w:t>
      </w:r>
    </w:p>
    <w:p>
      <w:pPr>
        <w:keepLines w:val="0"/>
        <w:pageBreakBefore w:val="0"/>
        <w:widowControl/>
        <w:kinsoku/>
        <w:wordWrap/>
        <w:overflowPunct/>
        <w:topLinePunct w:val="0"/>
        <w:autoSpaceDE w:val="0"/>
        <w:autoSpaceDN w:val="0"/>
        <w:bidi w:val="0"/>
        <w:adjustRightInd w:val="0"/>
        <w:snapToGrid/>
        <w:spacing w:before="156" w:beforeLines="50" w:after="156" w:afterLines="50" w:line="500" w:lineRule="exact"/>
        <w:ind w:left="0" w:right="-11" w:firstLine="562" w:firstLineChars="200"/>
        <w:jc w:val="both"/>
        <w:textAlignment w:val="auto"/>
        <w:outlineLvl w:val="9"/>
        <w:rPr>
          <w:rFonts w:hint="default" w:ascii="Times New Roman" w:hAnsi="Times New Roman" w:eastAsia="宋体" w:cs="Times New Roman"/>
          <w:color w:val="auto"/>
          <w:kern w:val="0"/>
          <w:sz w:val="28"/>
          <w:szCs w:val="28"/>
          <w:highlight w:val="none"/>
          <w:u w:val="none"/>
          <w:lang w:val="en-US" w:eastAsia="zh-CN" w:bidi="ar-SA"/>
        </w:rPr>
      </w:pPr>
      <w:r>
        <w:rPr>
          <w:rFonts w:hint="eastAsia" w:ascii="Times New Roman" w:hAnsi="Times New Roman" w:eastAsia="宋体" w:cs="Times New Roman"/>
          <w:b/>
          <w:color w:val="auto"/>
          <w:kern w:val="0"/>
          <w:sz w:val="28"/>
          <w:szCs w:val="28"/>
          <w:highlight w:val="none"/>
          <w:u w:val="none"/>
          <w:lang w:val="en-US" w:eastAsia="zh-CN" w:bidi="ar-SA"/>
        </w:rPr>
        <w:t>受让方</w:t>
      </w:r>
      <w:r>
        <w:rPr>
          <w:rFonts w:hint="default" w:ascii="Times New Roman" w:hAnsi="Times New Roman" w:eastAsia="宋体" w:cs="Times New Roman"/>
          <w:b/>
          <w:color w:val="auto"/>
          <w:kern w:val="0"/>
          <w:sz w:val="28"/>
          <w:szCs w:val="28"/>
          <w:highlight w:val="none"/>
          <w:u w:val="none"/>
          <w:lang w:val="en-US" w:eastAsia="zh-CN" w:bidi="ar-SA"/>
        </w:rPr>
        <w:t>：</w:t>
      </w:r>
    </w:p>
    <w:p>
      <w:pPr>
        <w:keepLines w:val="0"/>
        <w:pageBreakBefore w:val="0"/>
        <w:kinsoku/>
        <w:wordWrap/>
        <w:overflowPunct/>
        <w:topLinePunct w:val="0"/>
        <w:bidi w:val="0"/>
        <w:snapToGrid/>
        <w:spacing w:line="360" w:lineRule="auto"/>
        <w:ind w:firstLine="560" w:firstLineChars="200"/>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鉴于：</w:t>
      </w:r>
    </w:p>
    <w:p>
      <w:pPr>
        <w:bidi w:val="0"/>
        <w:spacing w:line="360" w:lineRule="auto"/>
        <w:ind w:firstLine="560" w:firstLineChars="200"/>
        <w:rPr>
          <w:rFonts w:ascii="Times New Roman" w:hAnsi="Times New Roman" w:eastAsia="宋体" w:cs="Times New Roman"/>
          <w:sz w:val="28"/>
        </w:rPr>
      </w:pPr>
      <w:r>
        <w:rPr>
          <w:rFonts w:ascii="Times New Roman" w:hAnsi="Times New Roman" w:eastAsia="宋体" w:cs="Times New Roman"/>
          <w:sz w:val="28"/>
        </w:rPr>
        <w:t>为推动</w:t>
      </w:r>
      <w:r>
        <w:rPr>
          <w:rFonts w:hint="eastAsia" w:ascii="Times New Roman" w:hAnsi="Times New Roman" w:eastAsia="宋体" w:cs="Times New Roman"/>
          <w:sz w:val="28"/>
          <w:lang w:val="en-US" w:eastAsia="zh-CN"/>
        </w:rPr>
        <w:t>安居区</w:t>
      </w:r>
      <w:r>
        <w:rPr>
          <w:rFonts w:ascii="Times New Roman" w:hAnsi="Times New Roman" w:eastAsia="宋体" w:cs="Times New Roman"/>
          <w:sz w:val="28"/>
        </w:rPr>
        <w:t>盘活国有存量资产，根据</w:t>
      </w:r>
      <w:r>
        <w:rPr>
          <w:rFonts w:hint="eastAsia" w:ascii="Times New Roman" w:hAnsi="Times New Roman" w:eastAsia="宋体" w:cs="Times New Roman"/>
          <w:sz w:val="28"/>
          <w:highlight w:val="yellow"/>
          <w:lang w:eastAsia="zh-CN"/>
        </w:rPr>
        <w:t>遂宁市安居区城区智慧停车位项目</w:t>
      </w:r>
      <w:r>
        <w:rPr>
          <w:rFonts w:hint="eastAsia" w:ascii="Times New Roman" w:hAnsi="Times New Roman" w:eastAsia="宋体" w:cs="Times New Roman"/>
          <w:sz w:val="28"/>
          <w:lang w:val="en-US" w:eastAsia="zh-CN"/>
        </w:rPr>
        <w:t>招标</w:t>
      </w:r>
      <w:r>
        <w:rPr>
          <w:rFonts w:ascii="Times New Roman" w:hAnsi="Times New Roman" w:eastAsia="宋体" w:cs="Times New Roman"/>
          <w:sz w:val="28"/>
        </w:rPr>
        <w:t>中标结果，将</w:t>
      </w:r>
      <w:r>
        <w:rPr>
          <w:rFonts w:hint="eastAsia" w:ascii="Times New Roman" w:hAnsi="Times New Roman" w:eastAsia="宋体" w:cs="Times New Roman"/>
          <w:sz w:val="28"/>
          <w:highlight w:val="yellow"/>
          <w:lang w:eastAsia="zh-CN"/>
        </w:rPr>
        <w:t>遂宁市安居区城区智慧停车位项目</w:t>
      </w:r>
      <w:r>
        <w:rPr>
          <w:rFonts w:ascii="Times New Roman" w:hAnsi="Times New Roman" w:eastAsia="宋体" w:cs="Times New Roman"/>
          <w:sz w:val="28"/>
        </w:rPr>
        <w:t>（下称“存量资产”）资产及配套附属设施经营权和收益权出让给</w:t>
      </w:r>
      <w:r>
        <w:rPr>
          <w:rFonts w:hint="eastAsia" w:ascii="Times New Roman" w:hAnsi="Times New Roman" w:eastAsia="宋体" w:cs="Times New Roman"/>
          <w:sz w:val="28"/>
          <w:u w:val="single"/>
          <w:lang w:val="en-US" w:eastAsia="zh-CN"/>
        </w:rPr>
        <w:t xml:space="preserve">           </w:t>
      </w:r>
      <w:r>
        <w:rPr>
          <w:rFonts w:ascii="Times New Roman" w:hAnsi="Times New Roman" w:eastAsia="宋体" w:cs="Times New Roman"/>
          <w:sz w:val="28"/>
        </w:rPr>
        <w:t>；</w:t>
      </w:r>
    </w:p>
    <w:p>
      <w:pPr>
        <w:keepLines w:val="0"/>
        <w:pageBreakBefore w:val="0"/>
        <w:kinsoku/>
        <w:wordWrap/>
        <w:overflowPunct/>
        <w:topLinePunct w:val="0"/>
        <w:bidi w:val="0"/>
        <w:snapToGrid/>
        <w:spacing w:line="360" w:lineRule="auto"/>
        <w:ind w:firstLine="560" w:firstLineChars="200"/>
        <w:textAlignment w:val="auto"/>
        <w:outlineLvl w:val="9"/>
        <w:rPr>
          <w:rFonts w:hint="default" w:ascii="Times New Roman" w:hAnsi="Times New Roman" w:eastAsia="宋体" w:cs="Times New Roman"/>
          <w:color w:val="auto"/>
          <w:sz w:val="28"/>
          <w:szCs w:val="28"/>
          <w:highlight w:val="none"/>
        </w:rPr>
      </w:pPr>
      <w:r>
        <w:rPr>
          <w:rFonts w:ascii="Times New Roman" w:hAnsi="Times New Roman" w:eastAsia="宋体" w:cs="Times New Roman"/>
          <w:sz w:val="28"/>
        </w:rPr>
        <w:t>甲方将</w:t>
      </w:r>
      <w:r>
        <w:rPr>
          <w:rFonts w:hint="eastAsia" w:ascii="Times New Roman" w:hAnsi="Times New Roman" w:eastAsia="宋体" w:cs="Times New Roman"/>
          <w:sz w:val="28"/>
          <w:highlight w:val="yellow"/>
          <w:lang w:eastAsia="zh-CN"/>
        </w:rPr>
        <w:t>遂宁市安居区城区智慧停车位项目</w:t>
      </w:r>
      <w:r>
        <w:rPr>
          <w:rFonts w:ascii="Times New Roman" w:hAnsi="Times New Roman" w:eastAsia="宋体" w:cs="Times New Roman"/>
          <w:sz w:val="28"/>
        </w:rPr>
        <w:t>出让给乙方，乙方同意受让存量资产及配套附属设施经营权和收益权并支付经营权出让价款。由乙方负责本项目后续运营维护，并在本项目合作期满后根据本协议的规定将项目设施移交给甲方或其指定的机构。为此，双方达成如下协议，共同遵守执行</w:t>
      </w:r>
      <w:r>
        <w:rPr>
          <w:rFonts w:hint="eastAsia" w:ascii="Times New Roman" w:hAnsi="Times New Roman" w:eastAsia="宋体" w:cs="Times New Roman"/>
          <w:sz w:val="28"/>
          <w:lang w:eastAsia="zh-CN"/>
        </w:rPr>
        <w:t>：</w:t>
      </w:r>
    </w:p>
    <w:p>
      <w:pPr>
        <w:keepLines w:val="0"/>
        <w:pageBreakBefore w:val="0"/>
        <w:widowControl w:val="0"/>
        <w:kinsoku/>
        <w:wordWrap/>
        <w:overflowPunct/>
        <w:topLinePunct w:val="0"/>
        <w:bidi w:val="0"/>
        <w:snapToGrid/>
        <w:spacing w:line="360" w:lineRule="auto"/>
        <w:ind w:left="1154" w:leftChars="234" w:hanging="663" w:hangingChars="237"/>
        <w:jc w:val="both"/>
        <w:textAlignment w:val="auto"/>
        <w:outlineLvl w:val="9"/>
        <w:rPr>
          <w:rFonts w:hint="default" w:ascii="Times New Roman" w:hAnsi="Times New Roman" w:eastAsia="宋体" w:cs="Times New Roman"/>
          <w:color w:val="auto"/>
          <w:kern w:val="0"/>
          <w:sz w:val="28"/>
          <w:szCs w:val="28"/>
          <w:highlight w:val="none"/>
          <w:lang w:val="en-US" w:eastAsia="zh-CN" w:bidi="ar-SA"/>
        </w:rPr>
      </w:pPr>
      <w:bookmarkStart w:id="101" w:name="_Toc444420660"/>
    </w:p>
    <w:p>
      <w:pPr>
        <w:keepLines w:val="0"/>
        <w:pageBreakBefore w:val="0"/>
        <w:kinsoku/>
        <w:wordWrap/>
        <w:overflowPunct/>
        <w:topLinePunct w:val="0"/>
        <w:bidi w:val="0"/>
        <w:snapToGrid/>
        <w:ind w:left="1154" w:leftChars="234" w:hanging="663" w:hangingChars="237"/>
        <w:textAlignment w:val="auto"/>
        <w:outlineLvl w:val="9"/>
        <w:rPr>
          <w:rFonts w:hint="default" w:ascii="Times New Roman" w:hAnsi="Times New Roman" w:eastAsia="宋体" w:cs="Times New Roman"/>
          <w:color w:val="auto"/>
          <w:kern w:val="0"/>
          <w:sz w:val="28"/>
          <w:szCs w:val="28"/>
          <w:highlight w:val="none"/>
        </w:rPr>
        <w:sectPr>
          <w:footerReference r:id="rId11" w:type="default"/>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numPr>
          <w:ilvl w:val="0"/>
          <w:numId w:val="3"/>
        </w:numPr>
        <w:tabs>
          <w:tab w:val="left" w:pos="1134"/>
        </w:tabs>
        <w:kinsoku/>
        <w:wordWrap/>
        <w:overflowPunct/>
        <w:topLinePunct w:val="0"/>
        <w:autoSpaceDE w:val="0"/>
        <w:autoSpaceDN w:val="0"/>
        <w:bidi w:val="0"/>
        <w:adjustRightInd w:val="0"/>
        <w:snapToGrid/>
        <w:spacing w:before="312" w:beforeLines="100" w:after="0" w:line="360" w:lineRule="auto"/>
        <w:ind w:left="-119" w:leftChars="0" w:right="28" w:firstLine="119" w:firstLineChars="0"/>
        <w:jc w:val="left"/>
        <w:textAlignment w:val="auto"/>
        <w:outlineLvl w:val="1"/>
        <w:rPr>
          <w:rFonts w:hint="default" w:ascii="Times New Roman" w:hAnsi="Times New Roman" w:eastAsia="宋体" w:cs="Times New Roman"/>
          <w:b/>
          <w:color w:val="auto"/>
          <w:kern w:val="0"/>
          <w:sz w:val="28"/>
          <w:szCs w:val="28"/>
          <w:highlight w:val="none"/>
          <w:lang w:val="en-US" w:eastAsia="zh-CN" w:bidi="ar-SA"/>
        </w:rPr>
      </w:pPr>
      <w:bookmarkStart w:id="102" w:name="_Toc12019"/>
      <w:bookmarkStart w:id="103" w:name="_Toc6670"/>
      <w:bookmarkStart w:id="104" w:name="_Toc25663"/>
      <w:r>
        <w:rPr>
          <w:rFonts w:hint="default" w:ascii="Times New Roman" w:hAnsi="Times New Roman" w:eastAsia="宋体" w:cs="Times New Roman"/>
          <w:b/>
          <w:color w:val="auto"/>
          <w:kern w:val="0"/>
          <w:sz w:val="28"/>
          <w:szCs w:val="28"/>
          <w:highlight w:val="none"/>
          <w:lang w:val="en-US" w:eastAsia="zh-CN" w:bidi="ar-SA"/>
        </w:rPr>
        <w:t>定义</w:t>
      </w:r>
      <w:bookmarkEnd w:id="101"/>
      <w:r>
        <w:rPr>
          <w:rFonts w:hint="default" w:ascii="Times New Roman" w:hAnsi="Times New Roman" w:eastAsia="宋体" w:cs="Times New Roman"/>
          <w:b/>
          <w:color w:val="auto"/>
          <w:kern w:val="0"/>
          <w:sz w:val="28"/>
          <w:szCs w:val="28"/>
          <w:highlight w:val="none"/>
          <w:lang w:val="en-US" w:eastAsia="zh-CN" w:bidi="ar-SA"/>
        </w:rPr>
        <w:t>及解释</w:t>
      </w:r>
      <w:bookmarkEnd w:id="102"/>
      <w:bookmarkEnd w:id="103"/>
      <w:bookmarkEnd w:id="104"/>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bookmarkStart w:id="105" w:name="_Toc444420661"/>
      <w:bookmarkStart w:id="106" w:name="_Toc475566561"/>
      <w:r>
        <w:rPr>
          <w:rFonts w:hint="default" w:ascii="Times New Roman" w:hAnsi="Times New Roman" w:eastAsia="宋体" w:cs="Times New Roman"/>
          <w:b/>
          <w:color w:val="auto"/>
          <w:kern w:val="0"/>
          <w:sz w:val="28"/>
          <w:szCs w:val="28"/>
          <w:highlight w:val="none"/>
          <w:lang w:val="en-US" w:eastAsia="zh-CN" w:bidi="ar-SA"/>
        </w:rPr>
        <w:t>定义</w:t>
      </w:r>
      <w:bookmarkEnd w:id="105"/>
      <w:bookmarkEnd w:id="106"/>
    </w:p>
    <w:p>
      <w:pPr>
        <w:keepLines w:val="0"/>
        <w:pageBreakBefore w:val="0"/>
        <w:widowControl w:val="0"/>
        <w:kinsoku/>
        <w:wordWrap/>
        <w:overflowPunct/>
        <w:topLinePunct w:val="0"/>
        <w:bidi w:val="0"/>
        <w:snapToGrid/>
        <w:spacing w:before="156" w:beforeLines="50" w:line="360" w:lineRule="auto"/>
        <w:ind w:firstLine="572"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除非本协议另有约定，下述术语具有下列含义：</w:t>
      </w:r>
    </w:p>
    <w:p>
      <w:pPr>
        <w:keepLines w:val="0"/>
        <w:pageBreakBefore w:val="0"/>
        <w:widowControl/>
        <w:numPr>
          <w:ilvl w:val="2"/>
          <w:numId w:val="3"/>
        </w:numPr>
        <w:tabs>
          <w:tab w:val="left" w:pos="1276"/>
        </w:tabs>
        <w:kinsoku/>
        <w:wordWrap/>
        <w:overflowPunct/>
        <w:topLinePunct w:val="0"/>
        <w:autoSpaceDE w:val="0"/>
        <w:autoSpaceDN w:val="0"/>
        <w:bidi w:val="0"/>
        <w:adjustRightInd w:val="0"/>
        <w:snapToGrid/>
        <w:spacing w:before="156" w:beforeLines="50" w:after="156" w:afterLines="50" w:line="360" w:lineRule="auto"/>
        <w:ind w:left="1100" w:leftChars="0" w:hanging="68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bookmarkStart w:id="107" w:name="_Toc475566563"/>
      <w:r>
        <w:rPr>
          <w:rFonts w:hint="default" w:ascii="Times New Roman" w:hAnsi="Times New Roman" w:eastAsia="宋体" w:cs="Times New Roman"/>
          <w:bCs/>
          <w:color w:val="auto"/>
          <w:kern w:val="0"/>
          <w:sz w:val="28"/>
          <w:szCs w:val="28"/>
          <w:highlight w:val="none"/>
          <w:lang w:val="en-US" w:eastAsia="zh-CN" w:bidi="ar-SA"/>
        </w:rPr>
        <w:t>本项目，指</w:t>
      </w:r>
      <w:r>
        <w:rPr>
          <w:rFonts w:hint="eastAsia" w:ascii="Times New Roman" w:hAnsi="Times New Roman" w:eastAsia="宋体" w:cs="Times New Roman"/>
          <w:bCs/>
          <w:color w:val="auto"/>
          <w:kern w:val="0"/>
          <w:sz w:val="28"/>
          <w:szCs w:val="28"/>
          <w:highlight w:val="none"/>
          <w:u w:val="single"/>
          <w:lang w:val="en-US" w:eastAsia="zh-CN" w:bidi="ar-SA"/>
        </w:rPr>
        <w:t>遂宁市安居区城区智慧停车位项目</w:t>
      </w:r>
      <w:r>
        <w:rPr>
          <w:rFonts w:hint="default" w:ascii="Times New Roman" w:hAnsi="Times New Roman" w:eastAsia="宋体" w:cs="Times New Roman"/>
          <w:bCs/>
          <w:color w:val="auto"/>
          <w:kern w:val="0"/>
          <w:sz w:val="28"/>
          <w:szCs w:val="28"/>
          <w:highlight w:val="none"/>
          <w:lang w:val="en-US" w:eastAsia="zh-CN" w:bidi="ar-SA"/>
        </w:rPr>
        <w:t>。</w:t>
      </w:r>
    </w:p>
    <w:bookmarkEnd w:id="107"/>
    <w:p>
      <w:pPr>
        <w:keepLines w:val="0"/>
        <w:pageBreakBefore w:val="0"/>
        <w:widowControl/>
        <w:numPr>
          <w:ilvl w:val="2"/>
          <w:numId w:val="3"/>
        </w:numPr>
        <w:tabs>
          <w:tab w:val="left" w:pos="1276"/>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bookmarkStart w:id="108" w:name="_Toc475566564"/>
      <w:r>
        <w:rPr>
          <w:rFonts w:hint="default" w:ascii="Times New Roman" w:hAnsi="Times New Roman" w:eastAsia="宋体" w:cs="Times New Roman"/>
          <w:bCs/>
          <w:color w:val="auto"/>
          <w:kern w:val="0"/>
          <w:sz w:val="28"/>
          <w:szCs w:val="28"/>
          <w:highlight w:val="none"/>
          <w:lang w:val="en-US" w:eastAsia="zh-CN" w:bidi="ar-SA"/>
        </w:rPr>
        <w:t>本协议，指甲方与乙方就本项目而签订的本《特许经营权协议》。</w:t>
      </w:r>
      <w:bookmarkEnd w:id="108"/>
    </w:p>
    <w:p>
      <w:pPr>
        <w:keepLines w:val="0"/>
        <w:pageBreakBefore w:val="0"/>
        <w:widowControl/>
        <w:numPr>
          <w:ilvl w:val="2"/>
          <w:numId w:val="3"/>
        </w:numPr>
        <w:tabs>
          <w:tab w:val="left" w:pos="1276"/>
        </w:tabs>
        <w:kinsoku/>
        <w:wordWrap/>
        <w:overflowPunct/>
        <w:topLinePunct w:val="0"/>
        <w:autoSpaceDE w:val="0"/>
        <w:autoSpaceDN w:val="0"/>
        <w:bidi w:val="0"/>
        <w:adjustRightInd w:val="0"/>
        <w:snapToGrid/>
        <w:spacing w:before="156" w:beforeLines="50" w:after="156" w:afterLines="50" w:line="360" w:lineRule="auto"/>
        <w:ind w:left="1100" w:leftChars="0" w:hanging="68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bookmarkStart w:id="109" w:name="_Toc475566567"/>
      <w:r>
        <w:rPr>
          <w:rFonts w:hint="default" w:ascii="Times New Roman" w:hAnsi="Times New Roman" w:eastAsia="宋体" w:cs="Times New Roman"/>
          <w:bCs/>
          <w:color w:val="auto"/>
          <w:kern w:val="0"/>
          <w:sz w:val="28"/>
          <w:szCs w:val="28"/>
          <w:highlight w:val="none"/>
          <w:lang w:val="en-US" w:eastAsia="zh-CN" w:bidi="ar-SA"/>
        </w:rPr>
        <w:t>政府方，指</w:t>
      </w:r>
      <w:r>
        <w:rPr>
          <w:rFonts w:hint="eastAsia" w:ascii="Times New Roman" w:hAnsi="Times New Roman" w:eastAsia="宋体" w:cs="Times New Roman"/>
          <w:bCs/>
          <w:color w:val="auto"/>
          <w:kern w:val="0"/>
          <w:sz w:val="28"/>
          <w:szCs w:val="28"/>
          <w:highlight w:val="none"/>
          <w:u w:val="single"/>
          <w:lang w:val="en-US" w:eastAsia="zh-CN" w:bidi="ar-SA"/>
        </w:rPr>
        <w:t>遂宁市安居区人民政府</w:t>
      </w:r>
      <w:r>
        <w:rPr>
          <w:rFonts w:hint="default" w:ascii="Times New Roman" w:hAnsi="Times New Roman" w:eastAsia="宋体" w:cs="Times New Roman"/>
          <w:bCs/>
          <w:color w:val="auto"/>
          <w:kern w:val="0"/>
          <w:sz w:val="28"/>
          <w:szCs w:val="28"/>
          <w:highlight w:val="none"/>
          <w:lang w:val="en-US" w:eastAsia="zh-CN" w:bidi="ar-SA"/>
        </w:rPr>
        <w:t>或其依法授权的实施机构，可指其中之一，也可统指人民政府和实施机构。</w:t>
      </w:r>
    </w:p>
    <w:p>
      <w:pPr>
        <w:keepLines w:val="0"/>
        <w:pageBreakBefore w:val="0"/>
        <w:widowControl/>
        <w:numPr>
          <w:ilvl w:val="2"/>
          <w:numId w:val="3"/>
        </w:numPr>
        <w:tabs>
          <w:tab w:val="left" w:pos="1276"/>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生效日，指本协议甲、乙双方法定代表人或授权代表签字并加盖公章之日。</w:t>
      </w:r>
    </w:p>
    <w:bookmarkEnd w:id="109"/>
    <w:p>
      <w:pPr>
        <w:keepLines w:val="0"/>
        <w:pageBreakBefore w:val="0"/>
        <w:widowControl/>
        <w:numPr>
          <w:ilvl w:val="2"/>
          <w:numId w:val="3"/>
        </w:numPr>
        <w:tabs>
          <w:tab w:val="left" w:pos="1276"/>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项目设施，指与本项目建设和运营管理相关的设施，包括</w:t>
      </w:r>
      <w:r>
        <w:rPr>
          <w:rFonts w:hint="eastAsia" w:ascii="Times New Roman" w:hAnsi="Times New Roman" w:eastAsia="宋体" w:cs="Times New Roman"/>
          <w:bCs/>
          <w:color w:val="auto"/>
          <w:kern w:val="0"/>
          <w:sz w:val="28"/>
          <w:szCs w:val="28"/>
          <w:highlight w:val="none"/>
          <w:lang w:val="en-US" w:eastAsia="zh-CN" w:bidi="ar-SA"/>
        </w:rPr>
        <w:t>遂宁市安居区</w:t>
      </w:r>
      <w:r>
        <w:rPr>
          <w:rFonts w:hint="default" w:ascii="Times New Roman" w:hAnsi="Times New Roman" w:eastAsia="宋体" w:cs="Times New Roman"/>
          <w:bCs/>
          <w:color w:val="auto"/>
          <w:kern w:val="0"/>
          <w:sz w:val="28"/>
          <w:szCs w:val="28"/>
          <w:highlight w:val="none"/>
          <w:lang w:val="en-US" w:eastAsia="zh-CN" w:bidi="ar-SA"/>
        </w:rPr>
        <w:t>城区停车位及</w:t>
      </w:r>
      <w:r>
        <w:rPr>
          <w:rFonts w:hint="eastAsia" w:ascii="Times New Roman" w:hAnsi="Times New Roman" w:eastAsia="宋体" w:cs="Times New Roman"/>
          <w:bCs/>
          <w:color w:val="auto"/>
          <w:kern w:val="0"/>
          <w:sz w:val="28"/>
          <w:szCs w:val="28"/>
          <w:highlight w:val="none"/>
          <w:lang w:val="en-US" w:eastAsia="zh-CN" w:bidi="ar-SA"/>
        </w:rPr>
        <w:t>充电桩</w:t>
      </w:r>
      <w:r>
        <w:rPr>
          <w:rFonts w:hint="default" w:ascii="Times New Roman" w:hAnsi="Times New Roman" w:eastAsia="宋体" w:cs="Times New Roman"/>
          <w:bCs/>
          <w:color w:val="auto"/>
          <w:kern w:val="0"/>
          <w:sz w:val="28"/>
          <w:szCs w:val="28"/>
          <w:highlight w:val="none"/>
          <w:lang w:val="en-US" w:eastAsia="zh-CN" w:bidi="ar-SA"/>
        </w:rPr>
        <w:t>等。</w:t>
      </w:r>
    </w:p>
    <w:p>
      <w:pPr>
        <w:keepLines w:val="0"/>
        <w:pageBreakBefore w:val="0"/>
        <w:widowControl/>
        <w:numPr>
          <w:ilvl w:val="2"/>
          <w:numId w:val="3"/>
        </w:numPr>
        <w:tabs>
          <w:tab w:val="left" w:pos="0"/>
          <w:tab w:val="left" w:pos="1276"/>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批准，指为了使乙方能够履行其在本合同项下的义务和行使其在本合同项下的权利，乙方必须或希望从政府机关依法获得的所需要的任何许可、执照、同意、授权、批准、免除或相同及类似的文件。</w:t>
      </w:r>
    </w:p>
    <w:p>
      <w:pPr>
        <w:keepLines w:val="0"/>
        <w:pageBreakBefore w:val="0"/>
        <w:widowControl/>
        <w:numPr>
          <w:ilvl w:val="2"/>
          <w:numId w:val="3"/>
        </w:numPr>
        <w:tabs>
          <w:tab w:val="left" w:pos="1276"/>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适用法律，指所有适用的中华人民共和国法律、法规、规章、地方性法规、司法解释、政府部门颁布的标准、规范或其他适用的强制性要求、有法律约束力的规范性文件等。为本协议目的，任何政府主管部门签发的对双方履行本协议有实质性影响的文件（包括批文、执照、许可、授权等）视为适用法律的一部分。</w:t>
      </w:r>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bookmarkStart w:id="110" w:name="_Toc475566568"/>
      <w:r>
        <w:rPr>
          <w:rFonts w:hint="default" w:ascii="Times New Roman" w:hAnsi="Times New Roman" w:eastAsia="宋体" w:cs="Times New Roman"/>
          <w:b/>
          <w:color w:val="auto"/>
          <w:kern w:val="0"/>
          <w:sz w:val="28"/>
          <w:szCs w:val="28"/>
          <w:highlight w:val="none"/>
          <w:lang w:val="en-US" w:eastAsia="zh-CN" w:bidi="ar-SA"/>
        </w:rPr>
        <w:t>解释</w:t>
      </w:r>
      <w:bookmarkEnd w:id="110"/>
    </w:p>
    <w:p>
      <w:pPr>
        <w:keepLines w:val="0"/>
        <w:pageBreakBefore w:val="0"/>
        <w:widowControl/>
        <w:numPr>
          <w:ilvl w:val="0"/>
          <w:numId w:val="0"/>
        </w:numPr>
        <w:tabs>
          <w:tab w:val="left" w:pos="1418"/>
          <w:tab w:val="left" w:pos="1759"/>
          <w:tab w:val="left" w:pos="2524"/>
        </w:tabs>
        <w:kinsoku/>
        <w:wordWrap/>
        <w:overflowPunct/>
        <w:topLinePunct w:val="0"/>
        <w:autoSpaceDE w:val="0"/>
        <w:autoSpaceDN w:val="0"/>
        <w:bidi w:val="0"/>
        <w:adjustRightInd w:val="0"/>
        <w:snapToGrid/>
        <w:spacing w:before="156" w:beforeLines="50" w:after="156" w:afterLines="50" w:line="360" w:lineRule="auto"/>
        <w:ind w:firstLine="505" w:firstLineChars="177"/>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bookmarkStart w:id="111" w:name="_Toc475566569"/>
      <w:r>
        <w:rPr>
          <w:rFonts w:hint="default" w:ascii="Times New Roman" w:hAnsi="Times New Roman" w:eastAsia="宋体" w:cs="Times New Roman"/>
          <w:bCs/>
          <w:color w:val="auto"/>
          <w:kern w:val="0"/>
          <w:sz w:val="28"/>
          <w:szCs w:val="28"/>
          <w:highlight w:val="none"/>
          <w:lang w:val="en-US" w:eastAsia="zh-CN" w:bidi="ar-SA"/>
        </w:rPr>
        <w:t>本协议中的标题仅为参考所设，不应影响条文的解释。以下规定同样适用于对本协议进行解释，除非其上下文明确显示其不适用。在本协议中：</w:t>
      </w:r>
    </w:p>
    <w:p>
      <w:pPr>
        <w:keepLines w:val="0"/>
        <w:pageBreakBefore w:val="0"/>
        <w:widowControl/>
        <w:numPr>
          <w:ilvl w:val="2"/>
          <w:numId w:val="3"/>
        </w:numPr>
        <w:tabs>
          <w:tab w:val="left" w:pos="1276"/>
          <w:tab w:val="left" w:pos="1418"/>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协议或文件，指包括经修订、更新、补充或替代后的该协议或文件；</w:t>
      </w:r>
    </w:p>
    <w:p>
      <w:pPr>
        <w:keepLines w:val="0"/>
        <w:pageBreakBefore w:val="0"/>
        <w:widowControl/>
        <w:numPr>
          <w:ilvl w:val="2"/>
          <w:numId w:val="3"/>
        </w:numPr>
        <w:tabs>
          <w:tab w:val="left" w:pos="1276"/>
          <w:tab w:val="left" w:pos="1418"/>
        </w:tabs>
        <w:kinsoku/>
        <w:wordWrap/>
        <w:overflowPunct/>
        <w:topLinePunct w:val="0"/>
        <w:autoSpaceDE w:val="0"/>
        <w:autoSpaceDN w:val="0"/>
        <w:bidi w:val="0"/>
        <w:adjustRightInd w:val="0"/>
        <w:snapToGrid/>
        <w:spacing w:before="156" w:beforeLines="50" w:after="156" w:afterLines="50" w:line="360" w:lineRule="auto"/>
        <w:ind w:left="1100" w:leftChars="0" w:hanging="68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“元”，指中国的法定货币单位“人民币”；</w:t>
      </w:r>
    </w:p>
    <w:p>
      <w:pPr>
        <w:keepLines w:val="0"/>
        <w:pageBreakBefore w:val="0"/>
        <w:widowControl/>
        <w:numPr>
          <w:ilvl w:val="2"/>
          <w:numId w:val="3"/>
        </w:numPr>
        <w:tabs>
          <w:tab w:val="left" w:pos="1276"/>
          <w:tab w:val="left" w:pos="1418"/>
        </w:tabs>
        <w:kinsoku/>
        <w:wordWrap/>
        <w:overflowPunct/>
        <w:topLinePunct w:val="0"/>
        <w:autoSpaceDE w:val="0"/>
        <w:autoSpaceDN w:val="0"/>
        <w:bidi w:val="0"/>
        <w:adjustRightInd w:val="0"/>
        <w:snapToGrid/>
        <w:spacing w:before="156" w:beforeLines="50" w:after="156" w:afterLines="50" w:line="360" w:lineRule="auto"/>
        <w:ind w:left="1100" w:leftChars="0" w:hanging="68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条款或附件，指本协议的条款或附件；</w:t>
      </w:r>
    </w:p>
    <w:p>
      <w:pPr>
        <w:keepLines w:val="0"/>
        <w:pageBreakBefore w:val="0"/>
        <w:widowControl/>
        <w:numPr>
          <w:ilvl w:val="2"/>
          <w:numId w:val="3"/>
        </w:numPr>
        <w:tabs>
          <w:tab w:val="left" w:pos="1276"/>
          <w:tab w:val="left" w:pos="1418"/>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一方、双方，指本协议中的一方或双方，并且包括经允许的替代该方的主体或该方的受让人；</w:t>
      </w:r>
    </w:p>
    <w:p>
      <w:pPr>
        <w:keepLines w:val="0"/>
        <w:pageBreakBefore w:val="0"/>
        <w:widowControl/>
        <w:numPr>
          <w:ilvl w:val="2"/>
          <w:numId w:val="3"/>
        </w:numPr>
        <w:tabs>
          <w:tab w:val="left" w:pos="1276"/>
          <w:tab w:val="left" w:pos="1418"/>
        </w:tabs>
        <w:kinsoku/>
        <w:wordWrap/>
        <w:overflowPunct/>
        <w:topLinePunct w:val="0"/>
        <w:autoSpaceDE w:val="0"/>
        <w:autoSpaceDN w:val="0"/>
        <w:bidi w:val="0"/>
        <w:adjustRightInd w:val="0"/>
        <w:snapToGrid/>
        <w:spacing w:before="156" w:beforeLines="50" w:after="156" w:afterLines="50" w:line="360" w:lineRule="auto"/>
        <w:ind w:left="1100" w:leftChars="0" w:hanging="68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“包括”，指包括但不限于；</w:t>
      </w:r>
    </w:p>
    <w:p>
      <w:pPr>
        <w:keepLines w:val="0"/>
        <w:pageBreakBefore w:val="0"/>
        <w:widowControl/>
        <w:numPr>
          <w:ilvl w:val="2"/>
          <w:numId w:val="3"/>
        </w:numPr>
        <w:tabs>
          <w:tab w:val="left" w:pos="1276"/>
          <w:tab w:val="left" w:pos="1418"/>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“以上</w:t>
      </w:r>
      <w:r>
        <w:rPr>
          <w:rFonts w:hint="eastAsia" w:ascii="Times New Roman" w:hAnsi="Times New Roman" w:eastAsia="宋体" w:cs="Times New Roman"/>
          <w:bCs/>
          <w:color w:val="auto"/>
          <w:kern w:val="0"/>
          <w:sz w:val="28"/>
          <w:szCs w:val="28"/>
          <w:highlight w:val="none"/>
          <w:lang w:val="en-US" w:eastAsia="zh-CN" w:bidi="ar-SA"/>
        </w:rPr>
        <w:t>”“</w:t>
      </w:r>
      <w:r>
        <w:rPr>
          <w:rFonts w:hint="default" w:ascii="Times New Roman" w:hAnsi="Times New Roman" w:eastAsia="宋体" w:cs="Times New Roman"/>
          <w:bCs/>
          <w:color w:val="auto"/>
          <w:kern w:val="0"/>
          <w:sz w:val="28"/>
          <w:szCs w:val="28"/>
          <w:highlight w:val="none"/>
          <w:lang w:val="en-US" w:eastAsia="zh-CN" w:bidi="ar-SA"/>
        </w:rPr>
        <w:t>以下</w:t>
      </w:r>
      <w:r>
        <w:rPr>
          <w:rFonts w:hint="eastAsia" w:ascii="Times New Roman" w:hAnsi="Times New Roman" w:eastAsia="宋体" w:cs="Times New Roman"/>
          <w:bCs/>
          <w:color w:val="auto"/>
          <w:kern w:val="0"/>
          <w:sz w:val="28"/>
          <w:szCs w:val="28"/>
          <w:highlight w:val="none"/>
          <w:lang w:val="en-US" w:eastAsia="zh-CN" w:bidi="ar-SA"/>
        </w:rPr>
        <w:t>”“</w:t>
      </w:r>
      <w:r>
        <w:rPr>
          <w:rFonts w:hint="default" w:ascii="Times New Roman" w:hAnsi="Times New Roman" w:eastAsia="宋体" w:cs="Times New Roman"/>
          <w:bCs/>
          <w:color w:val="auto"/>
          <w:kern w:val="0"/>
          <w:sz w:val="28"/>
          <w:szCs w:val="28"/>
          <w:highlight w:val="none"/>
          <w:lang w:val="en-US" w:eastAsia="zh-CN" w:bidi="ar-SA"/>
        </w:rPr>
        <w:t>以内”或“内”均含本数，“超过</w:t>
      </w:r>
      <w:r>
        <w:rPr>
          <w:rFonts w:hint="eastAsia" w:ascii="Times New Roman" w:hAnsi="Times New Roman" w:eastAsia="宋体" w:cs="Times New Roman"/>
          <w:bCs/>
          <w:color w:val="auto"/>
          <w:kern w:val="0"/>
          <w:sz w:val="28"/>
          <w:szCs w:val="28"/>
          <w:highlight w:val="none"/>
          <w:lang w:val="en-US" w:eastAsia="zh-CN" w:bidi="ar-SA"/>
        </w:rPr>
        <w:t>”“</w:t>
      </w:r>
      <w:r>
        <w:rPr>
          <w:rFonts w:hint="default" w:ascii="Times New Roman" w:hAnsi="Times New Roman" w:eastAsia="宋体" w:cs="Times New Roman"/>
          <w:bCs/>
          <w:color w:val="auto"/>
          <w:kern w:val="0"/>
          <w:sz w:val="28"/>
          <w:szCs w:val="28"/>
          <w:highlight w:val="none"/>
          <w:lang w:val="en-US" w:eastAsia="zh-CN" w:bidi="ar-SA"/>
        </w:rPr>
        <w:t>以外”均不含本数；</w:t>
      </w:r>
    </w:p>
    <w:p>
      <w:pPr>
        <w:keepLines w:val="0"/>
        <w:pageBreakBefore w:val="0"/>
        <w:widowControl/>
        <w:numPr>
          <w:ilvl w:val="2"/>
          <w:numId w:val="3"/>
        </w:numPr>
        <w:tabs>
          <w:tab w:val="left" w:pos="1276"/>
          <w:tab w:val="left" w:pos="1418"/>
        </w:tabs>
        <w:kinsoku/>
        <w:wordWrap/>
        <w:overflowPunct/>
        <w:topLinePunct w:val="0"/>
        <w:autoSpaceDE w:val="0"/>
        <w:autoSpaceDN w:val="0"/>
        <w:bidi w:val="0"/>
        <w:adjustRightInd w:val="0"/>
        <w:snapToGrid/>
        <w:spacing w:before="156" w:beforeLines="50" w:after="156" w:afterLines="50" w:line="360" w:lineRule="auto"/>
        <w:ind w:left="1100" w:leftChars="0" w:hanging="68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 xml:space="preserve">日、月、季、年，指公历的日、月、季、年； </w:t>
      </w:r>
    </w:p>
    <w:p>
      <w:pPr>
        <w:keepLines w:val="0"/>
        <w:pageBreakBefore w:val="0"/>
        <w:widowControl/>
        <w:numPr>
          <w:ilvl w:val="2"/>
          <w:numId w:val="3"/>
        </w:numPr>
        <w:tabs>
          <w:tab w:val="left" w:pos="1276"/>
          <w:tab w:val="left" w:pos="1418"/>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r>
        <w:rPr>
          <w:rFonts w:hint="default" w:ascii="Times New Roman" w:hAnsi="Times New Roman" w:eastAsia="宋体" w:cs="Times New Roman"/>
          <w:bCs/>
          <w:color w:val="auto"/>
          <w:kern w:val="0"/>
          <w:sz w:val="28"/>
          <w:szCs w:val="28"/>
          <w:highlight w:val="none"/>
          <w:lang w:val="en-US" w:eastAsia="zh-CN" w:bidi="ar-SA"/>
        </w:rPr>
        <w:t>本协议并不限制或以其他方式影响甲方及其他政府主管部门行使其法定行政职权。</w:t>
      </w:r>
    </w:p>
    <w:bookmarkEnd w:id="111"/>
    <w:p>
      <w:pPr>
        <w:keepNext w:val="0"/>
        <w:keepLines w:val="0"/>
        <w:pageBreakBefore w:val="0"/>
        <w:widowControl/>
        <w:numPr>
          <w:ilvl w:val="0"/>
          <w:numId w:val="3"/>
        </w:numPr>
        <w:tabs>
          <w:tab w:val="left" w:pos="1134"/>
        </w:tabs>
        <w:kinsoku/>
        <w:wordWrap/>
        <w:overflowPunct/>
        <w:topLinePunct w:val="0"/>
        <w:autoSpaceDE w:val="0"/>
        <w:autoSpaceDN w:val="0"/>
        <w:bidi w:val="0"/>
        <w:adjustRightInd w:val="0"/>
        <w:snapToGrid/>
        <w:spacing w:before="312" w:beforeLines="100" w:after="0" w:line="360" w:lineRule="auto"/>
        <w:ind w:left="-119" w:leftChars="0" w:right="28" w:firstLine="119" w:firstLineChars="0"/>
        <w:jc w:val="left"/>
        <w:textAlignment w:val="auto"/>
        <w:outlineLvl w:val="1"/>
        <w:rPr>
          <w:rFonts w:hint="default" w:ascii="Times New Roman" w:hAnsi="Times New Roman" w:eastAsia="宋体" w:cs="Times New Roman"/>
          <w:b/>
          <w:color w:val="auto"/>
          <w:kern w:val="0"/>
          <w:sz w:val="28"/>
          <w:szCs w:val="28"/>
          <w:highlight w:val="none"/>
          <w:lang w:val="en-US" w:eastAsia="zh-CN" w:bidi="ar-SA"/>
        </w:rPr>
      </w:pPr>
      <w:bookmarkStart w:id="112" w:name="_Toc7906"/>
      <w:bookmarkStart w:id="113" w:name="_Toc5248"/>
      <w:bookmarkStart w:id="114" w:name="_Toc30301"/>
      <w:r>
        <w:rPr>
          <w:rFonts w:hint="default" w:ascii="Times New Roman" w:hAnsi="Times New Roman" w:eastAsia="宋体" w:cs="Times New Roman"/>
          <w:b/>
          <w:color w:val="auto"/>
          <w:kern w:val="0"/>
          <w:sz w:val="28"/>
          <w:szCs w:val="28"/>
          <w:highlight w:val="none"/>
          <w:lang w:val="en-US" w:eastAsia="zh-CN" w:bidi="ar-SA"/>
        </w:rPr>
        <w:t>合作关系建立</w:t>
      </w:r>
      <w:bookmarkEnd w:id="112"/>
      <w:bookmarkEnd w:id="113"/>
      <w:bookmarkEnd w:id="114"/>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2"/>
          <w:sz w:val="28"/>
          <w:szCs w:val="28"/>
          <w:highlight w:val="none"/>
          <w:lang w:val="en-US" w:eastAsia="zh-CN" w:bidi="ar-SA"/>
        </w:rPr>
      </w:pPr>
      <w:r>
        <w:rPr>
          <w:rFonts w:hint="default" w:ascii="Times New Roman" w:hAnsi="Times New Roman" w:eastAsia="宋体" w:cs="Times New Roman"/>
          <w:b/>
          <w:color w:val="auto"/>
          <w:kern w:val="0"/>
          <w:sz w:val="28"/>
          <w:szCs w:val="28"/>
          <w:highlight w:val="none"/>
          <w:lang w:val="en-US" w:eastAsia="zh-CN" w:bidi="ar-SA"/>
        </w:rPr>
        <w:t>合作范围</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甲方已获得</w:t>
      </w:r>
      <w:r>
        <w:rPr>
          <w:rFonts w:hint="eastAsia" w:ascii="Times New Roman" w:hAnsi="Times New Roman" w:eastAsia="宋体" w:cs="Times New Roman"/>
          <w:color w:val="auto"/>
          <w:sz w:val="28"/>
          <w:szCs w:val="28"/>
          <w:highlight w:val="none"/>
          <w:lang w:val="en-US" w:eastAsia="zh-CN"/>
        </w:rPr>
        <w:t>遂宁市安居区人民政府</w:t>
      </w:r>
      <w:r>
        <w:rPr>
          <w:rFonts w:hint="default" w:ascii="Times New Roman" w:hAnsi="Times New Roman" w:eastAsia="宋体" w:cs="Times New Roman"/>
          <w:color w:val="auto"/>
          <w:sz w:val="28"/>
          <w:szCs w:val="28"/>
          <w:highlight w:val="none"/>
        </w:rPr>
        <w:t>的授权，通过与乙方签订《</w:t>
      </w:r>
      <w:r>
        <w:rPr>
          <w:rFonts w:hint="default" w:ascii="Times New Roman" w:hAnsi="Times New Roman" w:eastAsia="宋体" w:cs="Times New Roman"/>
          <w:color w:val="auto"/>
          <w:sz w:val="28"/>
          <w:szCs w:val="28"/>
          <w:highlight w:val="none"/>
          <w:lang w:val="en-US" w:eastAsia="zh-CN"/>
        </w:rPr>
        <w:t>特许经营权协议</w:t>
      </w:r>
      <w:r>
        <w:rPr>
          <w:rFonts w:hint="default" w:ascii="Times New Roman" w:hAnsi="Times New Roman" w:eastAsia="宋体" w:cs="Times New Roman"/>
          <w:color w:val="auto"/>
          <w:sz w:val="28"/>
          <w:szCs w:val="28"/>
          <w:highlight w:val="none"/>
        </w:rPr>
        <w:t>》的方式，将本项目</w:t>
      </w:r>
      <w:r>
        <w:rPr>
          <w:rFonts w:hint="eastAsia" w:ascii="Times New Roman" w:hAnsi="Times New Roman" w:eastAsia="宋体" w:cs="Times New Roman"/>
          <w:color w:val="auto"/>
          <w:sz w:val="28"/>
          <w:szCs w:val="28"/>
          <w:highlight w:val="none"/>
        </w:rPr>
        <w:t>已支付的经营权出让费对应项目设施的使用、经营和收益权；</w:t>
      </w:r>
      <w:r>
        <w:rPr>
          <w:rFonts w:hint="default" w:ascii="Times New Roman" w:hAnsi="Times New Roman" w:eastAsia="宋体" w:cs="Times New Roman"/>
          <w:color w:val="auto"/>
          <w:sz w:val="28"/>
          <w:szCs w:val="28"/>
          <w:highlight w:val="none"/>
        </w:rPr>
        <w:t>特许经营期结束后，</w:t>
      </w:r>
      <w:r>
        <w:rPr>
          <w:rFonts w:hint="default" w:ascii="Times New Roman" w:hAnsi="Times New Roman" w:eastAsia="宋体" w:cs="Times New Roman"/>
          <w:color w:val="auto"/>
          <w:sz w:val="28"/>
          <w:szCs w:val="28"/>
          <w:highlight w:val="none"/>
          <w:lang w:val="en-US" w:eastAsia="zh-CN"/>
        </w:rPr>
        <w:t>乙方</w:t>
      </w:r>
      <w:r>
        <w:rPr>
          <w:rFonts w:hint="default" w:ascii="Times New Roman" w:hAnsi="Times New Roman" w:eastAsia="宋体" w:cs="Times New Roman"/>
          <w:color w:val="auto"/>
          <w:sz w:val="28"/>
          <w:szCs w:val="28"/>
          <w:highlight w:val="none"/>
        </w:rPr>
        <w:t>将项目设施无偿移交给</w:t>
      </w:r>
      <w:r>
        <w:rPr>
          <w:rFonts w:hint="eastAsia" w:ascii="Times New Roman" w:hAnsi="Times New Roman" w:eastAsia="宋体" w:cs="Times New Roman"/>
          <w:sz w:val="28"/>
          <w:lang w:val="en-US" w:eastAsia="zh-CN"/>
        </w:rPr>
        <w:t>遂宁市安居区综合行政执法局</w:t>
      </w:r>
      <w:r>
        <w:rPr>
          <w:rFonts w:hint="default" w:ascii="Times New Roman" w:hAnsi="Times New Roman" w:eastAsia="宋体" w:cs="Times New Roman"/>
          <w:color w:val="auto"/>
          <w:sz w:val="28"/>
          <w:szCs w:val="28"/>
          <w:highlight w:val="none"/>
        </w:rPr>
        <w:t>或其指定机构。</w:t>
      </w:r>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r>
        <w:rPr>
          <w:rFonts w:hint="default" w:ascii="Times New Roman" w:hAnsi="Times New Roman" w:eastAsia="宋体" w:cs="Times New Roman"/>
          <w:b/>
          <w:color w:val="auto"/>
          <w:kern w:val="0"/>
          <w:sz w:val="28"/>
          <w:szCs w:val="28"/>
          <w:highlight w:val="none"/>
          <w:lang w:val="en-US" w:eastAsia="zh-CN" w:bidi="ar-SA"/>
        </w:rPr>
        <w:t>合作期限</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0000FF"/>
          <w:kern w:val="0"/>
          <w:sz w:val="28"/>
          <w:szCs w:val="28"/>
          <w:highlight w:val="none"/>
        </w:rPr>
        <w:t>本项目特许经营期</w:t>
      </w:r>
      <w:r>
        <w:rPr>
          <w:rFonts w:hint="eastAsia" w:ascii="Times New Roman" w:hAnsi="Times New Roman" w:eastAsia="宋体" w:cs="Times New Roman"/>
          <w:color w:val="0000FF"/>
          <w:kern w:val="0"/>
          <w:sz w:val="28"/>
          <w:szCs w:val="28"/>
          <w:highlight w:val="none"/>
          <w:lang w:val="en-US" w:eastAsia="zh-CN"/>
        </w:rPr>
        <w:t>30</w:t>
      </w:r>
      <w:r>
        <w:rPr>
          <w:rFonts w:hint="default" w:ascii="Times New Roman" w:hAnsi="Times New Roman" w:eastAsia="宋体" w:cs="Times New Roman"/>
          <w:color w:val="0000FF"/>
          <w:kern w:val="0"/>
          <w:sz w:val="28"/>
          <w:szCs w:val="28"/>
          <w:highlight w:val="none"/>
        </w:rPr>
        <w:t>年</w:t>
      </w:r>
      <w:r>
        <w:rPr>
          <w:rFonts w:hint="default" w:ascii="Times New Roman" w:hAnsi="Times New Roman" w:eastAsia="宋体" w:cs="Times New Roman"/>
          <w:color w:val="auto"/>
          <w:sz w:val="28"/>
          <w:szCs w:val="28"/>
          <w:highlight w:val="none"/>
        </w:rPr>
        <w:t>。</w:t>
      </w:r>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r>
        <w:rPr>
          <w:rFonts w:hint="default" w:ascii="Times New Roman" w:hAnsi="Times New Roman" w:eastAsia="宋体" w:cs="Times New Roman"/>
          <w:b/>
          <w:color w:val="auto"/>
          <w:kern w:val="0"/>
          <w:sz w:val="28"/>
          <w:szCs w:val="28"/>
          <w:highlight w:val="none"/>
          <w:lang w:val="en-US" w:eastAsia="zh-CN" w:bidi="ar-SA"/>
        </w:rPr>
        <w:t>支付安排</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本项目特许经营转让款的支付方式为：乙方</w:t>
      </w:r>
      <w:r>
        <w:rPr>
          <w:rFonts w:hint="default" w:ascii="Times New Roman" w:hAnsi="Times New Roman" w:eastAsia="宋体" w:cs="Times New Roman"/>
          <w:color w:val="auto"/>
          <w:sz w:val="28"/>
          <w:szCs w:val="28"/>
          <w:highlight w:val="none"/>
          <w:lang w:val="en-US" w:eastAsia="zh-CN"/>
        </w:rPr>
        <w:t>在</w:t>
      </w:r>
      <w:r>
        <w:rPr>
          <w:rFonts w:hint="default" w:ascii="Times New Roman" w:hAnsi="Times New Roman" w:eastAsia="宋体" w:cs="Times New Roman"/>
          <w:color w:val="auto"/>
          <w:sz w:val="28"/>
          <w:szCs w:val="28"/>
          <w:highlight w:val="none"/>
        </w:rPr>
        <w:t>《特许经营权协议》签订后</w:t>
      </w:r>
      <w:r>
        <w:rPr>
          <w:rFonts w:hint="default"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日内支付</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特许经营转让款</w:t>
      </w: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剩余转让款在1个月内支付完成</w:t>
      </w:r>
      <w:r>
        <w:rPr>
          <w:rFonts w:hint="default" w:ascii="Times New Roman" w:hAnsi="Times New Roman" w:eastAsia="宋体" w:cs="Times New Roman"/>
          <w:color w:val="auto"/>
          <w:sz w:val="28"/>
          <w:szCs w:val="28"/>
          <w:highlight w:val="none"/>
        </w:rPr>
        <w:t>。</w:t>
      </w:r>
    </w:p>
    <w:p>
      <w:pPr>
        <w:keepNext w:val="0"/>
        <w:keepLines w:val="0"/>
        <w:pageBreakBefore w:val="0"/>
        <w:widowControl/>
        <w:numPr>
          <w:ilvl w:val="0"/>
          <w:numId w:val="3"/>
        </w:numPr>
        <w:tabs>
          <w:tab w:val="left" w:pos="1134"/>
        </w:tabs>
        <w:kinsoku/>
        <w:wordWrap/>
        <w:overflowPunct/>
        <w:topLinePunct w:val="0"/>
        <w:autoSpaceDE w:val="0"/>
        <w:autoSpaceDN w:val="0"/>
        <w:bidi w:val="0"/>
        <w:adjustRightInd w:val="0"/>
        <w:snapToGrid/>
        <w:spacing w:before="312" w:beforeLines="100" w:after="0" w:line="360" w:lineRule="auto"/>
        <w:ind w:left="-119" w:leftChars="0" w:right="28" w:firstLine="119" w:firstLineChars="0"/>
        <w:jc w:val="left"/>
        <w:textAlignment w:val="auto"/>
        <w:outlineLvl w:val="1"/>
        <w:rPr>
          <w:rFonts w:hint="default" w:ascii="Times New Roman" w:hAnsi="Times New Roman" w:eastAsia="宋体" w:cs="Times New Roman"/>
          <w:b/>
          <w:color w:val="auto"/>
          <w:kern w:val="0"/>
          <w:sz w:val="28"/>
          <w:szCs w:val="28"/>
          <w:highlight w:val="none"/>
          <w:lang w:val="en-US" w:eastAsia="zh-CN" w:bidi="ar-SA"/>
        </w:rPr>
      </w:pPr>
      <w:bookmarkStart w:id="115" w:name="_Toc22158"/>
      <w:bookmarkStart w:id="116" w:name="_Toc27698"/>
      <w:bookmarkStart w:id="117" w:name="_Toc18255"/>
      <w:r>
        <w:rPr>
          <w:rFonts w:hint="default" w:ascii="Times New Roman" w:hAnsi="Times New Roman" w:eastAsia="宋体" w:cs="Times New Roman"/>
          <w:b/>
          <w:color w:val="auto"/>
          <w:kern w:val="0"/>
          <w:sz w:val="28"/>
          <w:szCs w:val="28"/>
          <w:highlight w:val="none"/>
          <w:lang w:val="en-US" w:eastAsia="zh-CN" w:bidi="ar-SA"/>
        </w:rPr>
        <w:t>权利和义务及双方承诺</w:t>
      </w:r>
      <w:bookmarkEnd w:id="115"/>
      <w:bookmarkEnd w:id="116"/>
      <w:bookmarkEnd w:id="117"/>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bookmarkStart w:id="118" w:name="_Toc475566579"/>
      <w:r>
        <w:rPr>
          <w:rFonts w:hint="default" w:ascii="Times New Roman" w:hAnsi="Times New Roman" w:eastAsia="宋体" w:cs="Times New Roman"/>
          <w:b/>
          <w:color w:val="auto"/>
          <w:kern w:val="0"/>
          <w:sz w:val="28"/>
          <w:szCs w:val="28"/>
          <w:highlight w:val="none"/>
          <w:lang w:val="en-US" w:eastAsia="zh-CN" w:bidi="ar-SA"/>
        </w:rPr>
        <w:t>甲方的权利和义务</w:t>
      </w:r>
      <w:bookmarkEnd w:id="118"/>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bookmarkStart w:id="119" w:name="_Toc475566585"/>
      <w:r>
        <w:rPr>
          <w:rFonts w:hint="default" w:ascii="Times New Roman" w:hAnsi="Times New Roman" w:eastAsia="宋体" w:cs="Times New Roman"/>
          <w:color w:val="auto"/>
          <w:kern w:val="2"/>
          <w:sz w:val="28"/>
          <w:szCs w:val="28"/>
          <w:highlight w:val="none"/>
          <w:lang w:val="en-US" w:eastAsia="zh-CN" w:bidi="ar-SA"/>
        </w:rPr>
        <w:t>（1）遂宁市安居区综合行政执法局及相关部门的权利</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①对特许经营者是否遵守本协议的监督检查权；</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②要求特许经营者按照协议约定提供停车收费的权利；</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③受理公众对特许经营者的投诉；</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④其他法律、行政法规及本协议赋予的权利。</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（2）遂宁市安居区综合行政执法局及相关部门的义务</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①协助特许经营者及时获得所有必要的许可或批准，包括但不限于项目核准、运营许可证的申请。但甲方按照此条，协助特许经营者应当获得的所有批准；</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②协助特许经营者享有依照税收法律、政策应享有的优惠待遇及本地相关享有的优惠政策；</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③保障乙方的停车位正常运营，协调交管部门加大对违章停车的查处力度。</w:t>
      </w:r>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r>
        <w:rPr>
          <w:rFonts w:hint="default" w:ascii="Times New Roman" w:hAnsi="Times New Roman" w:eastAsia="宋体" w:cs="Times New Roman"/>
          <w:b/>
          <w:color w:val="auto"/>
          <w:kern w:val="0"/>
          <w:sz w:val="28"/>
          <w:szCs w:val="28"/>
          <w:highlight w:val="none"/>
          <w:lang w:val="en-US" w:eastAsia="zh-CN" w:bidi="ar-SA"/>
        </w:rPr>
        <w:t>乙方的权利和义务</w:t>
      </w:r>
      <w:bookmarkEnd w:id="119"/>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（1）特许经营企业的权利</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特许经营企业有权根据法律、法规和行政规章的规定，负责</w:t>
      </w:r>
      <w:r>
        <w:rPr>
          <w:rFonts w:hint="eastAsia" w:ascii="Times New Roman" w:hAnsi="Times New Roman" w:eastAsia="宋体" w:cs="Times New Roman"/>
          <w:color w:val="auto"/>
          <w:kern w:val="2"/>
          <w:sz w:val="28"/>
          <w:szCs w:val="28"/>
          <w:highlight w:val="none"/>
          <w:lang w:val="en-US" w:eastAsia="zh-CN" w:bidi="ar-SA"/>
        </w:rPr>
        <w:t>遂宁市安居区城区智慧停车位项目</w:t>
      </w:r>
      <w:r>
        <w:rPr>
          <w:rFonts w:hint="default" w:ascii="Times New Roman" w:hAnsi="Times New Roman" w:eastAsia="宋体" w:cs="Times New Roman"/>
          <w:color w:val="auto"/>
          <w:kern w:val="2"/>
          <w:sz w:val="28"/>
          <w:szCs w:val="28"/>
          <w:highlight w:val="none"/>
          <w:lang w:val="en-US" w:eastAsia="zh-CN" w:bidi="ar-SA"/>
        </w:rPr>
        <w:t>的投融资、运营、维护及管理等相关工作，包括：</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a.在项目特许经营期内，中标企业享有本项目范围内的特许经营权；</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b.通过对项目的投融资、运营维护，获得项目收入，以回收项目投资并获得合理利润的权利；</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c.法律法规以及协议约定的其他权利</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（2）特许经营企业的义务</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①按法律及本协议规定运营项目，提供持续、安全、稳定的停车收费；</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②对甲方提供的与本协议有关的文件、数据、信息以及各种技术文件、数据和资料，如果属于国家机密或法律、法规规定应当保密的，特许经营者应采取严格的保密措施，避免泄露给其他人；</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③积极配合政府处理突发事件或紧急情况；</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④接受甲方及其他主管部门对安全、服务、质量的监督检查。并执行政府部门依法管理中做出的各类决定和意见。任何该类决定或意见的执行，都不影响双方在本协议中的地位、权利和义务。</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⑤特许经营者应遵守和执行相应环保标准和要求，以及特许经营者在运营和维护停车位及项目设施时对于避免或尽量减少对设施、建筑物和居民区的妨碍的责任。</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⑥特许经营者应按照中华人民共和国及其政府部门颁布的法律和法规缴纳所有税金、关税及收费。</w:t>
      </w:r>
    </w:p>
    <w:p>
      <w:pPr>
        <w:keepLines w:val="0"/>
        <w:pageBreakBefore w:val="0"/>
        <w:widowControl w:val="0"/>
        <w:kinsoku/>
        <w:wordWrap/>
        <w:overflowPunct/>
        <w:topLinePunct w:val="0"/>
        <w:bidi w:val="0"/>
        <w:snapToGrid/>
        <w:spacing w:before="80" w:after="80" w:line="360" w:lineRule="auto"/>
        <w:ind w:firstLine="505" w:firstLineChars="177"/>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⑦本协议约定的其他义务。</w:t>
      </w:r>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r>
        <w:rPr>
          <w:rFonts w:hint="default" w:ascii="Times New Roman" w:hAnsi="Times New Roman" w:eastAsia="宋体" w:cs="Times New Roman"/>
          <w:b/>
          <w:color w:val="auto"/>
          <w:kern w:val="0"/>
          <w:sz w:val="28"/>
          <w:szCs w:val="28"/>
          <w:highlight w:val="none"/>
          <w:lang w:val="en-US" w:eastAsia="zh-CN" w:bidi="ar-SA"/>
        </w:rPr>
        <w:t>双方承诺</w:t>
      </w:r>
    </w:p>
    <w:p>
      <w:pPr>
        <w:keepLines w:val="0"/>
        <w:pageBreakBefore w:val="0"/>
        <w:widowControl/>
        <w:numPr>
          <w:ilvl w:val="2"/>
          <w:numId w:val="3"/>
        </w:numPr>
        <w:tabs>
          <w:tab w:val="left" w:pos="0"/>
          <w:tab w:val="left" w:pos="1276"/>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bookmarkStart w:id="120" w:name="_Toc475566598"/>
      <w:r>
        <w:rPr>
          <w:rFonts w:hint="default" w:ascii="Times New Roman" w:hAnsi="Times New Roman" w:eastAsia="宋体" w:cs="Times New Roman"/>
          <w:bCs/>
          <w:color w:val="auto"/>
          <w:kern w:val="0"/>
          <w:sz w:val="28"/>
          <w:szCs w:val="28"/>
          <w:highlight w:val="none"/>
          <w:lang w:val="en-US" w:eastAsia="zh-CN" w:bidi="ar-SA"/>
        </w:rPr>
        <w:t>截至本协议生效日止，不存在可能会构成违反有关法律或可能妨碍其履行在本协议项下义务的情况；不存在未披露的对其签署本协议或履行其在本协议项下义务可能产生严重不利影响的事件，包括但不限于可能要提起的诉讼、仲裁、已经或将要进行的政府调查或行政处罚程序及其他法律程序。</w:t>
      </w:r>
      <w:bookmarkEnd w:id="120"/>
    </w:p>
    <w:p>
      <w:pPr>
        <w:keepLines w:val="0"/>
        <w:pageBreakBefore w:val="0"/>
        <w:widowControl/>
        <w:numPr>
          <w:ilvl w:val="2"/>
          <w:numId w:val="3"/>
        </w:numPr>
        <w:tabs>
          <w:tab w:val="left" w:pos="0"/>
          <w:tab w:val="left" w:pos="1276"/>
        </w:tabs>
        <w:kinsoku/>
        <w:wordWrap/>
        <w:overflowPunct/>
        <w:topLinePunct w:val="0"/>
        <w:autoSpaceDE w:val="0"/>
        <w:autoSpaceDN w:val="0"/>
        <w:bidi w:val="0"/>
        <w:adjustRightInd w:val="0"/>
        <w:snapToGrid/>
        <w:spacing w:before="156" w:beforeLines="50" w:after="156" w:afterLines="50" w:line="360" w:lineRule="auto"/>
        <w:ind w:left="0" w:leftChars="0" w:firstLine="420" w:firstLineChars="0"/>
        <w:jc w:val="both"/>
        <w:textAlignment w:val="auto"/>
        <w:outlineLvl w:val="9"/>
        <w:rPr>
          <w:rFonts w:hint="default" w:ascii="Times New Roman" w:hAnsi="Times New Roman" w:eastAsia="宋体" w:cs="Times New Roman"/>
          <w:bCs/>
          <w:color w:val="auto"/>
          <w:kern w:val="0"/>
          <w:sz w:val="28"/>
          <w:szCs w:val="28"/>
          <w:highlight w:val="none"/>
          <w:lang w:val="en-US" w:eastAsia="zh-CN" w:bidi="ar-SA"/>
        </w:rPr>
      </w:pPr>
      <w:bookmarkStart w:id="121" w:name="_Toc475566599"/>
      <w:r>
        <w:rPr>
          <w:rFonts w:hint="default" w:ascii="Times New Roman" w:hAnsi="Times New Roman" w:eastAsia="宋体" w:cs="Times New Roman"/>
          <w:bCs/>
          <w:color w:val="auto"/>
          <w:kern w:val="0"/>
          <w:sz w:val="28"/>
          <w:szCs w:val="28"/>
          <w:highlight w:val="none"/>
          <w:lang w:val="en-US" w:eastAsia="zh-CN" w:bidi="ar-SA"/>
        </w:rPr>
        <w:t>无论是本协议的签署还是对本协议项下义务的履行，均不会抵触、违反或违背其营业执照、公司章程或任何适用法律或任何政府部门的批准，或其为签约一方的任何协议。</w:t>
      </w:r>
      <w:bookmarkEnd w:id="121"/>
    </w:p>
    <w:p>
      <w:pPr>
        <w:keepNext w:val="0"/>
        <w:keepLines w:val="0"/>
        <w:pageBreakBefore w:val="0"/>
        <w:widowControl/>
        <w:numPr>
          <w:ilvl w:val="0"/>
          <w:numId w:val="3"/>
        </w:numPr>
        <w:tabs>
          <w:tab w:val="left" w:pos="1134"/>
        </w:tabs>
        <w:kinsoku/>
        <w:wordWrap/>
        <w:overflowPunct/>
        <w:topLinePunct w:val="0"/>
        <w:autoSpaceDE w:val="0"/>
        <w:autoSpaceDN w:val="0"/>
        <w:bidi w:val="0"/>
        <w:adjustRightInd w:val="0"/>
        <w:snapToGrid/>
        <w:spacing w:before="312" w:beforeLines="100" w:after="0" w:line="360" w:lineRule="auto"/>
        <w:ind w:left="-119" w:leftChars="0" w:right="28" w:firstLine="119" w:firstLineChars="0"/>
        <w:jc w:val="left"/>
        <w:textAlignment w:val="auto"/>
        <w:outlineLvl w:val="1"/>
        <w:rPr>
          <w:rFonts w:hint="default" w:ascii="Times New Roman" w:hAnsi="Times New Roman" w:eastAsia="宋体" w:cs="Times New Roman"/>
          <w:b/>
          <w:color w:val="auto"/>
          <w:kern w:val="0"/>
          <w:sz w:val="28"/>
          <w:szCs w:val="28"/>
          <w:highlight w:val="none"/>
          <w:lang w:val="en-US" w:eastAsia="zh-CN" w:bidi="ar-SA"/>
        </w:rPr>
      </w:pPr>
      <w:bookmarkStart w:id="122" w:name="_Toc21624"/>
      <w:bookmarkStart w:id="123" w:name="_Toc26955"/>
      <w:bookmarkStart w:id="124" w:name="_Toc1036"/>
      <w:bookmarkStart w:id="125" w:name="_Toc55475668"/>
      <w:r>
        <w:rPr>
          <w:rFonts w:hint="default" w:ascii="Times New Roman" w:hAnsi="Times New Roman" w:eastAsia="宋体" w:cs="Times New Roman"/>
          <w:b/>
          <w:color w:val="auto"/>
          <w:kern w:val="0"/>
          <w:sz w:val="28"/>
          <w:szCs w:val="28"/>
          <w:highlight w:val="none"/>
          <w:lang w:val="en-US" w:eastAsia="zh-CN" w:bidi="ar-SA"/>
        </w:rPr>
        <w:t>本协议的组成部分</w:t>
      </w:r>
      <w:bookmarkEnd w:id="122"/>
      <w:bookmarkEnd w:id="123"/>
      <w:bookmarkEnd w:id="124"/>
      <w:bookmarkEnd w:id="125"/>
    </w:p>
    <w:p>
      <w:pPr>
        <w:keepNext w:val="0"/>
        <w:keepLines w:val="0"/>
        <w:pageBreakBefore w:val="0"/>
        <w:widowControl/>
        <w:numPr>
          <w:ilvl w:val="0"/>
          <w:numId w:val="0"/>
        </w:numPr>
        <w:tabs>
          <w:tab w:val="left" w:pos="908"/>
        </w:tabs>
        <w:kinsoku/>
        <w:wordWrap/>
        <w:overflowPunct/>
        <w:topLinePunct w:val="0"/>
        <w:autoSpaceDE w:val="0"/>
        <w:autoSpaceDN w:val="0"/>
        <w:bidi w:val="0"/>
        <w:adjustRightInd w:val="0"/>
        <w:snapToGrid/>
        <w:spacing w:before="156" w:beforeLines="50" w:after="0" w:line="360" w:lineRule="auto"/>
        <w:ind w:firstLine="572" w:firstLineChars="20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r>
        <w:rPr>
          <w:rFonts w:hint="default" w:ascii="Times New Roman" w:hAnsi="Times New Roman" w:eastAsia="宋体" w:cs="Times New Roman"/>
          <w:b w:val="0"/>
          <w:color w:val="auto"/>
          <w:kern w:val="0"/>
          <w:sz w:val="28"/>
          <w:szCs w:val="28"/>
          <w:highlight w:val="none"/>
          <w:lang w:val="en-US" w:eastAsia="zh-CN" w:bidi="ar-SA"/>
        </w:rPr>
        <w:t>甲乙双方确认，除非双方另有其他书面约定，本协议由以下内容组成：</w:t>
      </w:r>
    </w:p>
    <w:p>
      <w:pPr>
        <w:keepNext w:val="0"/>
        <w:keepLines w:val="0"/>
        <w:pageBreakBefore w:val="0"/>
        <w:widowControl/>
        <w:numPr>
          <w:ilvl w:val="0"/>
          <w:numId w:val="0"/>
        </w:numPr>
        <w:tabs>
          <w:tab w:val="left" w:pos="908"/>
        </w:tabs>
        <w:kinsoku/>
        <w:wordWrap/>
        <w:overflowPunct/>
        <w:topLinePunct w:val="0"/>
        <w:autoSpaceDE w:val="0"/>
        <w:autoSpaceDN w:val="0"/>
        <w:bidi w:val="0"/>
        <w:adjustRightInd w:val="0"/>
        <w:snapToGrid/>
        <w:spacing w:before="156" w:beforeLines="50" w:after="0" w:line="360" w:lineRule="auto"/>
        <w:ind w:firstLine="572" w:firstLineChars="20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r>
        <w:rPr>
          <w:rFonts w:hint="default" w:ascii="Times New Roman" w:hAnsi="Times New Roman" w:eastAsia="宋体" w:cs="Times New Roman"/>
          <w:b w:val="0"/>
          <w:color w:val="auto"/>
          <w:kern w:val="0"/>
          <w:sz w:val="28"/>
          <w:szCs w:val="28"/>
          <w:highlight w:val="none"/>
          <w:lang w:val="en-US" w:eastAsia="zh-CN" w:bidi="ar-SA"/>
        </w:rPr>
        <w:t>（1）双方在履行本协议过程中</w:t>
      </w:r>
      <w:r>
        <w:rPr>
          <w:rFonts w:hint="eastAsia" w:ascii="Times New Roman" w:hAnsi="Times New Roman" w:eastAsia="宋体" w:cs="Times New Roman"/>
          <w:b w:val="0"/>
          <w:color w:val="auto"/>
          <w:kern w:val="0"/>
          <w:sz w:val="28"/>
          <w:szCs w:val="28"/>
          <w:highlight w:val="none"/>
          <w:lang w:val="en-US" w:eastAsia="zh-CN" w:bidi="ar-SA"/>
        </w:rPr>
        <w:t>所</w:t>
      </w:r>
      <w:r>
        <w:rPr>
          <w:rFonts w:hint="default" w:ascii="Times New Roman" w:hAnsi="Times New Roman" w:eastAsia="宋体" w:cs="Times New Roman"/>
          <w:b w:val="0"/>
          <w:color w:val="auto"/>
          <w:kern w:val="0"/>
          <w:sz w:val="28"/>
          <w:szCs w:val="28"/>
          <w:highlight w:val="none"/>
          <w:lang w:val="en-US" w:eastAsia="zh-CN" w:bidi="ar-SA"/>
        </w:rPr>
        <w:t>形成的文件或协议；</w:t>
      </w:r>
    </w:p>
    <w:p>
      <w:pPr>
        <w:keepNext w:val="0"/>
        <w:keepLines w:val="0"/>
        <w:pageBreakBefore w:val="0"/>
        <w:widowControl/>
        <w:numPr>
          <w:ilvl w:val="0"/>
          <w:numId w:val="0"/>
        </w:numPr>
        <w:tabs>
          <w:tab w:val="left" w:pos="908"/>
        </w:tabs>
        <w:kinsoku/>
        <w:wordWrap/>
        <w:overflowPunct/>
        <w:topLinePunct w:val="0"/>
        <w:autoSpaceDE w:val="0"/>
        <w:autoSpaceDN w:val="0"/>
        <w:bidi w:val="0"/>
        <w:adjustRightInd w:val="0"/>
        <w:snapToGrid/>
        <w:spacing w:before="156" w:beforeLines="50" w:after="0" w:line="360" w:lineRule="auto"/>
        <w:ind w:firstLine="572" w:firstLineChars="20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r>
        <w:rPr>
          <w:rFonts w:hint="default" w:ascii="Times New Roman" w:hAnsi="Times New Roman" w:eastAsia="宋体" w:cs="Times New Roman"/>
          <w:b w:val="0"/>
          <w:color w:val="auto"/>
          <w:kern w:val="0"/>
          <w:sz w:val="28"/>
          <w:szCs w:val="28"/>
          <w:highlight w:val="none"/>
          <w:lang w:val="en-US" w:eastAsia="zh-CN" w:bidi="ar-SA"/>
        </w:rPr>
        <w:t>（2）本《特许经营权协议》；</w:t>
      </w:r>
    </w:p>
    <w:p>
      <w:pPr>
        <w:keepNext w:val="0"/>
        <w:keepLines w:val="0"/>
        <w:pageBreakBefore w:val="0"/>
        <w:widowControl/>
        <w:numPr>
          <w:ilvl w:val="0"/>
          <w:numId w:val="0"/>
        </w:numPr>
        <w:tabs>
          <w:tab w:val="left" w:pos="908"/>
        </w:tabs>
        <w:kinsoku/>
        <w:wordWrap/>
        <w:overflowPunct/>
        <w:topLinePunct w:val="0"/>
        <w:autoSpaceDE w:val="0"/>
        <w:autoSpaceDN w:val="0"/>
        <w:bidi w:val="0"/>
        <w:adjustRightInd w:val="0"/>
        <w:snapToGrid/>
        <w:spacing w:before="156" w:beforeLines="50" w:after="0" w:line="360" w:lineRule="auto"/>
        <w:ind w:firstLine="572" w:firstLineChars="20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r>
        <w:rPr>
          <w:rFonts w:hint="default" w:ascii="Times New Roman" w:hAnsi="Times New Roman" w:eastAsia="宋体" w:cs="Times New Roman"/>
          <w:b w:val="0"/>
          <w:color w:val="auto"/>
          <w:kern w:val="0"/>
          <w:sz w:val="28"/>
          <w:szCs w:val="28"/>
          <w:highlight w:val="none"/>
          <w:lang w:val="en-US" w:eastAsia="zh-CN" w:bidi="ar-SA"/>
        </w:rPr>
        <w:t>（3）本项目采购文件、招标文件、澄清文件、投标文件、中标通知书。</w:t>
      </w:r>
    </w:p>
    <w:p>
      <w:pPr>
        <w:keepNext w:val="0"/>
        <w:keepLines w:val="0"/>
        <w:pageBreakBefore w:val="0"/>
        <w:widowControl/>
        <w:numPr>
          <w:ilvl w:val="0"/>
          <w:numId w:val="3"/>
        </w:numPr>
        <w:tabs>
          <w:tab w:val="left" w:pos="1134"/>
        </w:tabs>
        <w:kinsoku/>
        <w:wordWrap/>
        <w:overflowPunct/>
        <w:topLinePunct w:val="0"/>
        <w:autoSpaceDE w:val="0"/>
        <w:autoSpaceDN w:val="0"/>
        <w:bidi w:val="0"/>
        <w:adjustRightInd w:val="0"/>
        <w:snapToGrid/>
        <w:spacing w:before="312" w:beforeLines="100" w:after="100" w:afterAutospacing="1" w:line="360" w:lineRule="auto"/>
        <w:ind w:left="-119" w:leftChars="0" w:right="28" w:firstLine="119" w:firstLineChars="0"/>
        <w:jc w:val="left"/>
        <w:textAlignment w:val="auto"/>
        <w:outlineLvl w:val="1"/>
        <w:rPr>
          <w:rFonts w:hint="default" w:ascii="Times New Roman" w:hAnsi="Times New Roman" w:eastAsia="宋体" w:cs="Times New Roman"/>
          <w:b/>
          <w:color w:val="auto"/>
          <w:kern w:val="0"/>
          <w:sz w:val="28"/>
          <w:szCs w:val="28"/>
          <w:highlight w:val="none"/>
          <w:lang w:val="en-US" w:eastAsia="zh-CN" w:bidi="ar-SA"/>
        </w:rPr>
      </w:pPr>
      <w:bookmarkStart w:id="126" w:name="_Toc12684"/>
      <w:bookmarkStart w:id="127" w:name="_Toc5838"/>
      <w:bookmarkStart w:id="128" w:name="_Toc31804"/>
      <w:r>
        <w:rPr>
          <w:rFonts w:hint="default" w:ascii="Times New Roman" w:hAnsi="Times New Roman" w:eastAsia="宋体" w:cs="Times New Roman"/>
          <w:b/>
          <w:color w:val="auto"/>
          <w:kern w:val="0"/>
          <w:sz w:val="28"/>
          <w:szCs w:val="28"/>
          <w:highlight w:val="none"/>
          <w:lang w:val="en-US" w:eastAsia="zh-CN" w:bidi="ar-SA"/>
        </w:rPr>
        <w:t>违约情形与责任</w:t>
      </w:r>
      <w:bookmarkEnd w:id="126"/>
      <w:bookmarkEnd w:id="127"/>
      <w:bookmarkEnd w:id="128"/>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bookmarkStart w:id="129" w:name="_Toc475566609"/>
      <w:r>
        <w:rPr>
          <w:rFonts w:hint="default" w:ascii="Times New Roman" w:hAnsi="Times New Roman" w:eastAsia="宋体" w:cs="Times New Roman"/>
          <w:b/>
          <w:color w:val="auto"/>
          <w:kern w:val="0"/>
          <w:sz w:val="28"/>
          <w:szCs w:val="28"/>
          <w:highlight w:val="none"/>
          <w:lang w:val="en-US" w:eastAsia="zh-CN" w:bidi="ar-SA"/>
        </w:rPr>
        <w:t>甲方的违约情形与责任</w:t>
      </w:r>
      <w:bookmarkEnd w:id="129"/>
    </w:p>
    <w:p>
      <w:pPr>
        <w:keepLines w:val="0"/>
        <w:pageBreakBefore w:val="0"/>
        <w:widowControl w:val="0"/>
        <w:kinsoku/>
        <w:wordWrap/>
        <w:overflowPunct/>
        <w:topLinePunct w:val="0"/>
        <w:bidi w:val="0"/>
        <w:snapToGrid/>
        <w:spacing w:line="360" w:lineRule="auto"/>
        <w:ind w:firstLine="572"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因</w:t>
      </w: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及相关部门违反特许经营协议约定的义务，导致本项目的特许经营权在特许经营期内未能持续有效，或对特许经营企业依法行使特许经营权构成妨碍的，</w:t>
      </w: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及相关部门应及时改正，并赔偿特许经营企业因此而遭受的直接经济损失。</w:t>
      </w:r>
    </w:p>
    <w:p>
      <w:pPr>
        <w:keepLines w:val="0"/>
        <w:pageBreakBefore w:val="0"/>
        <w:widowControl w:val="0"/>
        <w:kinsoku/>
        <w:wordWrap/>
        <w:overflowPunct/>
        <w:topLinePunct w:val="0"/>
        <w:bidi w:val="0"/>
        <w:snapToGrid/>
        <w:spacing w:line="360" w:lineRule="auto"/>
        <w:ind w:firstLine="572" w:firstLineChars="200"/>
        <w:jc w:val="both"/>
        <w:textAlignment w:val="auto"/>
        <w:outlineLvl w:val="9"/>
        <w:rPr>
          <w:rFonts w:hint="default"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及相关部门违约事件包括：</w:t>
      </w:r>
    </w:p>
    <w:p>
      <w:pPr>
        <w:keepLines w:val="0"/>
        <w:pageBreakBefore w:val="0"/>
        <w:widowControl w:val="0"/>
        <w:kinsoku/>
        <w:wordWrap/>
        <w:overflowPunct/>
        <w:topLinePunct w:val="0"/>
        <w:bidi w:val="0"/>
        <w:snapToGrid/>
        <w:spacing w:line="360" w:lineRule="auto"/>
        <w:ind w:firstLine="572"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a.违反协议约定出让特许经营协议项下义务；</w:t>
      </w:r>
    </w:p>
    <w:p>
      <w:pPr>
        <w:keepLines w:val="0"/>
        <w:pageBreakBefore w:val="0"/>
        <w:widowControl w:val="0"/>
        <w:kinsoku/>
        <w:wordWrap/>
        <w:overflowPunct/>
        <w:topLinePunct w:val="0"/>
        <w:bidi w:val="0"/>
        <w:snapToGrid/>
        <w:spacing w:line="360" w:lineRule="auto"/>
        <w:ind w:firstLine="572"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b.发生</w:t>
      </w: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及相关部门可控的对项目设施或特许经营企业股权、资产的征收或征用的（是指因</w:t>
      </w: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及相关部门导致的或在</w:t>
      </w: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及相关部门控制下的征收或征用，如非因</w:t>
      </w: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及相关部门原因且不在</w:t>
      </w: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及相关部门控制下的征收征用，则可以视为政治不可抗力）；</w:t>
      </w:r>
    </w:p>
    <w:p>
      <w:pPr>
        <w:keepLines w:val="0"/>
        <w:pageBreakBefore w:val="0"/>
        <w:widowControl w:val="0"/>
        <w:kinsoku/>
        <w:wordWrap/>
        <w:overflowPunct/>
        <w:topLinePunct w:val="0"/>
        <w:bidi w:val="0"/>
        <w:snapToGrid/>
        <w:spacing w:line="360" w:lineRule="auto"/>
        <w:ind w:firstLine="572"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c.发生</w:t>
      </w: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及相关部门可控的政策变更导致特许经营协议无法继续履行的；</w:t>
      </w:r>
    </w:p>
    <w:p>
      <w:pPr>
        <w:keepLines w:val="0"/>
        <w:pageBreakBefore w:val="0"/>
        <w:widowControl w:val="0"/>
        <w:kinsoku/>
        <w:wordWrap/>
        <w:overflowPunct/>
        <w:topLinePunct w:val="0"/>
        <w:bidi w:val="0"/>
        <w:snapToGrid/>
        <w:spacing w:line="360" w:lineRule="auto"/>
        <w:ind w:firstLine="572"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sz w:val="28"/>
          <w:szCs w:val="28"/>
          <w:highlight w:val="none"/>
        </w:rPr>
        <w:t>d.其他违反特许经营协议项下义务，并导致特许经营企业无法履行协议的情形。</w:t>
      </w:r>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bookmarkStart w:id="130" w:name="_Toc475566611"/>
      <w:r>
        <w:rPr>
          <w:rFonts w:hint="default" w:ascii="Times New Roman" w:hAnsi="Times New Roman" w:eastAsia="宋体" w:cs="Times New Roman"/>
          <w:b/>
          <w:color w:val="auto"/>
          <w:kern w:val="0"/>
          <w:sz w:val="28"/>
          <w:szCs w:val="28"/>
          <w:highlight w:val="none"/>
          <w:lang w:val="en-US" w:eastAsia="zh-CN" w:bidi="ar-SA"/>
        </w:rPr>
        <w:t>乙方的违约情形及责任</w:t>
      </w:r>
      <w:bookmarkEnd w:id="130"/>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在特许经营期内，如因特许经营企业自身原因未能履行服务范围的运维服务，且情节严重、致使特许经营协议无法继续履行的，</w:t>
      </w:r>
      <w:r>
        <w:rPr>
          <w:rFonts w:hint="eastAsia" w:ascii="Times New Roman" w:hAnsi="Times New Roman" w:eastAsia="宋体" w:cs="Times New Roman"/>
          <w:color w:val="auto"/>
          <w:sz w:val="28"/>
          <w:szCs w:val="28"/>
          <w:highlight w:val="none"/>
          <w:lang w:eastAsia="zh-CN"/>
        </w:rPr>
        <w:t>遂宁市安居区综合行政执法局</w:t>
      </w:r>
      <w:r>
        <w:rPr>
          <w:rFonts w:hint="default" w:ascii="Times New Roman" w:hAnsi="Times New Roman" w:eastAsia="宋体" w:cs="Times New Roman"/>
          <w:color w:val="auto"/>
          <w:sz w:val="28"/>
          <w:szCs w:val="28"/>
          <w:highlight w:val="none"/>
        </w:rPr>
        <w:t>及相关部门有权提前终止特许经营协议，并追究特许经营企业违约责任。</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违约事件包括：</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a.特许经营企业破产或资不抵债的；</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b.特许经营企业未按照规定的要求和标准运营维护，情节严重或造成严重后果的；</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c.特许经营企业违反协议约定的股权变更限制的；</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d.擅自停业、歇业、严重影响到社会公共利益和安全的；</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e.未按协议约定为特许经营项目。</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3.不可抗力违约责任</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如果协议双方一方证明违约是由于不可抗力事件引起的，则该方不对另一方承担违约责任。</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4.违约补偿</w:t>
      </w:r>
    </w:p>
    <w:p>
      <w:pPr>
        <w:keepLines w:val="0"/>
        <w:pageBreakBefore w:val="0"/>
        <w:kinsoku/>
        <w:wordWrap/>
        <w:overflowPunct/>
        <w:topLinePunct w:val="0"/>
        <w:bidi w:val="0"/>
        <w:snapToGrid/>
        <w:spacing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每一方有权获得因违约方违约而使该方遭受的任何损失、支持和费用的赔偿，具体违约补偿将在特许经营协议中明确。</w:t>
      </w:r>
    </w:p>
    <w:p>
      <w:pPr>
        <w:keepNext w:val="0"/>
        <w:keepLines w:val="0"/>
        <w:pageBreakBefore w:val="0"/>
        <w:widowControl/>
        <w:numPr>
          <w:ilvl w:val="0"/>
          <w:numId w:val="3"/>
        </w:numPr>
        <w:tabs>
          <w:tab w:val="left" w:pos="1134"/>
        </w:tabs>
        <w:kinsoku/>
        <w:wordWrap/>
        <w:overflowPunct/>
        <w:topLinePunct w:val="0"/>
        <w:autoSpaceDE w:val="0"/>
        <w:autoSpaceDN w:val="0"/>
        <w:bidi w:val="0"/>
        <w:adjustRightInd w:val="0"/>
        <w:snapToGrid/>
        <w:spacing w:before="312" w:beforeLines="100" w:after="100" w:afterAutospacing="1" w:line="360" w:lineRule="auto"/>
        <w:ind w:left="-119" w:leftChars="0" w:right="28" w:firstLine="119" w:firstLineChars="0"/>
        <w:jc w:val="left"/>
        <w:textAlignment w:val="auto"/>
        <w:outlineLvl w:val="1"/>
        <w:rPr>
          <w:rFonts w:hint="default" w:ascii="Times New Roman" w:hAnsi="Times New Roman" w:eastAsia="宋体" w:cs="Times New Roman"/>
          <w:b/>
          <w:color w:val="auto"/>
          <w:kern w:val="0"/>
          <w:sz w:val="28"/>
          <w:szCs w:val="28"/>
          <w:highlight w:val="none"/>
          <w:lang w:val="en-US" w:eastAsia="zh-CN" w:bidi="ar-SA"/>
        </w:rPr>
      </w:pPr>
      <w:bookmarkStart w:id="131" w:name="_Toc32411"/>
      <w:bookmarkStart w:id="132" w:name="_Toc648"/>
      <w:bookmarkStart w:id="133" w:name="_Toc18456"/>
      <w:r>
        <w:rPr>
          <w:rFonts w:hint="default" w:ascii="Times New Roman" w:hAnsi="Times New Roman" w:eastAsia="宋体" w:cs="Times New Roman"/>
          <w:b/>
          <w:color w:val="auto"/>
          <w:kern w:val="0"/>
          <w:sz w:val="28"/>
          <w:szCs w:val="28"/>
          <w:highlight w:val="none"/>
          <w:lang w:val="en-US" w:eastAsia="zh-CN" w:bidi="ar-SA"/>
        </w:rPr>
        <w:t>不可抗力</w:t>
      </w:r>
      <w:bookmarkEnd w:id="131"/>
      <w:bookmarkEnd w:id="132"/>
      <w:bookmarkEnd w:id="133"/>
    </w:p>
    <w:p>
      <w:pPr>
        <w:keepNext w:val="0"/>
        <w:keepLines w:val="0"/>
        <w:pageBreakBefore w:val="0"/>
        <w:widowControl/>
        <w:numPr>
          <w:ilvl w:val="1"/>
          <w:numId w:val="3"/>
        </w:numPr>
        <w:tabs>
          <w:tab w:val="left" w:pos="1276"/>
        </w:tabs>
        <w:kinsoku/>
        <w:wordWrap/>
        <w:overflowPunct/>
        <w:topLinePunct w:val="0"/>
        <w:autoSpaceDE w:val="0"/>
        <w:autoSpaceDN w:val="0"/>
        <w:bidi w:val="0"/>
        <w:adjustRightInd w:val="0"/>
        <w:snapToGrid/>
        <w:spacing w:before="156" w:beforeLines="50" w:after="0" w:line="360" w:lineRule="auto"/>
        <w:ind w:left="1044" w:leftChars="0" w:hanging="624" w:firstLineChars="0"/>
        <w:jc w:val="both"/>
        <w:textAlignment w:val="auto"/>
        <w:outlineLvl w:val="9"/>
        <w:rPr>
          <w:rFonts w:hint="default" w:ascii="Times New Roman" w:hAnsi="Times New Roman" w:eastAsia="宋体" w:cs="Times New Roman"/>
          <w:b/>
          <w:color w:val="auto"/>
          <w:kern w:val="0"/>
          <w:sz w:val="28"/>
          <w:szCs w:val="28"/>
          <w:highlight w:val="none"/>
          <w:lang w:val="en-US" w:eastAsia="zh-CN" w:bidi="ar-SA"/>
        </w:rPr>
      </w:pPr>
      <w:bookmarkStart w:id="134" w:name="_Toc25661032"/>
      <w:bookmarkStart w:id="135" w:name="_Toc25914772"/>
      <w:bookmarkStart w:id="136" w:name="_Toc25762936"/>
      <w:r>
        <w:rPr>
          <w:rFonts w:hint="default" w:ascii="Times New Roman" w:hAnsi="Times New Roman" w:eastAsia="宋体" w:cs="Times New Roman"/>
          <w:b/>
          <w:color w:val="auto"/>
          <w:kern w:val="0"/>
          <w:sz w:val="28"/>
          <w:szCs w:val="28"/>
          <w:highlight w:val="none"/>
          <w:lang w:val="en-US" w:eastAsia="zh-CN" w:bidi="ar-SA"/>
        </w:rPr>
        <w:t>不可抗力事件</w:t>
      </w:r>
    </w:p>
    <w:bookmarkEnd w:id="134"/>
    <w:bookmarkEnd w:id="135"/>
    <w:bookmarkEnd w:id="136"/>
    <w:p>
      <w:pPr>
        <w:keepLines w:val="0"/>
        <w:pageBreakBefore w:val="0"/>
        <w:kinsoku/>
        <w:wordWrap/>
        <w:overflowPunct/>
        <w:topLinePunct w:val="0"/>
        <w:bidi w:val="0"/>
        <w:snapToGrid/>
        <w:spacing w:before="80" w:after="80"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bookmarkStart w:id="137" w:name="_Toc475566624"/>
      <w:r>
        <w:rPr>
          <w:rFonts w:hint="default" w:ascii="Times New Roman" w:hAnsi="Times New Roman" w:eastAsia="宋体" w:cs="Times New Roman"/>
          <w:color w:val="auto"/>
          <w:sz w:val="28"/>
          <w:szCs w:val="28"/>
          <w:highlight w:val="none"/>
        </w:rPr>
        <w:t>任何一方由于出现不可抗力事件使该方无法全部或部分履行其本协议项下的义务时，该方应有权中止履行本协议项下的义务。不可抗力应包括但不限于下列事件：</w:t>
      </w:r>
    </w:p>
    <w:p>
      <w:pPr>
        <w:keepLines w:val="0"/>
        <w:pageBreakBefore w:val="0"/>
        <w:kinsoku/>
        <w:wordWrap/>
        <w:overflowPunct/>
        <w:topLinePunct w:val="0"/>
        <w:bidi w:val="0"/>
        <w:snapToGrid/>
        <w:spacing w:before="80" w:after="80"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（1）雷电、干旱、火灾、地震、火山爆发、山崩、滑坡、水灾、暴风雨、海啸、台风或龙卷风；</w:t>
      </w:r>
    </w:p>
    <w:p>
      <w:pPr>
        <w:keepLines w:val="0"/>
        <w:pageBreakBefore w:val="0"/>
        <w:kinsoku/>
        <w:wordWrap/>
        <w:overflowPunct/>
        <w:topLinePunct w:val="0"/>
        <w:bidi w:val="0"/>
        <w:snapToGrid/>
        <w:spacing w:before="80" w:after="80"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（2）流行病、饥荒或疫情；</w:t>
      </w:r>
    </w:p>
    <w:p>
      <w:pPr>
        <w:keepLines w:val="0"/>
        <w:pageBreakBefore w:val="0"/>
        <w:kinsoku/>
        <w:wordWrap/>
        <w:overflowPunct/>
        <w:topLinePunct w:val="0"/>
        <w:bidi w:val="0"/>
        <w:snapToGrid/>
        <w:spacing w:before="80" w:after="80"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（3）战争行为（无论是否宣战）、入侵、武装冲突或外敌行为、封锁或军事力量的使用、禁运、暴乱或民众骚乱、恐怖行为、军事演习或政变；</w:t>
      </w:r>
    </w:p>
    <w:p>
      <w:pPr>
        <w:keepLines w:val="0"/>
        <w:pageBreakBefore w:val="0"/>
        <w:kinsoku/>
        <w:wordWrap/>
        <w:overflowPunct/>
        <w:topLinePunct w:val="0"/>
        <w:bidi w:val="0"/>
        <w:snapToGrid/>
        <w:spacing w:before="80" w:after="80" w:line="360" w:lineRule="auto"/>
        <w:ind w:firstLine="505" w:firstLineChars="177"/>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（4）化学或放射性污染或核辐射；</w:t>
      </w:r>
    </w:p>
    <w:p>
      <w:pPr>
        <w:keepLines w:val="0"/>
        <w:pageBreakBefore w:val="0"/>
        <w:kinsoku/>
        <w:wordWrap/>
        <w:overflowPunct/>
        <w:topLinePunct w:val="0"/>
        <w:bidi w:val="0"/>
        <w:snapToGrid/>
        <w:spacing w:before="80" w:after="80" w:line="360" w:lineRule="auto"/>
        <w:ind w:firstLine="505" w:firstLineChars="177"/>
        <w:textAlignment w:val="auto"/>
        <w:outlineLvl w:val="9"/>
        <w:rPr>
          <w:rFonts w:hint="default" w:ascii="Times New Roman" w:hAnsi="Times New Roman" w:eastAsia="宋体" w:cs="Times New Roman"/>
          <w:color w:val="auto"/>
          <w:sz w:val="28"/>
          <w:szCs w:val="28"/>
          <w:highlight w:val="none"/>
          <w:u w:val="single"/>
        </w:rPr>
      </w:pPr>
      <w:r>
        <w:rPr>
          <w:rFonts w:hint="default" w:ascii="Times New Roman" w:hAnsi="Times New Roman" w:eastAsia="宋体" w:cs="Times New Roman"/>
          <w:color w:val="auto"/>
          <w:sz w:val="28"/>
          <w:szCs w:val="28"/>
          <w:highlight w:val="none"/>
        </w:rPr>
        <w:t>（5）其他：</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lang w:val="en-US" w:eastAsia="zh-CN"/>
        </w:rPr>
        <w:t xml:space="preserve"> </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u w:val="single"/>
          <w:lang w:val="en-US" w:eastAsia="zh-CN"/>
        </w:rPr>
        <w:t>/</w:t>
      </w:r>
      <w:r>
        <w:rPr>
          <w:rFonts w:hint="default" w:ascii="Times New Roman" w:hAnsi="Times New Roman" w:eastAsia="宋体" w:cs="Times New Roman"/>
          <w:color w:val="auto"/>
          <w:sz w:val="28"/>
          <w:szCs w:val="28"/>
          <w:highlight w:val="none"/>
          <w:u w:val="single"/>
        </w:rPr>
        <w:t xml:space="preserve">    </w:t>
      </w:r>
    </w:p>
    <w:p>
      <w:pPr>
        <w:keepNext w:val="0"/>
        <w:keepLines w:val="0"/>
        <w:pageBreakBefore w:val="0"/>
        <w:widowControl/>
        <w:numPr>
          <w:ilvl w:val="1"/>
          <w:numId w:val="3"/>
        </w:numPr>
        <w:tabs>
          <w:tab w:val="left" w:pos="0"/>
        </w:tabs>
        <w:kinsoku/>
        <w:wordWrap/>
        <w:overflowPunct/>
        <w:topLinePunct w:val="0"/>
        <w:autoSpaceDE w:val="0"/>
        <w:autoSpaceDN w:val="0"/>
        <w:bidi w:val="0"/>
        <w:adjustRightInd w:val="0"/>
        <w:snapToGrid/>
        <w:spacing w:before="156" w:beforeLines="50" w:after="0" w:line="360" w:lineRule="auto"/>
        <w:ind w:left="4" w:leftChars="0" w:firstLine="416" w:firstLineChars="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r>
        <w:rPr>
          <w:rFonts w:hint="default" w:ascii="Times New Roman" w:hAnsi="Times New Roman" w:eastAsia="宋体" w:cs="Times New Roman"/>
          <w:b w:val="0"/>
          <w:color w:val="auto"/>
          <w:kern w:val="2"/>
          <w:sz w:val="28"/>
          <w:szCs w:val="28"/>
          <w:highlight w:val="none"/>
          <w:lang w:val="en-US" w:eastAsia="zh-CN" w:bidi="ar-SA"/>
        </w:rPr>
        <w:t>因不可抗力致使一方不能履行本协议的，根据不可抗力的影响可全部或部分免除该方在本协议项下的相应义务，但该方应及时采取补救措施、通知对方并向对方提供证明。一方未及时采取补救措施的，应就扩大的损失负赔偿责任</w:t>
      </w:r>
      <w:r>
        <w:rPr>
          <w:rFonts w:hint="default" w:ascii="Times New Roman" w:hAnsi="Times New Roman" w:eastAsia="宋体" w:cs="Times New Roman"/>
          <w:b w:val="0"/>
          <w:color w:val="auto"/>
          <w:kern w:val="0"/>
          <w:sz w:val="28"/>
          <w:szCs w:val="28"/>
          <w:highlight w:val="none"/>
          <w:lang w:val="en-US" w:eastAsia="zh-CN" w:bidi="ar-SA"/>
        </w:rPr>
        <w:t>。</w:t>
      </w:r>
      <w:bookmarkEnd w:id="137"/>
    </w:p>
    <w:p>
      <w:pPr>
        <w:keepNext w:val="0"/>
        <w:keepLines w:val="0"/>
        <w:pageBreakBefore w:val="0"/>
        <w:widowControl/>
        <w:numPr>
          <w:ilvl w:val="1"/>
          <w:numId w:val="3"/>
        </w:numPr>
        <w:tabs>
          <w:tab w:val="left" w:pos="0"/>
        </w:tabs>
        <w:kinsoku/>
        <w:wordWrap/>
        <w:overflowPunct/>
        <w:topLinePunct w:val="0"/>
        <w:autoSpaceDE w:val="0"/>
        <w:autoSpaceDN w:val="0"/>
        <w:bidi w:val="0"/>
        <w:adjustRightInd w:val="0"/>
        <w:snapToGrid/>
        <w:spacing w:before="156" w:beforeLines="50" w:after="0" w:line="360" w:lineRule="auto"/>
        <w:ind w:left="4" w:leftChars="0" w:firstLine="416" w:firstLineChars="0"/>
        <w:jc w:val="both"/>
        <w:textAlignment w:val="auto"/>
        <w:outlineLvl w:val="9"/>
        <w:rPr>
          <w:rFonts w:hint="default" w:ascii="Times New Roman" w:hAnsi="Times New Roman" w:eastAsia="宋体" w:cs="Times New Roman"/>
          <w:b w:val="0"/>
          <w:color w:val="auto"/>
          <w:kern w:val="2"/>
          <w:sz w:val="28"/>
          <w:szCs w:val="28"/>
          <w:highlight w:val="none"/>
          <w:lang w:val="en-US" w:eastAsia="zh-CN" w:bidi="ar-SA"/>
        </w:rPr>
      </w:pPr>
      <w:bookmarkStart w:id="138" w:name="_Toc475566625"/>
      <w:r>
        <w:rPr>
          <w:rFonts w:hint="default" w:ascii="Times New Roman" w:hAnsi="Times New Roman" w:eastAsia="宋体" w:cs="Times New Roman"/>
          <w:b w:val="0"/>
          <w:color w:val="auto"/>
          <w:kern w:val="2"/>
          <w:sz w:val="28"/>
          <w:szCs w:val="28"/>
          <w:highlight w:val="none"/>
          <w:lang w:val="en-US" w:eastAsia="zh-CN" w:bidi="ar-SA"/>
        </w:rPr>
        <w:t>因不可抗力致使本协议无法按期履行或不能履行的，在不可抗力事件持续期间，受影响方无需为其中止履约或履约延误承担违约责任。</w:t>
      </w:r>
      <w:bookmarkEnd w:id="138"/>
    </w:p>
    <w:p>
      <w:pPr>
        <w:keepNext/>
        <w:keepLines w:val="0"/>
        <w:pageBreakBefore w:val="0"/>
        <w:widowControl/>
        <w:numPr>
          <w:ilvl w:val="0"/>
          <w:numId w:val="3"/>
        </w:numPr>
        <w:tabs>
          <w:tab w:val="left" w:pos="1134"/>
        </w:tabs>
        <w:kinsoku/>
        <w:wordWrap/>
        <w:overflowPunct/>
        <w:topLinePunct w:val="0"/>
        <w:autoSpaceDE w:val="0"/>
        <w:autoSpaceDN w:val="0"/>
        <w:bidi w:val="0"/>
        <w:adjustRightInd w:val="0"/>
        <w:snapToGrid/>
        <w:spacing w:before="312" w:beforeLines="100" w:after="100" w:afterAutospacing="1" w:line="360" w:lineRule="auto"/>
        <w:ind w:left="-119" w:leftChars="0" w:right="28" w:firstLine="119" w:firstLineChars="0"/>
        <w:jc w:val="left"/>
        <w:textAlignment w:val="auto"/>
        <w:outlineLvl w:val="1"/>
        <w:rPr>
          <w:rFonts w:hint="default" w:ascii="Times New Roman" w:hAnsi="Times New Roman" w:eastAsia="宋体" w:cs="Times New Roman"/>
          <w:b/>
          <w:color w:val="auto"/>
          <w:kern w:val="0"/>
          <w:sz w:val="28"/>
          <w:szCs w:val="28"/>
          <w:highlight w:val="none"/>
          <w:lang w:val="en-US" w:eastAsia="zh-CN" w:bidi="ar-SA"/>
        </w:rPr>
      </w:pPr>
      <w:bookmarkStart w:id="139" w:name="_Toc12270"/>
      <w:bookmarkStart w:id="140" w:name="_Toc31370"/>
      <w:bookmarkStart w:id="141" w:name="_Toc2233"/>
      <w:r>
        <w:rPr>
          <w:rFonts w:hint="default" w:ascii="Times New Roman" w:hAnsi="Times New Roman" w:eastAsia="宋体" w:cs="Times New Roman"/>
          <w:b/>
          <w:color w:val="auto"/>
          <w:kern w:val="0"/>
          <w:sz w:val="28"/>
          <w:szCs w:val="28"/>
          <w:highlight w:val="none"/>
          <w:lang w:val="en-US" w:eastAsia="zh-CN" w:bidi="ar-SA"/>
        </w:rPr>
        <w:t>争议解决</w:t>
      </w:r>
      <w:bookmarkEnd w:id="139"/>
      <w:bookmarkEnd w:id="140"/>
      <w:bookmarkEnd w:id="141"/>
    </w:p>
    <w:p>
      <w:pPr>
        <w:keepLines w:val="0"/>
        <w:pageBreakBefore w:val="0"/>
        <w:kinsoku/>
        <w:wordWrap/>
        <w:overflowPunct/>
        <w:topLinePunct w:val="0"/>
        <w:bidi w:val="0"/>
        <w:snapToGrid/>
        <w:spacing w:line="360" w:lineRule="auto"/>
        <w:ind w:firstLine="572" w:firstLineChars="200"/>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本协议在履行过程中发生的争议，双方应本着友好、互利的原则协商解决或由有关部门调解解决</w:t>
      </w:r>
      <w:r>
        <w:rPr>
          <w:rFonts w:hint="eastAsia"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协商或调解不成的，双方应采取以下第</w:t>
      </w:r>
      <w:r>
        <w:rPr>
          <w:rFonts w:hint="default" w:ascii="Times New Roman" w:hAnsi="Times New Roman" w:eastAsia="宋体" w:cs="Times New Roman"/>
          <w:bCs/>
          <w:color w:val="auto"/>
          <w:sz w:val="28"/>
          <w:szCs w:val="28"/>
          <w:highlight w:val="none"/>
          <w:u w:val="single"/>
          <w:lang w:val="en-US" w:eastAsia="zh-CN"/>
        </w:rPr>
        <w:t>2</w:t>
      </w:r>
      <w:r>
        <w:rPr>
          <w:rFonts w:hint="default" w:ascii="Times New Roman" w:hAnsi="Times New Roman" w:eastAsia="宋体" w:cs="Times New Roman"/>
          <w:color w:val="auto"/>
          <w:sz w:val="28"/>
          <w:szCs w:val="28"/>
          <w:highlight w:val="none"/>
        </w:rPr>
        <w:t>种争议解决方式：</w:t>
      </w:r>
    </w:p>
    <w:p>
      <w:pPr>
        <w:keepLines w:val="0"/>
        <w:pageBreakBefore w:val="0"/>
        <w:kinsoku/>
        <w:wordWrap/>
        <w:overflowPunct/>
        <w:topLinePunct w:val="0"/>
        <w:bidi w:val="0"/>
        <w:snapToGrid/>
        <w:spacing w:line="360" w:lineRule="auto"/>
        <w:ind w:firstLine="572" w:firstLineChars="200"/>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（1）提交</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rPr>
        <w:t>仲裁委员会申请仲裁；</w:t>
      </w:r>
    </w:p>
    <w:p>
      <w:pPr>
        <w:keepLines w:val="0"/>
        <w:pageBreakBefore w:val="0"/>
        <w:kinsoku/>
        <w:wordWrap/>
        <w:overflowPunct/>
        <w:topLinePunct w:val="0"/>
        <w:bidi w:val="0"/>
        <w:snapToGrid/>
        <w:spacing w:line="360" w:lineRule="auto"/>
        <w:ind w:firstLine="572" w:firstLineChars="200"/>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（2）向</w:t>
      </w:r>
      <w:r>
        <w:rPr>
          <w:rFonts w:hint="default" w:ascii="Times New Roman" w:hAnsi="Times New Roman" w:eastAsia="宋体" w:cs="Times New Roman"/>
          <w:color w:val="auto"/>
          <w:sz w:val="28"/>
          <w:szCs w:val="28"/>
          <w:highlight w:val="none"/>
          <w:u w:val="single"/>
          <w:lang w:val="en-US" w:eastAsia="zh-CN"/>
        </w:rPr>
        <w:t>有管辖权的</w:t>
      </w:r>
      <w:r>
        <w:rPr>
          <w:rFonts w:hint="default" w:ascii="Times New Roman" w:hAnsi="Times New Roman" w:eastAsia="宋体" w:cs="Times New Roman"/>
          <w:color w:val="auto"/>
          <w:sz w:val="28"/>
          <w:szCs w:val="28"/>
          <w:highlight w:val="none"/>
        </w:rPr>
        <w:t>人民法院提起诉讼。</w:t>
      </w:r>
    </w:p>
    <w:p>
      <w:pPr>
        <w:keepNext/>
        <w:keepLines w:val="0"/>
        <w:pageBreakBefore w:val="0"/>
        <w:widowControl/>
        <w:numPr>
          <w:ilvl w:val="0"/>
          <w:numId w:val="3"/>
        </w:numPr>
        <w:tabs>
          <w:tab w:val="left" w:pos="1134"/>
        </w:tabs>
        <w:kinsoku/>
        <w:wordWrap/>
        <w:overflowPunct/>
        <w:topLinePunct w:val="0"/>
        <w:autoSpaceDE w:val="0"/>
        <w:autoSpaceDN w:val="0"/>
        <w:bidi w:val="0"/>
        <w:adjustRightInd w:val="0"/>
        <w:snapToGrid/>
        <w:spacing w:before="312" w:beforeLines="100" w:after="100" w:afterAutospacing="1" w:line="360" w:lineRule="auto"/>
        <w:ind w:left="-119" w:leftChars="0" w:right="28" w:firstLine="119" w:firstLineChars="0"/>
        <w:jc w:val="left"/>
        <w:textAlignment w:val="auto"/>
        <w:outlineLvl w:val="1"/>
        <w:rPr>
          <w:rFonts w:hint="default" w:ascii="Times New Roman" w:hAnsi="Times New Roman" w:eastAsia="宋体" w:cs="Times New Roman"/>
          <w:b/>
          <w:color w:val="auto"/>
          <w:kern w:val="0"/>
          <w:sz w:val="28"/>
          <w:szCs w:val="28"/>
          <w:highlight w:val="none"/>
          <w:lang w:val="en-US" w:eastAsia="zh-CN" w:bidi="ar-SA"/>
        </w:rPr>
      </w:pPr>
      <w:bookmarkStart w:id="142" w:name="_Toc16981"/>
      <w:bookmarkStart w:id="143" w:name="_Toc892"/>
      <w:bookmarkStart w:id="144" w:name="_Toc11108"/>
      <w:r>
        <w:rPr>
          <w:rFonts w:hint="default" w:ascii="Times New Roman" w:hAnsi="Times New Roman" w:eastAsia="宋体" w:cs="Times New Roman"/>
          <w:b/>
          <w:color w:val="auto"/>
          <w:kern w:val="0"/>
          <w:sz w:val="28"/>
          <w:szCs w:val="28"/>
          <w:highlight w:val="none"/>
          <w:lang w:val="en-US" w:eastAsia="zh-CN" w:bidi="ar-SA"/>
        </w:rPr>
        <w:t>本协议的生效及终止</w:t>
      </w:r>
      <w:bookmarkEnd w:id="142"/>
      <w:bookmarkEnd w:id="143"/>
      <w:bookmarkEnd w:id="144"/>
      <w:bookmarkStart w:id="145" w:name="_Toc475566628"/>
    </w:p>
    <w:p>
      <w:pPr>
        <w:keepNext w:val="0"/>
        <w:keepLines w:val="0"/>
        <w:pageBreakBefore w:val="0"/>
        <w:widowControl/>
        <w:numPr>
          <w:ilvl w:val="1"/>
          <w:numId w:val="3"/>
        </w:numPr>
        <w:tabs>
          <w:tab w:val="left" w:pos="0"/>
        </w:tabs>
        <w:kinsoku/>
        <w:wordWrap/>
        <w:overflowPunct/>
        <w:topLinePunct w:val="0"/>
        <w:autoSpaceDE w:val="0"/>
        <w:autoSpaceDN w:val="0"/>
        <w:bidi w:val="0"/>
        <w:adjustRightInd w:val="0"/>
        <w:snapToGrid/>
        <w:spacing w:before="156" w:beforeLines="50" w:after="0" w:line="360" w:lineRule="auto"/>
        <w:ind w:left="4" w:leftChars="0" w:firstLine="416" w:firstLineChars="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r>
        <w:rPr>
          <w:rFonts w:hint="default" w:ascii="Times New Roman" w:hAnsi="Times New Roman" w:eastAsia="宋体" w:cs="Times New Roman"/>
          <w:b w:val="0"/>
          <w:color w:val="auto"/>
          <w:kern w:val="0"/>
          <w:sz w:val="28"/>
          <w:szCs w:val="28"/>
          <w:highlight w:val="none"/>
          <w:lang w:val="en-US" w:eastAsia="zh-CN" w:bidi="ar-SA"/>
        </w:rPr>
        <w:t>本协议经甲、乙双方法定代表人或其授权代表签字，并加盖公章之日起生效。</w:t>
      </w:r>
      <w:bookmarkEnd w:id="145"/>
    </w:p>
    <w:p>
      <w:pPr>
        <w:keepNext w:val="0"/>
        <w:keepLines w:val="0"/>
        <w:pageBreakBefore w:val="0"/>
        <w:widowControl/>
        <w:numPr>
          <w:ilvl w:val="1"/>
          <w:numId w:val="3"/>
        </w:numPr>
        <w:tabs>
          <w:tab w:val="left" w:pos="0"/>
        </w:tabs>
        <w:kinsoku/>
        <w:wordWrap/>
        <w:overflowPunct/>
        <w:topLinePunct w:val="0"/>
        <w:autoSpaceDE w:val="0"/>
        <w:autoSpaceDN w:val="0"/>
        <w:bidi w:val="0"/>
        <w:adjustRightInd w:val="0"/>
        <w:snapToGrid/>
        <w:spacing w:before="156" w:beforeLines="50" w:after="0" w:line="360" w:lineRule="auto"/>
        <w:ind w:left="4" w:leftChars="0" w:firstLine="416" w:firstLineChars="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bookmarkStart w:id="146" w:name="_Toc475566629"/>
      <w:r>
        <w:rPr>
          <w:rFonts w:hint="default" w:ascii="Times New Roman" w:hAnsi="Times New Roman" w:eastAsia="宋体" w:cs="Times New Roman"/>
          <w:b w:val="0"/>
          <w:color w:val="auto"/>
          <w:kern w:val="0"/>
          <w:sz w:val="28"/>
          <w:szCs w:val="28"/>
          <w:highlight w:val="none"/>
          <w:lang w:val="en-US" w:eastAsia="zh-CN" w:bidi="ar-SA"/>
        </w:rPr>
        <w:t>除本协议另有约定外，本协议应在项目合作期届满后终止。</w:t>
      </w:r>
      <w:bookmarkEnd w:id="146"/>
    </w:p>
    <w:p>
      <w:pPr>
        <w:keepNext/>
        <w:keepLines w:val="0"/>
        <w:pageBreakBefore w:val="0"/>
        <w:widowControl/>
        <w:numPr>
          <w:ilvl w:val="0"/>
          <w:numId w:val="3"/>
        </w:numPr>
        <w:tabs>
          <w:tab w:val="left" w:pos="1134"/>
        </w:tabs>
        <w:kinsoku/>
        <w:wordWrap/>
        <w:overflowPunct/>
        <w:topLinePunct w:val="0"/>
        <w:autoSpaceDE w:val="0"/>
        <w:autoSpaceDN w:val="0"/>
        <w:bidi w:val="0"/>
        <w:adjustRightInd w:val="0"/>
        <w:snapToGrid/>
        <w:spacing w:before="312" w:beforeLines="100" w:after="100" w:afterAutospacing="1" w:line="360" w:lineRule="auto"/>
        <w:ind w:left="-119" w:leftChars="0" w:right="28" w:firstLine="119" w:firstLineChars="0"/>
        <w:jc w:val="left"/>
        <w:textAlignment w:val="auto"/>
        <w:outlineLvl w:val="1"/>
        <w:rPr>
          <w:rFonts w:hint="default" w:ascii="Times New Roman" w:hAnsi="Times New Roman" w:eastAsia="宋体" w:cs="Times New Roman"/>
          <w:b/>
          <w:color w:val="auto"/>
          <w:kern w:val="0"/>
          <w:sz w:val="28"/>
          <w:szCs w:val="28"/>
          <w:highlight w:val="none"/>
          <w:lang w:val="en-US" w:eastAsia="zh-CN" w:bidi="ar-SA"/>
        </w:rPr>
      </w:pPr>
      <w:bookmarkStart w:id="147" w:name="_Toc16627"/>
      <w:bookmarkStart w:id="148" w:name="_Toc12004"/>
      <w:bookmarkStart w:id="149" w:name="_Toc26864"/>
      <w:r>
        <w:rPr>
          <w:rFonts w:hint="default" w:ascii="Times New Roman" w:hAnsi="Times New Roman" w:eastAsia="宋体" w:cs="Times New Roman"/>
          <w:b/>
          <w:color w:val="auto"/>
          <w:kern w:val="0"/>
          <w:sz w:val="28"/>
          <w:szCs w:val="28"/>
          <w:highlight w:val="none"/>
          <w:lang w:val="en-US" w:eastAsia="zh-CN" w:bidi="ar-SA"/>
        </w:rPr>
        <w:t>其他事项</w:t>
      </w:r>
      <w:bookmarkEnd w:id="147"/>
      <w:bookmarkEnd w:id="148"/>
      <w:bookmarkEnd w:id="149"/>
    </w:p>
    <w:p>
      <w:pPr>
        <w:keepNext w:val="0"/>
        <w:keepLines w:val="0"/>
        <w:pageBreakBefore w:val="0"/>
        <w:widowControl/>
        <w:numPr>
          <w:ilvl w:val="1"/>
          <w:numId w:val="3"/>
        </w:numPr>
        <w:tabs>
          <w:tab w:val="left" w:pos="0"/>
        </w:tabs>
        <w:kinsoku/>
        <w:wordWrap/>
        <w:overflowPunct/>
        <w:topLinePunct w:val="0"/>
        <w:autoSpaceDE w:val="0"/>
        <w:autoSpaceDN w:val="0"/>
        <w:bidi w:val="0"/>
        <w:adjustRightInd w:val="0"/>
        <w:snapToGrid/>
        <w:spacing w:before="156" w:beforeLines="50" w:after="0" w:line="360" w:lineRule="auto"/>
        <w:ind w:left="4" w:leftChars="0" w:firstLine="416" w:firstLineChars="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bookmarkStart w:id="150" w:name="_Toc475566631"/>
      <w:r>
        <w:rPr>
          <w:rFonts w:hint="default" w:ascii="Times New Roman" w:hAnsi="Times New Roman" w:eastAsia="宋体" w:cs="Times New Roman"/>
          <w:b w:val="0"/>
          <w:color w:val="auto"/>
          <w:kern w:val="0"/>
          <w:sz w:val="28"/>
          <w:szCs w:val="28"/>
          <w:highlight w:val="none"/>
          <w:lang w:val="en-US" w:eastAsia="zh-CN" w:bidi="ar-SA"/>
        </w:rPr>
        <w:t>本协议一式捌份，甲、乙双方各执肆份。</w:t>
      </w:r>
      <w:bookmarkEnd w:id="150"/>
    </w:p>
    <w:p>
      <w:pPr>
        <w:keepNext w:val="0"/>
        <w:keepLines w:val="0"/>
        <w:pageBreakBefore w:val="0"/>
        <w:widowControl/>
        <w:numPr>
          <w:ilvl w:val="1"/>
          <w:numId w:val="3"/>
        </w:numPr>
        <w:tabs>
          <w:tab w:val="left" w:pos="0"/>
        </w:tabs>
        <w:kinsoku/>
        <w:wordWrap/>
        <w:overflowPunct/>
        <w:topLinePunct w:val="0"/>
        <w:autoSpaceDE w:val="0"/>
        <w:autoSpaceDN w:val="0"/>
        <w:bidi w:val="0"/>
        <w:adjustRightInd w:val="0"/>
        <w:snapToGrid/>
        <w:spacing w:before="156" w:beforeLines="50" w:after="0" w:line="360" w:lineRule="auto"/>
        <w:ind w:left="4" w:leftChars="0" w:firstLine="416" w:firstLineChars="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bookmarkStart w:id="151" w:name="_Toc475566632"/>
      <w:r>
        <w:rPr>
          <w:rFonts w:hint="default" w:ascii="Times New Roman" w:hAnsi="Times New Roman" w:eastAsia="宋体" w:cs="Times New Roman"/>
          <w:b w:val="0"/>
          <w:color w:val="auto"/>
          <w:kern w:val="0"/>
          <w:sz w:val="28"/>
          <w:szCs w:val="28"/>
          <w:highlight w:val="none"/>
          <w:lang w:val="en-US" w:eastAsia="zh-CN" w:bidi="ar-SA"/>
        </w:rPr>
        <w:t>本协议未尽事宜，由甲、乙双方另行协商确定。</w:t>
      </w:r>
      <w:bookmarkEnd w:id="151"/>
    </w:p>
    <w:p>
      <w:pPr>
        <w:keepNext w:val="0"/>
        <w:keepLines w:val="0"/>
        <w:pageBreakBefore w:val="0"/>
        <w:widowControl/>
        <w:numPr>
          <w:ilvl w:val="1"/>
          <w:numId w:val="3"/>
        </w:numPr>
        <w:tabs>
          <w:tab w:val="left" w:pos="0"/>
        </w:tabs>
        <w:kinsoku/>
        <w:wordWrap/>
        <w:overflowPunct/>
        <w:topLinePunct w:val="0"/>
        <w:autoSpaceDE w:val="0"/>
        <w:autoSpaceDN w:val="0"/>
        <w:bidi w:val="0"/>
        <w:adjustRightInd w:val="0"/>
        <w:snapToGrid/>
        <w:spacing w:before="156" w:beforeLines="50" w:after="0" w:line="360" w:lineRule="auto"/>
        <w:ind w:left="4" w:leftChars="0" w:firstLine="416" w:firstLineChars="0"/>
        <w:jc w:val="both"/>
        <w:textAlignment w:val="auto"/>
        <w:outlineLvl w:val="9"/>
        <w:rPr>
          <w:rFonts w:hint="default" w:ascii="Times New Roman" w:hAnsi="Times New Roman" w:eastAsia="宋体" w:cs="Times New Roman"/>
          <w:b w:val="0"/>
          <w:color w:val="auto"/>
          <w:kern w:val="0"/>
          <w:sz w:val="28"/>
          <w:szCs w:val="28"/>
          <w:highlight w:val="none"/>
          <w:lang w:val="en-US" w:eastAsia="zh-CN" w:bidi="ar-SA"/>
        </w:rPr>
      </w:pPr>
      <w:bookmarkStart w:id="152" w:name="_Toc475566633"/>
      <w:r>
        <w:rPr>
          <w:rFonts w:hint="default" w:ascii="Times New Roman" w:hAnsi="Times New Roman" w:eastAsia="宋体" w:cs="Times New Roman"/>
          <w:b w:val="0"/>
          <w:color w:val="auto"/>
          <w:kern w:val="0"/>
          <w:sz w:val="28"/>
          <w:szCs w:val="28"/>
          <w:highlight w:val="none"/>
          <w:lang w:val="en-US" w:eastAsia="zh-CN" w:bidi="ar-SA"/>
        </w:rPr>
        <w:t>双方对本协议及合作过程中的所有商业机密资料承担保密义务，未经对方书面许可或依适用法律规定，不得对任何其他第三方泄露和传播。</w:t>
      </w:r>
      <w:bookmarkEnd w:id="152"/>
    </w:p>
    <w:p>
      <w:pPr>
        <w:keepLines w:val="0"/>
        <w:pageBreakBefore w:val="0"/>
        <w:kinsoku/>
        <w:wordWrap/>
        <w:overflowPunct/>
        <w:topLinePunct w:val="0"/>
        <w:bidi w:val="0"/>
        <w:snapToGrid/>
        <w:spacing w:line="480" w:lineRule="auto"/>
        <w:ind w:firstLine="505" w:firstLineChars="177"/>
        <w:textAlignment w:val="auto"/>
        <w:outlineLvl w:val="9"/>
        <w:rPr>
          <w:rFonts w:hint="default" w:ascii="Times New Roman" w:hAnsi="Times New Roman" w:eastAsia="宋体" w:cs="Times New Roman"/>
          <w:color w:val="auto"/>
          <w:kern w:val="0"/>
          <w:sz w:val="28"/>
          <w:szCs w:val="28"/>
          <w:highlight w:val="none"/>
        </w:rPr>
      </w:pPr>
      <w:r>
        <w:rPr>
          <w:rFonts w:hint="default" w:ascii="Times New Roman" w:hAnsi="Times New Roman" w:eastAsia="宋体" w:cs="Times New Roman"/>
          <w:color w:val="auto"/>
          <w:kern w:val="0"/>
          <w:sz w:val="28"/>
          <w:szCs w:val="28"/>
          <w:highlight w:val="none"/>
        </w:rPr>
        <w:t>（以下无正文）</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39"/>
        <w:gridCol w:w="2221"/>
        <w:gridCol w:w="2131"/>
        <w:gridCol w:w="2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trPr>
        <w:tc>
          <w:tcPr>
            <w:tcW w:w="2039" w:type="dxa"/>
            <w:tcBorders>
              <w:tl2br w:val="nil"/>
              <w:tr2bl w:val="nil"/>
            </w:tcBorders>
            <w:vAlign w:val="center"/>
          </w:tcPr>
          <w:p>
            <w:pPr>
              <w:bidi w:val="0"/>
              <w:spacing w:line="360" w:lineRule="auto"/>
              <w:ind w:left="0" w:leftChars="0" w:firstLine="0" w:firstLineChars="0"/>
              <w:jc w:val="both"/>
              <w:rPr>
                <w:rFonts w:ascii="Times New Roman" w:hAnsi="Times New Roman" w:eastAsia="宋体" w:cs="Times New Roman"/>
                <w:sz w:val="28"/>
              </w:rPr>
            </w:pPr>
            <w:r>
              <w:rPr>
                <w:rFonts w:hint="eastAsia" w:ascii="仿宋" w:hAnsi="仿宋" w:eastAsia="仿宋" w:cs="仿宋"/>
                <w:sz w:val="28"/>
              </w:rPr>
              <w:t>甲方（公章）</w:t>
            </w:r>
          </w:p>
        </w:tc>
        <w:tc>
          <w:tcPr>
            <w:tcW w:w="2221" w:type="dxa"/>
            <w:tcBorders>
              <w:tl2br w:val="nil"/>
              <w:tr2bl w:val="nil"/>
            </w:tcBorders>
            <w:vAlign w:val="center"/>
          </w:tcPr>
          <w:p>
            <w:pPr>
              <w:bidi w:val="0"/>
              <w:spacing w:line="360" w:lineRule="auto"/>
              <w:ind w:firstLine="572" w:firstLineChars="200"/>
              <w:jc w:val="both"/>
              <w:rPr>
                <w:rFonts w:ascii="Times New Roman" w:hAnsi="Times New Roman" w:eastAsia="宋体" w:cs="Times New Roman"/>
                <w:sz w:val="28"/>
              </w:rPr>
            </w:pPr>
          </w:p>
        </w:tc>
        <w:tc>
          <w:tcPr>
            <w:tcW w:w="2131" w:type="dxa"/>
            <w:tcBorders>
              <w:tl2br w:val="nil"/>
              <w:tr2bl w:val="nil"/>
            </w:tcBorders>
            <w:vAlign w:val="center"/>
          </w:tcPr>
          <w:p>
            <w:pPr>
              <w:bidi w:val="0"/>
              <w:spacing w:line="360" w:lineRule="auto"/>
              <w:ind w:left="0" w:leftChars="0" w:firstLine="0" w:firstLineChars="0"/>
              <w:jc w:val="both"/>
              <w:rPr>
                <w:rFonts w:ascii="仿宋" w:hAnsi="仿宋" w:eastAsia="仿宋" w:cs="Times New Roman"/>
                <w:kern w:val="2"/>
                <w:sz w:val="24"/>
                <w:szCs w:val="24"/>
                <w:lang w:val="en-US" w:eastAsia="zh-CN" w:bidi="ar-SA"/>
              </w:rPr>
            </w:pPr>
            <w:r>
              <w:rPr>
                <w:rFonts w:hint="eastAsia" w:ascii="仿宋" w:hAnsi="仿宋" w:eastAsia="仿宋" w:cs="仿宋"/>
                <w:sz w:val="28"/>
              </w:rPr>
              <w:t>乙方：（公章）</w:t>
            </w:r>
          </w:p>
        </w:tc>
        <w:tc>
          <w:tcPr>
            <w:tcW w:w="2131" w:type="dxa"/>
            <w:tcBorders>
              <w:tl2br w:val="nil"/>
              <w:tr2bl w:val="nil"/>
            </w:tcBorders>
            <w:vAlign w:val="center"/>
          </w:tcPr>
          <w:p>
            <w:pPr>
              <w:bidi w:val="0"/>
              <w:spacing w:line="360" w:lineRule="auto"/>
              <w:ind w:firstLine="572" w:firstLineChars="200"/>
              <w:jc w:val="both"/>
              <w:rPr>
                <w:rFonts w:ascii="Times New Roman" w:hAnsi="Times New Roman" w:eastAsia="宋体" w:cs="Times New Roman"/>
                <w:sz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0" w:hRule="atLeast"/>
        </w:trPr>
        <w:tc>
          <w:tcPr>
            <w:tcW w:w="2039" w:type="dxa"/>
            <w:tcBorders>
              <w:tl2br w:val="nil"/>
              <w:tr2bl w:val="nil"/>
            </w:tcBorders>
            <w:vAlign w:val="center"/>
          </w:tcPr>
          <w:p>
            <w:pPr>
              <w:bidi w:val="0"/>
              <w:spacing w:line="360" w:lineRule="auto"/>
              <w:ind w:left="0" w:leftChars="0" w:firstLine="0" w:firstLineChars="0"/>
              <w:jc w:val="both"/>
              <w:rPr>
                <w:rFonts w:ascii="Times New Roman" w:hAnsi="Times New Roman" w:eastAsia="宋体" w:cs="Times New Roman"/>
                <w:sz w:val="28"/>
              </w:rPr>
            </w:pPr>
            <w:r>
              <w:rPr>
                <w:rFonts w:hint="eastAsia" w:ascii="仿宋" w:hAnsi="仿宋" w:eastAsia="仿宋" w:cs="仿宋"/>
                <w:sz w:val="28"/>
              </w:rPr>
              <w:t>法定代表人（或授权代表）（签字）：</w:t>
            </w:r>
          </w:p>
        </w:tc>
        <w:tc>
          <w:tcPr>
            <w:tcW w:w="2221" w:type="dxa"/>
            <w:tcBorders>
              <w:tl2br w:val="nil"/>
              <w:tr2bl w:val="nil"/>
            </w:tcBorders>
            <w:vAlign w:val="center"/>
          </w:tcPr>
          <w:p>
            <w:pPr>
              <w:bidi w:val="0"/>
              <w:spacing w:line="360" w:lineRule="auto"/>
              <w:ind w:firstLine="572" w:firstLineChars="200"/>
              <w:jc w:val="both"/>
              <w:rPr>
                <w:rFonts w:ascii="Times New Roman" w:hAnsi="Times New Roman" w:eastAsia="宋体" w:cs="Times New Roman"/>
                <w:sz w:val="28"/>
              </w:rPr>
            </w:pPr>
          </w:p>
        </w:tc>
        <w:tc>
          <w:tcPr>
            <w:tcW w:w="2131" w:type="dxa"/>
            <w:tcBorders>
              <w:tl2br w:val="nil"/>
              <w:tr2bl w:val="nil"/>
            </w:tcBorders>
            <w:vAlign w:val="center"/>
          </w:tcPr>
          <w:p>
            <w:pPr>
              <w:bidi w:val="0"/>
              <w:spacing w:line="360" w:lineRule="auto"/>
              <w:ind w:left="0" w:leftChars="0" w:firstLine="0" w:firstLineChars="0"/>
              <w:jc w:val="both"/>
              <w:rPr>
                <w:rFonts w:ascii="仿宋" w:hAnsi="仿宋" w:eastAsia="仿宋" w:cs="Times New Roman"/>
                <w:kern w:val="2"/>
                <w:sz w:val="24"/>
                <w:szCs w:val="24"/>
                <w:lang w:val="en-US" w:eastAsia="zh-CN" w:bidi="ar-SA"/>
              </w:rPr>
            </w:pPr>
            <w:r>
              <w:rPr>
                <w:rFonts w:hint="eastAsia" w:ascii="仿宋" w:hAnsi="仿宋" w:eastAsia="仿宋" w:cs="仿宋"/>
                <w:sz w:val="28"/>
              </w:rPr>
              <w:t>法定代表人（或授权代表）（签字）：</w:t>
            </w:r>
          </w:p>
        </w:tc>
        <w:tc>
          <w:tcPr>
            <w:tcW w:w="2131" w:type="dxa"/>
            <w:tcBorders>
              <w:tl2br w:val="nil"/>
              <w:tr2bl w:val="nil"/>
            </w:tcBorders>
            <w:vAlign w:val="center"/>
          </w:tcPr>
          <w:p>
            <w:pPr>
              <w:bidi w:val="0"/>
              <w:spacing w:line="360" w:lineRule="auto"/>
              <w:ind w:firstLine="572" w:firstLineChars="200"/>
              <w:jc w:val="both"/>
              <w:rPr>
                <w:rFonts w:ascii="Times New Roman" w:hAnsi="Times New Roman" w:eastAsia="宋体" w:cs="Times New Roman"/>
                <w:sz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8522" w:type="dxa"/>
            <w:gridSpan w:val="4"/>
            <w:tcBorders>
              <w:tl2br w:val="nil"/>
              <w:tr2bl w:val="nil"/>
            </w:tcBorders>
            <w:vAlign w:val="center"/>
          </w:tcPr>
          <w:p>
            <w:pPr>
              <w:bidi w:val="0"/>
              <w:spacing w:line="360" w:lineRule="auto"/>
              <w:ind w:firstLine="572" w:firstLineChars="200"/>
              <w:jc w:val="right"/>
              <w:rPr>
                <w:rFonts w:hint="default" w:ascii="Times New Roman" w:hAnsi="Times New Roman" w:eastAsia="仿宋" w:cs="Times New Roman"/>
                <w:sz w:val="28"/>
                <w:lang w:val="en-US" w:eastAsia="zh-CN"/>
              </w:rPr>
            </w:pPr>
            <w:r>
              <w:rPr>
                <w:rFonts w:hint="eastAsia" w:ascii="仿宋" w:hAnsi="仿宋" w:eastAsia="仿宋" w:cs="仿宋"/>
                <w:sz w:val="28"/>
              </w:rPr>
              <w:t>签署日期：2023年</w:t>
            </w:r>
            <w:r>
              <w:rPr>
                <w:rFonts w:hint="eastAsia" w:ascii="Times New Roman" w:hAnsi="Times New Roman" w:eastAsia="宋体" w:cs="仿宋"/>
                <w:sz w:val="28"/>
                <w:lang w:val="en-US" w:eastAsia="zh-CN"/>
              </w:rPr>
              <w:t xml:space="preserve">    月    日</w:t>
            </w:r>
          </w:p>
        </w:tc>
      </w:tr>
    </w:tbl>
    <w:p>
      <w:pPr>
        <w:widowControl w:val="0"/>
        <w:spacing w:after="120" w:line="360" w:lineRule="auto"/>
        <w:ind w:left="432" w:leftChars="200" w:firstLine="572" w:firstLineChars="200"/>
        <w:jc w:val="both"/>
        <w:rPr>
          <w:rFonts w:hint="default" w:ascii="Times New Roman" w:hAnsi="Times New Roman" w:eastAsia="宋体" w:cs="Times New Roman"/>
          <w:kern w:val="2"/>
          <w:sz w:val="28"/>
          <w:szCs w:val="24"/>
          <w:lang w:val="en-US" w:eastAsia="zh-CN" w:bidi="ar-SA"/>
        </w:rPr>
      </w:pPr>
    </w:p>
    <w:p/>
    <w:sectPr>
      <w:pgSz w:w="11906" w:h="16838"/>
      <w:pgMar w:top="1440" w:right="1797" w:bottom="1440" w:left="1797" w:header="851" w:footer="992" w:gutter="0"/>
      <w:cols w:space="0" w:num="1"/>
      <w:rtlGutter w:val="0"/>
      <w:docGrid w:type="linesAndChars" w:linePitch="395" w:charSpace="13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00000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00" w:firstLineChars="200"/>
      <w:jc w:val="right"/>
      <w:rPr>
        <w:rFonts w:ascii="Times New Roman" w:hAnsi="Times New Roman" w:eastAsia="宋体" w:cs="Times New Roman"/>
        <w:kern w:val="2"/>
        <w:sz w:val="15"/>
        <w:szCs w:val="15"/>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00" w:firstLineChars="200"/>
      <w:jc w:val="center"/>
      <w:rPr>
        <w:rFonts w:ascii="Times New Roman" w:hAnsi="Times New Roman" w:eastAsia="宋体" w:cs="Times New Roman"/>
        <w:kern w:val="2"/>
        <w:sz w:val="15"/>
        <w:szCs w:val="15"/>
        <w:lang w:val="en-US" w:eastAsia="zh-CN" w:bidi="ar-SA"/>
      </w:rPr>
    </w:pPr>
    <w:r>
      <w:rPr>
        <w:rFonts w:ascii="Times New Roman" w:hAnsi="Times New Roman" w:eastAsia="宋体" w:cs="Times New Roman"/>
        <w:kern w:val="0"/>
        <w:sz w:val="15"/>
        <w:szCs w:val="21"/>
        <w:lang w:val="en-US" w:eastAsia="zh-CN" w:bidi="ar-SA"/>
      </w:rPr>
      <w:fldChar w:fldCharType="begin"/>
    </w:r>
    <w:r>
      <w:rPr>
        <w:rFonts w:ascii="Times New Roman" w:hAnsi="Times New Roman" w:eastAsia="宋体" w:cs="Times New Roman"/>
        <w:kern w:val="0"/>
        <w:sz w:val="15"/>
        <w:szCs w:val="21"/>
        <w:lang w:val="en-US" w:eastAsia="zh-CN" w:bidi="ar-SA"/>
      </w:rPr>
      <w:instrText xml:space="preserve"> PAGE </w:instrText>
    </w:r>
    <w:r>
      <w:rPr>
        <w:rFonts w:ascii="Times New Roman" w:hAnsi="Times New Roman" w:eastAsia="宋体" w:cs="Times New Roman"/>
        <w:kern w:val="0"/>
        <w:sz w:val="15"/>
        <w:szCs w:val="21"/>
        <w:lang w:val="en-US" w:eastAsia="zh-CN" w:bidi="ar-SA"/>
      </w:rPr>
      <w:fldChar w:fldCharType="separate"/>
    </w:r>
    <w:r>
      <w:rPr>
        <w:rFonts w:ascii="Times New Roman" w:hAnsi="Times New Roman" w:eastAsia="宋体" w:cs="Times New Roman"/>
        <w:kern w:val="0"/>
        <w:sz w:val="15"/>
        <w:szCs w:val="21"/>
        <w:lang w:val="en-US" w:eastAsia="zh-CN" w:bidi="ar-SA"/>
      </w:rPr>
      <w:t>I</w:t>
    </w:r>
    <w:r>
      <w:rPr>
        <w:rFonts w:ascii="Times New Roman" w:hAnsi="Times New Roman" w:eastAsia="宋体" w:cs="Times New Roman"/>
        <w:kern w:val="0"/>
        <w:sz w:val="15"/>
        <w:szCs w:val="21"/>
        <w:lang w:val="en-US" w:eastAsia="zh-CN" w:bidi="ar-S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left="0" w:leftChars="0" w:firstLine="0" w:firstLineChars="0"/>
      <w:jc w:val="center"/>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0"/>
        <w:sz w:val="15"/>
        <w:szCs w:val="21"/>
        <w:lang w:val="en-US" w:eastAsia="zh-CN" w:bidi="ar-SA"/>
      </w:rPr>
      <w:t>第</w:t>
    </w:r>
    <w:r>
      <w:rPr>
        <w:rFonts w:ascii="Times New Roman" w:hAnsi="Times New Roman" w:eastAsia="宋体" w:cs="Times New Roman"/>
        <w:kern w:val="0"/>
        <w:sz w:val="15"/>
        <w:szCs w:val="21"/>
        <w:lang w:val="en-US" w:eastAsia="zh-CN" w:bidi="ar-SA"/>
      </w:rPr>
      <w:fldChar w:fldCharType="begin"/>
    </w:r>
    <w:r>
      <w:rPr>
        <w:rFonts w:ascii="Times New Roman" w:hAnsi="Times New Roman" w:eastAsia="宋体" w:cs="Times New Roman"/>
        <w:kern w:val="0"/>
        <w:sz w:val="15"/>
        <w:szCs w:val="21"/>
        <w:lang w:val="en-US" w:eastAsia="zh-CN" w:bidi="ar-SA"/>
      </w:rPr>
      <w:instrText xml:space="preserve"> PAGE </w:instrText>
    </w:r>
    <w:r>
      <w:rPr>
        <w:rFonts w:ascii="Times New Roman" w:hAnsi="Times New Roman" w:eastAsia="宋体" w:cs="Times New Roman"/>
        <w:kern w:val="0"/>
        <w:sz w:val="15"/>
        <w:szCs w:val="21"/>
        <w:lang w:val="en-US" w:eastAsia="zh-CN" w:bidi="ar-SA"/>
      </w:rPr>
      <w:fldChar w:fldCharType="separate"/>
    </w:r>
    <w:r>
      <w:rPr>
        <w:rFonts w:ascii="Times New Roman" w:hAnsi="Times New Roman" w:eastAsia="宋体" w:cs="Times New Roman"/>
        <w:kern w:val="0"/>
        <w:sz w:val="15"/>
        <w:szCs w:val="21"/>
        <w:lang w:val="en-US" w:eastAsia="zh-CN" w:bidi="ar-SA"/>
      </w:rPr>
      <w:t>1</w:t>
    </w:r>
    <w:r>
      <w:rPr>
        <w:rFonts w:ascii="Times New Roman" w:hAnsi="Times New Roman" w:eastAsia="宋体" w:cs="Times New Roman"/>
        <w:kern w:val="0"/>
        <w:sz w:val="15"/>
        <w:szCs w:val="21"/>
        <w:lang w:val="en-US" w:eastAsia="zh-CN" w:bidi="ar-SA"/>
      </w:rPr>
      <w:fldChar w:fldCharType="end"/>
    </w:r>
    <w:r>
      <w:rPr>
        <w:rFonts w:hint="eastAsia" w:ascii="Times New Roman" w:hAnsi="Times New Roman" w:eastAsia="宋体" w:cs="Times New Roman"/>
        <w:kern w:val="0"/>
        <w:sz w:val="15"/>
        <w:szCs w:val="21"/>
        <w:lang w:val="en-US" w:eastAsia="zh-CN" w:bidi="ar-SA"/>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left" w:pos="8280"/>
        <w:tab w:val="right" w:pos="8820"/>
      </w:tabs>
      <w:snapToGrid w:val="0"/>
      <w:spacing w:before="120" w:line="360" w:lineRule="auto"/>
      <w:ind w:right="26" w:firstLine="420" w:firstLineChars="200"/>
      <w:jc w:val="center"/>
      <w:rPr>
        <w:rFonts w:ascii="Arial" w:hAnsi="Arial" w:eastAsia="宋体" w:cs="Arial"/>
        <w:kern w:val="0"/>
        <w:sz w:val="21"/>
        <w:szCs w:val="18"/>
        <w:lang w:val="en-US" w:eastAsia="zh-CN" w:bidi="ar-SA"/>
      </w:rPr>
    </w:pPr>
    <w:r>
      <w:rPr>
        <w:rFonts w:ascii="Times New Roman" w:hAnsi="Times New Roman" w:eastAsia="宋体" w:cs="Times New Roman"/>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- 3 -</w:t>
                          </w:r>
                          <w:r>
                            <w:rPr>
                              <w:rFonts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Ic185AgAAcQ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LIc185AgAAcQQAAA4AAAAAAAAAAQAgAAAAHwEAAGRycy9lMm9Eb2Mu&#10;eG1sUEsFBgAAAAAGAAYAWQEAAMoFA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- 3 -</w:t>
                    </w:r>
                    <w:r>
                      <w:rPr>
                        <w:rFonts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snapToGrid w:val="0"/>
      <w:spacing w:line="360" w:lineRule="auto"/>
      <w:ind w:firstLine="0" w:firstLineChars="0"/>
      <w:jc w:val="distribute"/>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 xml:space="preserve">遂宁市安居区城区智慧停车位项目 </w:t>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 xml:space="preserve">                   </w:t>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 xml:space="preserve">                    特许经营出让方案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snapToGrid w:val="0"/>
      <w:spacing w:line="360" w:lineRule="auto"/>
      <w:ind w:firstLine="360" w:firstLineChars="200"/>
      <w:jc w:val="center"/>
      <w:rPr>
        <w:rFonts w:ascii="Times New Roman" w:hAnsi="Times New Roman"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3B5924"/>
    <w:multiLevelType w:val="singleLevel"/>
    <w:tmpl w:val="8F3B5924"/>
    <w:lvl w:ilvl="0" w:tentative="0">
      <w:start w:val="5"/>
      <w:numFmt w:val="chineseCounting"/>
      <w:suff w:val="space"/>
      <w:lvlText w:val="第%1章"/>
      <w:lvlJc w:val="left"/>
      <w:rPr>
        <w:rFonts w:hint="eastAsia"/>
      </w:rPr>
    </w:lvl>
  </w:abstractNum>
  <w:abstractNum w:abstractNumId="1">
    <w:nsid w:val="EA885845"/>
    <w:multiLevelType w:val="singleLevel"/>
    <w:tmpl w:val="EA885845"/>
    <w:lvl w:ilvl="0" w:tentative="0">
      <w:start w:val="1"/>
      <w:numFmt w:val="decimal"/>
      <w:lvlText w:val="%1."/>
      <w:lvlJc w:val="left"/>
      <w:pPr>
        <w:tabs>
          <w:tab w:val="left" w:pos="-420"/>
        </w:tabs>
        <w:ind w:left="5" w:hanging="425"/>
      </w:pPr>
      <w:rPr>
        <w:rFonts w:hint="default"/>
      </w:rPr>
    </w:lvl>
  </w:abstractNum>
  <w:abstractNum w:abstractNumId="2">
    <w:nsid w:val="178017FE"/>
    <w:multiLevelType w:val="multilevel"/>
    <w:tmpl w:val="178017FE"/>
    <w:lvl w:ilvl="0" w:tentative="0">
      <w:start w:val="1"/>
      <w:numFmt w:val="decimal"/>
      <w:suff w:val="space"/>
      <w:lvlText w:val="第%1条"/>
      <w:lvlJc w:val="left"/>
      <w:pPr>
        <w:ind w:left="-119" w:firstLine="119"/>
      </w:pPr>
      <w:rPr>
        <w:rFonts w:hint="default" w:ascii="Times New Roman" w:hAnsi="Times New Roman" w:eastAsia="宋体" w:cs="Times New Roman"/>
        <w:b/>
        <w:i w:val="0"/>
        <w:sz w:val="28"/>
      </w:rPr>
    </w:lvl>
    <w:lvl w:ilvl="1" w:tentative="0">
      <w:start w:val="1"/>
      <w:numFmt w:val="decimal"/>
      <w:suff w:val="nothing"/>
      <w:lvlText w:val="%1.%2 "/>
      <w:lvlJc w:val="left"/>
      <w:pPr>
        <w:ind w:left="1044" w:hanging="624"/>
      </w:pPr>
      <w:rPr>
        <w:rFonts w:hint="default" w:ascii="Times New Roman" w:hAnsi="Times New Roman" w:eastAsia="宋体" w:cs="Times New Roman"/>
        <w:b w:val="0"/>
        <w:bCs/>
        <w:i w:val="0"/>
        <w:sz w:val="24"/>
        <w:szCs w:val="24"/>
      </w:rPr>
    </w:lvl>
    <w:lvl w:ilvl="2" w:tentative="0">
      <w:start w:val="1"/>
      <w:numFmt w:val="decimal"/>
      <w:suff w:val="nothing"/>
      <w:lvlText w:val="%1.%2.%3"/>
      <w:lvlJc w:val="left"/>
      <w:pPr>
        <w:ind w:left="1100" w:hanging="680"/>
      </w:pPr>
      <w:rPr>
        <w:rFonts w:hint="default" w:ascii="Times New Roman" w:hAnsi="Times New Roman" w:eastAsia="宋体" w:cs="Times New Roman"/>
        <w:b w:val="0"/>
        <w:i w:val="0"/>
        <w:sz w:val="24"/>
        <w:szCs w:val="24"/>
      </w:rPr>
    </w:lvl>
    <w:lvl w:ilvl="3" w:tentative="0">
      <w:start w:val="1"/>
      <w:numFmt w:val="lowerLetter"/>
      <w:lvlText w:val="（%4）"/>
      <w:lvlJc w:val="left"/>
      <w:pPr>
        <w:tabs>
          <w:tab w:val="left" w:pos="3211"/>
        </w:tabs>
        <w:ind w:left="3267" w:hanging="567"/>
      </w:pPr>
      <w:rPr>
        <w:rFonts w:hint="default" w:cs="Times New Roman"/>
        <w:b w:val="0"/>
        <w:i w:val="0"/>
      </w:rPr>
    </w:lvl>
    <w:lvl w:ilvl="4" w:tentative="0">
      <w:start w:val="1"/>
      <w:numFmt w:val="lowerRoman"/>
      <w:lvlText w:val="(%5)"/>
      <w:lvlJc w:val="left"/>
      <w:pPr>
        <w:tabs>
          <w:tab w:val="left" w:pos="839"/>
        </w:tabs>
        <w:ind w:left="839" w:hanging="1008"/>
      </w:pPr>
      <w:rPr>
        <w:rFonts w:hint="eastAsia" w:cs="Times New Roman"/>
        <w:color w:val="auto"/>
      </w:rPr>
    </w:lvl>
    <w:lvl w:ilvl="5" w:tentative="0">
      <w:start w:val="1"/>
      <w:numFmt w:val="decimal"/>
      <w:lvlText w:val="%1.%2.%3.%4.%5.%6"/>
      <w:lvlJc w:val="left"/>
      <w:pPr>
        <w:tabs>
          <w:tab w:val="left" w:pos="983"/>
        </w:tabs>
        <w:ind w:left="983" w:hanging="1152"/>
      </w:pPr>
      <w:rPr>
        <w:rFonts w:hint="eastAsia" w:cs="Times New Roman"/>
      </w:rPr>
    </w:lvl>
    <w:lvl w:ilvl="6" w:tentative="0">
      <w:start w:val="1"/>
      <w:numFmt w:val="decimal"/>
      <w:lvlText w:val="%1.%2.%3.%4.%5.%6.%7"/>
      <w:lvlJc w:val="left"/>
      <w:pPr>
        <w:tabs>
          <w:tab w:val="left" w:pos="1127"/>
        </w:tabs>
        <w:ind w:left="1127" w:hanging="1296"/>
      </w:pPr>
      <w:rPr>
        <w:rFonts w:hint="eastAsia" w:cs="Times New Roman"/>
      </w:rPr>
    </w:lvl>
    <w:lvl w:ilvl="7" w:tentative="0">
      <w:start w:val="1"/>
      <w:numFmt w:val="decimal"/>
      <w:lvlText w:val="%1.%2.%3.%4.%5.%6.%7.%8"/>
      <w:lvlJc w:val="left"/>
      <w:pPr>
        <w:tabs>
          <w:tab w:val="left" w:pos="1271"/>
        </w:tabs>
        <w:ind w:left="1271" w:hanging="1440"/>
      </w:pPr>
      <w:rPr>
        <w:rFonts w:hint="eastAsia" w:cs="Times New Roman"/>
      </w:rPr>
    </w:lvl>
    <w:lvl w:ilvl="8" w:tentative="0">
      <w:start w:val="1"/>
      <w:numFmt w:val="decimal"/>
      <w:lvlText w:val="%1.%2.%3.%4.%5.%6.%7.%8.%9"/>
      <w:lvlJc w:val="left"/>
      <w:pPr>
        <w:tabs>
          <w:tab w:val="left" w:pos="1415"/>
        </w:tabs>
        <w:ind w:left="1415" w:hanging="1584"/>
      </w:pPr>
      <w:rPr>
        <w:rFonts w:hint="eastAsia"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xZjQzM2ZkZDE1MjYyOTgyYTc4YjE1YjNmZWI3NGEifQ=="/>
  </w:docVars>
  <w:rsids>
    <w:rsidRoot w:val="0C5440CF"/>
    <w:rsid w:val="0C5440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2023-08-09T07:26:00Z</dcterms:created>
  <dc:creator>惠</dc:creator>
  <cp:lastModifiedBy>惠</cp:lastModifiedBy>
  <dcterms:modified xsi:type="dcterms:W3CDTF">2023-08-09T07:28:28Z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2E91BB25C10044B389A5AA7533B3752B_11</vt:lpwstr>
  </property>
</Properties>
</file>