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3FF66E"/>
    <w:multiLevelType w:val="singleLevel"/>
    <w:tmpl w:val="CC3FF6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F1FC177C"/>
    <w:multiLevelType w:val="singleLevel"/>
    <w:tmpl w:val="F1FC17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FF674BC"/>
    <w:multiLevelType w:val="singleLevel"/>
    <w:tmpl w:val="FFF674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F55604B"/>
    <w:multiLevelType w:val="singleLevel"/>
    <w:tmpl w:val="5F5560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6A9069C"/>
    <w:multiLevelType w:val="singleLevel"/>
    <w:tmpl w:val="66A9069C"/>
    <w:lvl w:ilvl="0" w:tentative="0">
      <w:start w:val="2"/>
      <w:numFmt w:val="decimal"/>
      <w:suff w:val="nothing"/>
      <w:lvlText w:val="%1．"/>
      <w:lvlJc w:val="left"/>
      <w:pPr>
        <w:ind w:left="-10"/>
      </w:pPr>
    </w:lvl>
  </w:abstractNum>
  <w:abstractNum w:abstractNumId="8">
    <w:nsid w:val="674F1A9D"/>
    <w:multiLevelType w:val="singleLevel"/>
    <w:tmpl w:val="674F1A9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577" w:firstLine="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5.bin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收入（万元）</c:v>
                </c:pt>
                <c:pt idx="1">
                  <c:v>支出（万元）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38.98</c:v>
                </c:pt>
                <c:pt idx="1">
                  <c:v>38.98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收入（万元）</c:v>
                </c:pt>
                <c:pt idx="1">
                  <c:v>支出（万元）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55.76</c:v>
                </c:pt>
                <c:pt idx="1">
                  <c:v>55.76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620480"/>
        <c:axId val="153622016"/>
      </c:barChart>
      <c:catAx>
        <c:axId val="153620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3622016"/>
        <c:crosses val="autoZero"/>
        <c:auto val="1"/>
        <c:lblAlgn val="ctr"/>
        <c:lblOffset val="100"/>
        <c:noMultiLvlLbl val="0"/>
      </c:catAx>
      <c:valAx>
        <c:axId val="153622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3620480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收入占比（%）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100</a:t>
                    </a:r>
                    <a:endParaRPr>
                      <a:solidFill>
                        <a:schemeClr val="accent6">
                          <a:lumMod val="75000"/>
                        </a:schemeClr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Sheet1!$A$2:$A$10</c:f>
              <c:strCache>
                <c:ptCount val="9"/>
                <c:pt idx="0">
                  <c:v>一般公共预算财政拨款收入</c:v>
                </c:pt>
                <c:pt idx="1">
                  <c:v>政府性基金预算财政拨款收入</c:v>
                </c:pt>
                <c:pt idx="2">
                  <c:v>国有资本经营预算财政拨款收入</c:v>
                </c:pt>
                <c:pt idx="3">
                  <c:v>上级补助收入</c:v>
                </c:pt>
                <c:pt idx="4">
                  <c:v>事业收入</c:v>
                </c:pt>
                <c:pt idx="5">
                  <c:v>经营收入</c:v>
                </c:pt>
                <c:pt idx="6">
                  <c:v>附属单位上缴收入</c:v>
                </c:pt>
                <c:pt idx="7">
                  <c:v>其他收入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支出占比（%）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基本支出</c:v>
                </c:pt>
                <c:pt idx="1">
                  <c:v>项目支出</c:v>
                </c:pt>
                <c:pt idx="2">
                  <c:v>上缴上级支出</c:v>
                </c:pt>
                <c:pt idx="3">
                  <c:v>对附属单位补助支出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82.16</c:v>
                </c:pt>
                <c:pt idx="1">
                  <c:v>17.84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财政拨款收入（万元）</c:v>
                </c:pt>
                <c:pt idx="1">
                  <c:v>财政拨款支出（万元）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38.98</c:v>
                </c:pt>
                <c:pt idx="1">
                  <c:v>38.98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财政拨款收入（万元）</c:v>
                </c:pt>
                <c:pt idx="1">
                  <c:v>财政拨款支出（万元）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55.76</c:v>
                </c:pt>
                <c:pt idx="1">
                  <c:v>55.76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402624"/>
        <c:axId val="157404160"/>
      </c:barChart>
      <c:catAx>
        <c:axId val="1574026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7404160"/>
        <c:crosses val="autoZero"/>
        <c:auto val="1"/>
        <c:lblAlgn val="ctr"/>
        <c:lblOffset val="100"/>
        <c:noMultiLvlLbl val="0"/>
      </c:catAx>
      <c:valAx>
        <c:axId val="157404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740262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一般公共预算财政拨款支出占比（%）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一般公共服务支出</c:v>
                </c:pt>
                <c:pt idx="1">
                  <c:v>教育支出</c:v>
                </c:pt>
                <c:pt idx="2">
                  <c:v>科学技术支出</c:v>
                </c:pt>
                <c:pt idx="3">
                  <c:v>文化旅游体育与传媒支出</c:v>
                </c:pt>
                <c:pt idx="4">
                  <c:v>社会保障和就业支出</c:v>
                </c:pt>
                <c:pt idx="5">
                  <c:v>卫生健康支出</c:v>
                </c:pt>
                <c:pt idx="6">
                  <c:v>住房保障支出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82.89</c:v>
                </c:pt>
                <c:pt idx="4">
                  <c:v>5.7</c:v>
                </c:pt>
                <c:pt idx="5">
                  <c:v>3.51</c:v>
                </c:pt>
                <c:pt idx="6">
                  <c:v>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