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华文中宋" w:eastAsia="方正小标宋简体" w:cs="华文中宋"/>
          <w:color w:val="000000"/>
          <w:kern w:val="0"/>
          <w:sz w:val="44"/>
          <w:szCs w:val="44"/>
        </w:rPr>
      </w:pPr>
      <w:r>
        <w:rPr>
          <w:rFonts w:hint="eastAsia" w:ascii="方正小标宋简体" w:hAnsi="华文中宋" w:eastAsia="方正小标宋简体" w:cs="华文中宋"/>
          <w:color w:val="000000"/>
          <w:kern w:val="0"/>
          <w:sz w:val="44"/>
          <w:szCs w:val="44"/>
        </w:rPr>
        <w:t>遂宁市安居区医保局</w:t>
      </w:r>
    </w:p>
    <w:p>
      <w:pPr>
        <w:spacing w:line="560" w:lineRule="exact"/>
        <w:jc w:val="center"/>
        <w:rPr>
          <w:rFonts w:hint="eastAsia" w:ascii="方正小标宋简体" w:hAnsi="华文中宋" w:eastAsia="方正小标宋简体" w:cs="华文中宋"/>
          <w:color w:val="000000"/>
          <w:kern w:val="0"/>
          <w:sz w:val="44"/>
          <w:szCs w:val="44"/>
        </w:rPr>
      </w:pPr>
      <w:r>
        <w:rPr>
          <w:rFonts w:hint="eastAsia" w:ascii="方正小标宋简体" w:hAnsi="华文中宋" w:eastAsia="方正小标宋简体" w:cs="华文中宋"/>
          <w:color w:val="000000"/>
          <w:kern w:val="0"/>
          <w:sz w:val="44"/>
          <w:szCs w:val="44"/>
        </w:rPr>
        <w:t>2018年政府信息公开年度报告</w:t>
      </w:r>
    </w:p>
    <w:p>
      <w:pPr>
        <w:spacing w:line="560" w:lineRule="exact"/>
        <w:rPr>
          <w:rFonts w:hint="eastAsia"/>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本年度，区医保局积极贯彻</w:t>
      </w:r>
      <w:r>
        <w:rPr>
          <w:rFonts w:hint="eastAsia" w:ascii="仿宋_GB2312" w:hAnsi="仿宋_GB2312" w:eastAsia="仿宋_GB2312" w:cs="仿宋_GB2312"/>
          <w:sz w:val="32"/>
          <w:szCs w:val="32"/>
          <w:lang w:eastAsia="zh-CN"/>
        </w:rPr>
        <w:t>《中华人民共和国政府信息公开条例》</w:t>
      </w:r>
      <w:bookmarkStart w:id="0" w:name="_GoBack"/>
      <w:bookmarkEnd w:id="0"/>
      <w:r>
        <w:rPr>
          <w:rFonts w:hint="eastAsia" w:ascii="仿宋_GB2312" w:hAnsi="仿宋_GB2312" w:eastAsia="仿宋_GB2312" w:cs="仿宋_GB2312"/>
          <w:sz w:val="32"/>
          <w:szCs w:val="32"/>
        </w:rPr>
        <w:t>精神，认真落实市区2</w:t>
      </w:r>
      <w:r>
        <w:rPr>
          <w:rFonts w:ascii="仿宋_GB2312" w:hAnsi="仿宋_GB2312" w:eastAsia="仿宋_GB2312" w:cs="仿宋_GB2312"/>
          <w:sz w:val="32"/>
          <w:szCs w:val="32"/>
        </w:rPr>
        <w:t>018</w:t>
      </w:r>
      <w:r>
        <w:rPr>
          <w:rFonts w:hint="eastAsia" w:ascii="仿宋_GB2312" w:hAnsi="仿宋_GB2312" w:eastAsia="仿宋_GB2312" w:cs="仿宋_GB2312"/>
          <w:sz w:val="32"/>
          <w:szCs w:val="32"/>
        </w:rPr>
        <w:t>年信息工作会议部署，注重规范，提升质量，圆满完成年度信息公开工作，现将具体情况报告如下：</w:t>
      </w:r>
    </w:p>
    <w:p>
      <w:p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一、政府信息公开工作开展情况</w:t>
      </w:r>
    </w:p>
    <w:p>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bCs/>
          <w:color w:val="000000"/>
          <w:sz w:val="32"/>
          <w:szCs w:val="32"/>
        </w:rPr>
        <w:t>（一）加强组织领导。</w:t>
      </w:r>
      <w:r>
        <w:rPr>
          <w:rFonts w:hint="eastAsia" w:ascii="仿宋_GB2312" w:hAnsi="仿宋_GB2312" w:eastAsia="仿宋_GB2312" w:cs="仿宋_GB2312"/>
          <w:color w:val="000000"/>
          <w:sz w:val="32"/>
          <w:szCs w:val="32"/>
        </w:rPr>
        <w:t>成立了以分管副局长为组长，局办公室工作人员为成员的政务信息公开工作小组，具体负责日常政务信息公开工作。加强经费保障和日常督查，保障政府信息公开工作有效开展。实行领导责任制和责任追究制，形成一级抓一级、层层抓落实的良好格局。</w:t>
      </w:r>
    </w:p>
    <w:p>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bCs/>
          <w:color w:val="000000"/>
          <w:sz w:val="32"/>
          <w:szCs w:val="32"/>
        </w:rPr>
        <w:t>（二）强化载体建设。</w:t>
      </w:r>
      <w:r>
        <w:rPr>
          <w:rFonts w:hint="eastAsia" w:ascii="仿宋_GB2312" w:hAnsi="仿宋_GB2312" w:eastAsia="仿宋_GB2312" w:cs="仿宋_GB2312"/>
          <w:color w:val="000000"/>
          <w:sz w:val="32"/>
          <w:szCs w:val="32"/>
        </w:rPr>
        <w:t xml:space="preserve">进一步完善局网站政府信息公开专栏，保持与市级平台链接畅通，确保群众可以通过局网站专栏直接链接到市政府信息公开专栏，保障专栏功能与市级专栏功能基本一致。积极与新闻媒体合作，不断扩展信息公开渠道。    </w:t>
      </w:r>
    </w:p>
    <w:p>
      <w:pPr>
        <w:spacing w:line="560" w:lineRule="exact"/>
        <w:ind w:firstLine="643"/>
        <w:rPr>
          <w:rFonts w:ascii="仿宋_GB2312" w:hAnsi="仿宋_GB2312" w:eastAsia="仿宋_GB2312" w:cs="仿宋_GB2312"/>
          <w:color w:val="000000"/>
          <w:sz w:val="32"/>
          <w:szCs w:val="32"/>
        </w:rPr>
      </w:pPr>
      <w:r>
        <w:rPr>
          <w:rFonts w:hint="eastAsia" w:ascii="楷体_GB2312" w:hAnsi="楷体_GB2312" w:eastAsia="楷体_GB2312" w:cs="楷体_GB2312"/>
          <w:bCs/>
          <w:color w:val="000000"/>
          <w:sz w:val="32"/>
          <w:szCs w:val="32"/>
        </w:rPr>
        <w:t>（三）加强保密审查。</w:t>
      </w:r>
      <w:r>
        <w:rPr>
          <w:rFonts w:hint="eastAsia" w:ascii="仿宋_GB2312" w:hAnsi="仿宋_GB2312" w:eastAsia="仿宋_GB2312" w:cs="仿宋_GB2312"/>
          <w:color w:val="000000"/>
          <w:sz w:val="32"/>
          <w:szCs w:val="32"/>
        </w:rPr>
        <w:t>进一步完善《区医保局政府信息公开制度》、《区医保局政府信息公开审查制度》、《区医保局政府信息依申请公开制度》、《区医保局政府信息公开责任追究制度》，并在具体审核过程中，增设业务股室审核，保密工作、信息公开工作分管领导审核，政策法规股审核等等内容，做到层层把关、公开安全，能公开的内容尽可能公开。积极落实政府信息公开保密审查制度和责任追究制度，信息公开人员坚持3个月一次对信息公开专栏发布的公开信息进行自查，政务信息公开工作小组组织相关人员定期对信息公开规范性进行检查，确保信息的公开的规范性、严谨性。</w:t>
      </w:r>
    </w:p>
    <w:p>
      <w:pPr>
        <w:spacing w:line="56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二、主动公开政府信息情况</w:t>
      </w:r>
    </w:p>
    <w:p>
      <w:pPr>
        <w:spacing w:line="560" w:lineRule="exact"/>
        <w:ind w:firstLine="640" w:firstLineChars="200"/>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201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年，通过政府信息公开网公开信息共计2</w:t>
      </w:r>
      <w:r>
        <w:rPr>
          <w:rFonts w:ascii="仿宋_GB2312" w:hAnsi="仿宋_GB2312" w:eastAsia="仿宋_GB2312" w:cs="仿宋_GB2312"/>
          <w:sz w:val="32"/>
          <w:szCs w:val="32"/>
        </w:rPr>
        <w:t>51</w:t>
      </w:r>
      <w:r>
        <w:rPr>
          <w:rFonts w:hint="eastAsia" w:ascii="仿宋_GB2312" w:hAnsi="仿宋_GB2312" w:eastAsia="仿宋_GB2312" w:cs="仿宋_GB2312"/>
          <w:sz w:val="32"/>
          <w:szCs w:val="32"/>
        </w:rPr>
        <w:t>条，其中：政策文件信息1</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条，文件解读信息4</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条，规划计划信息5条，工作动态信息7条，统计数据信息4条，人事信息1条，公示公告信息1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条，预决算及“三公”经费信息2条，便民服务信息2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条，人大建议政协提案信息1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条，政府信息公开工作年度报告1条，政府信息公开指南1条，其他信息1条；通过市人社局网站公开1条；通过四川民生报道网公开1条；其他形式公开2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 xml:space="preserve">余条。始终做到格式标准，分类准确，操作规范。  </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Cs/>
          <w:sz w:val="32"/>
          <w:szCs w:val="32"/>
        </w:rPr>
        <w:t>（一）信息公开形式。</w:t>
      </w:r>
      <w:r>
        <w:rPr>
          <w:rFonts w:hint="eastAsia" w:ascii="仿宋_GB2312" w:hAnsi="仿宋_GB2312" w:eastAsia="仿宋_GB2312" w:cs="仿宋_GB2312"/>
          <w:sz w:val="32"/>
          <w:szCs w:val="32"/>
        </w:rPr>
        <w:t>坚持政务信息公开多样化与重点突出相结合的形式，公开渠道主要包括市政府信息公开网、市人力资源和社会保障网、新闻媒体、宣传资料等。</w:t>
      </w:r>
    </w:p>
    <w:p>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bCs/>
          <w:sz w:val="32"/>
          <w:szCs w:val="32"/>
        </w:rPr>
        <w:t>（二）信息公开范围。</w:t>
      </w:r>
      <w:r>
        <w:rPr>
          <w:rFonts w:hint="eastAsia" w:ascii="仿宋_GB2312" w:hAnsi="仿宋_GB2312" w:eastAsia="仿宋_GB2312" w:cs="仿宋_GB2312"/>
          <w:sz w:val="32"/>
          <w:szCs w:val="32"/>
        </w:rPr>
        <w:t>全局严格按照《政府信息公</w:t>
      </w:r>
      <w:r>
        <w:rPr>
          <w:rFonts w:hint="eastAsia" w:ascii="仿宋_GB2312" w:hAnsi="仿宋_GB2312" w:eastAsia="仿宋_GB2312" w:cs="仿宋_GB2312"/>
          <w:color w:val="000000"/>
          <w:sz w:val="32"/>
          <w:szCs w:val="32"/>
        </w:rPr>
        <w:t xml:space="preserve">开条例》规定的公开范围公开政府信息，突出做好政府公文、行政规范性文件、人事、行政审批、“三公”经费等重点领域信息公开，既重数量，更讲质量。 </w:t>
      </w:r>
    </w:p>
    <w:p>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bCs/>
          <w:color w:val="000000"/>
          <w:sz w:val="32"/>
          <w:szCs w:val="32"/>
        </w:rPr>
        <w:t>（三）信息公开时间。</w:t>
      </w:r>
      <w:r>
        <w:rPr>
          <w:rFonts w:hint="eastAsia" w:ascii="仿宋_GB2312" w:hAnsi="仿宋_GB2312" w:eastAsia="仿宋_GB2312" w:cs="仿宋_GB2312"/>
          <w:sz w:val="32"/>
          <w:szCs w:val="32"/>
        </w:rPr>
        <w:t>全局</w:t>
      </w:r>
      <w:r>
        <w:rPr>
          <w:rFonts w:hint="eastAsia" w:ascii="仿宋_GB2312" w:hAnsi="仿宋_GB2312" w:eastAsia="仿宋_GB2312" w:cs="仿宋_GB2312"/>
          <w:color w:val="000000"/>
          <w:sz w:val="32"/>
          <w:szCs w:val="32"/>
        </w:rPr>
        <w:t>坚持在20个工作日内公开政府信息，杜绝超时现象发生，并按时做好政策解读、热点回应等工作。</w:t>
      </w:r>
    </w:p>
    <w:p>
      <w:pPr>
        <w:spacing w:line="56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bCs/>
          <w:color w:val="000000"/>
          <w:sz w:val="32"/>
          <w:szCs w:val="32"/>
        </w:rPr>
        <w:t>（四）信息公开内容。</w:t>
      </w:r>
      <w:r>
        <w:rPr>
          <w:rFonts w:hint="eastAsia" w:ascii="仿宋_GB2312" w:hAnsi="仿宋_GB2312" w:eastAsia="仿宋_GB2312" w:cs="仿宋_GB2312"/>
          <w:color w:val="000000"/>
          <w:sz w:val="32"/>
          <w:szCs w:val="32"/>
        </w:rPr>
        <w:t xml:space="preserve">全局公开的信息始终做到内容完整、可读性强、格式规范，没有无效信息和简单的转帖信息。重点公开的内容是政策类、业务类和公共服务等信息。 </w:t>
      </w:r>
    </w:p>
    <w:p>
      <w:p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三、政府信息依申请公开的情况</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四、政府信息公开收费及减免情况的情况</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无收费</w:t>
      </w:r>
    </w:p>
    <w:p>
      <w:p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五、因政府信息公开申请行政复议、提起行政诉讼的情况</w:t>
      </w:r>
    </w:p>
    <w:p>
      <w:pPr>
        <w:spacing w:line="560" w:lineRule="exact"/>
        <w:ind w:firstLine="640" w:firstLineChars="200"/>
        <w:rPr>
          <w:rFonts w:hint="eastAsia" w:ascii="仿宋_GB2312" w:hAnsi="黑体" w:eastAsia="仿宋_GB2312" w:cs="仿宋_GB2312"/>
          <w:color w:val="000000"/>
          <w:sz w:val="32"/>
          <w:szCs w:val="32"/>
        </w:rPr>
      </w:pPr>
      <w:r>
        <w:rPr>
          <w:rFonts w:hint="eastAsia" w:ascii="仿宋_GB2312" w:hAnsi="黑体" w:eastAsia="仿宋_GB2312" w:cs="仿宋_GB2312"/>
          <w:color w:val="000000"/>
          <w:sz w:val="32"/>
          <w:szCs w:val="32"/>
        </w:rPr>
        <w:t>无</w:t>
      </w:r>
    </w:p>
    <w:p>
      <w:pPr>
        <w:spacing w:line="560" w:lineRule="exact"/>
        <w:ind w:firstLine="640"/>
        <w:rPr>
          <w:rFonts w:ascii="黑体" w:hAnsi="黑体" w:eastAsia="黑体" w:cs="黑体"/>
          <w:color w:val="000000"/>
          <w:sz w:val="32"/>
          <w:szCs w:val="32"/>
        </w:rPr>
      </w:pPr>
      <w:r>
        <w:rPr>
          <w:rFonts w:hint="eastAsia" w:ascii="黑体" w:hAnsi="黑体" w:eastAsia="黑体" w:cs="黑体"/>
          <w:bCs/>
          <w:color w:val="000000"/>
          <w:kern w:val="0"/>
          <w:sz w:val="32"/>
          <w:szCs w:val="32"/>
        </w:rPr>
        <w:t>六、</w:t>
      </w:r>
      <w:r>
        <w:rPr>
          <w:rFonts w:hint="eastAsia" w:ascii="黑体" w:hAnsi="黑体" w:eastAsia="黑体" w:cs="黑体"/>
          <w:bCs/>
          <w:color w:val="000000"/>
          <w:sz w:val="32"/>
          <w:szCs w:val="32"/>
        </w:rPr>
        <w:t>存在问题和改进措施</w:t>
      </w:r>
    </w:p>
    <w:p>
      <w:pPr>
        <w:spacing w:line="560" w:lineRule="exact"/>
        <w:ind w:firstLine="640"/>
        <w:rPr>
          <w:rFonts w:ascii="仿宋_GB2312" w:hAnsi="仿宋_GB2312" w:eastAsia="仿宋_GB2312" w:cs="仿宋_GB2312"/>
          <w:color w:val="000000"/>
          <w:sz w:val="32"/>
          <w:szCs w:val="32"/>
        </w:rPr>
      </w:pPr>
      <w:r>
        <w:rPr>
          <w:rFonts w:hint="eastAsia" w:ascii="楷体_GB2312" w:hAnsi="楷体_GB2312" w:eastAsia="楷体_GB2312" w:cs="楷体_GB2312"/>
          <w:bCs/>
          <w:color w:val="000000"/>
          <w:sz w:val="32"/>
          <w:szCs w:val="32"/>
        </w:rPr>
        <w:t>（一）存在问题。</w:t>
      </w:r>
      <w:r>
        <w:rPr>
          <w:rFonts w:hint="eastAsia" w:ascii="仿宋_GB2312" w:hAnsi="仿宋_GB2312" w:eastAsia="仿宋_GB2312" w:cs="仿宋_GB2312"/>
          <w:color w:val="000000"/>
          <w:sz w:val="32"/>
          <w:szCs w:val="32"/>
        </w:rPr>
        <w:t>一是政府信息公开的全面性需要进一步加强。二是政府信息公开效率低，存在年底集中公开现象。</w:t>
      </w:r>
    </w:p>
    <w:p>
      <w:pPr>
        <w:spacing w:line="560" w:lineRule="exact"/>
        <w:ind w:firstLine="640"/>
        <w:rPr>
          <w:rFonts w:ascii="仿宋_GB2312" w:hAnsi="仿宋_GB2312" w:eastAsia="仿宋_GB2312" w:cs="仿宋_GB2312"/>
          <w:color w:val="000000"/>
          <w:sz w:val="32"/>
          <w:szCs w:val="32"/>
        </w:rPr>
      </w:pPr>
      <w:r>
        <w:rPr>
          <w:rFonts w:hint="eastAsia" w:ascii="楷体_GB2312" w:hAnsi="楷体_GB2312" w:eastAsia="楷体_GB2312" w:cs="楷体_GB2312"/>
          <w:bCs/>
          <w:color w:val="000000"/>
          <w:sz w:val="32"/>
          <w:szCs w:val="32"/>
        </w:rPr>
        <w:t>（二）改进措施。</w:t>
      </w:r>
      <w:r>
        <w:rPr>
          <w:rFonts w:hint="eastAsia" w:ascii="仿宋_GB2312" w:hAnsi="仿宋_GB2312" w:eastAsia="仿宋_GB2312" w:cs="仿宋_GB2312"/>
          <w:color w:val="000000"/>
          <w:sz w:val="32"/>
          <w:szCs w:val="32"/>
        </w:rPr>
        <w:t>一要进一步优化信息公开流程，规范公开程序，完善审查机制。二要改进工作方式方法，转变思想，增强信息公开实效，确保信息公开及时、准确、全面。</w:t>
      </w:r>
    </w:p>
    <w:p>
      <w:pPr>
        <w:spacing w:line="560" w:lineRule="exact"/>
        <w:ind w:firstLine="640"/>
        <w:rPr>
          <w:rFonts w:ascii="仿宋_GB2312" w:hAnsi="仿宋_GB2312" w:eastAsia="仿宋_GB2312" w:cs="仿宋_GB2312"/>
          <w:color w:val="000000"/>
          <w:sz w:val="32"/>
          <w:szCs w:val="32"/>
        </w:rPr>
      </w:pPr>
    </w:p>
    <w:p>
      <w:pPr>
        <w:spacing w:line="560" w:lineRule="exact"/>
        <w:ind w:right="960" w:firstLine="640"/>
        <w:jc w:val="right"/>
      </w:pPr>
      <w:r>
        <w:rPr>
          <w:rFonts w:hint="eastAsia" w:ascii="仿宋_GB2312" w:hAnsi="仿宋_GB2312" w:eastAsia="仿宋_GB2312" w:cs="仿宋_GB2312"/>
          <w:color w:val="000000"/>
          <w:sz w:val="32"/>
          <w:szCs w:val="32"/>
        </w:rPr>
        <w:t>201</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年3月1</w:t>
      </w: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日</w:t>
      </w:r>
    </w:p>
    <w:sectPr>
      <w:headerReference r:id="rId6" w:type="first"/>
      <w:footerReference r:id="rId9" w:type="first"/>
      <w:footerReference r:id="rId7" w:type="default"/>
      <w:headerReference r:id="rId5" w:type="even"/>
      <w:footerReference r:id="rId8" w:type="even"/>
      <w:pgSz w:w="11906" w:h="16838"/>
      <w:pgMar w:top="1985"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AE8ED6-7BA3-49FE-AD68-0E3775B999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25D7D13-EDA3-49A4-85CC-A161299DA3E8}"/>
  </w:font>
  <w:font w:name="方正小标宋简体">
    <w:panose1 w:val="02000000000000000000"/>
    <w:charset w:val="86"/>
    <w:family w:val="auto"/>
    <w:pitch w:val="default"/>
    <w:sig w:usb0="00000001" w:usb1="080E0000" w:usb2="00000000" w:usb3="00000000" w:csb0="00040000" w:csb1="00000000"/>
    <w:embedRegular r:id="rId3" w:fontKey="{13DF529F-B8F3-4EBD-873D-6B0D7767C3D4}"/>
  </w:font>
  <w:font w:name="华文中宋">
    <w:panose1 w:val="02010600040101010101"/>
    <w:charset w:val="86"/>
    <w:family w:val="auto"/>
    <w:pitch w:val="default"/>
    <w:sig w:usb0="00000287" w:usb1="080F0000" w:usb2="00000000" w:usb3="00000000" w:csb0="0004009F" w:csb1="DFD70000"/>
    <w:embedRegular r:id="rId4" w:fontKey="{E683E0C9-4B8E-4FE6-9AF8-0ED7F57FB391}"/>
  </w:font>
  <w:font w:name="仿宋_GB2312">
    <w:altName w:val="仿宋"/>
    <w:panose1 w:val="02010609030101010101"/>
    <w:charset w:val="86"/>
    <w:family w:val="modern"/>
    <w:pitch w:val="default"/>
    <w:sig w:usb0="00000000" w:usb1="00000000" w:usb2="00000010" w:usb3="00000000" w:csb0="00040000" w:csb1="00000000"/>
    <w:embedRegular r:id="rId5" w:fontKey="{C21A9AB0-3AA7-4123-846B-05CEF15E3F98}"/>
  </w:font>
  <w:font w:name="楷体_GB2312">
    <w:altName w:val="楷体"/>
    <w:panose1 w:val="00000000000000000000"/>
    <w:charset w:val="86"/>
    <w:family w:val="auto"/>
    <w:pitch w:val="default"/>
    <w:sig w:usb0="00000000" w:usb1="00000000" w:usb2="00000000" w:usb3="00000000" w:csb0="00040000" w:csb1="00000000"/>
    <w:embedRegular r:id="rId6" w:fontKey="{C0A5A15B-B76C-4B49-96BC-DBA598EC317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ZjQzM2ZkZDE1MjYyOTgyYTc4YjE1YjNmZWI3NGEifQ=="/>
  </w:docVars>
  <w:rsids>
    <w:rsidRoot w:val="00B16863"/>
    <w:rsid w:val="00000740"/>
    <w:rsid w:val="00104CCE"/>
    <w:rsid w:val="00172911"/>
    <w:rsid w:val="002009DD"/>
    <w:rsid w:val="00280465"/>
    <w:rsid w:val="00287770"/>
    <w:rsid w:val="00294959"/>
    <w:rsid w:val="0030418E"/>
    <w:rsid w:val="003E5F02"/>
    <w:rsid w:val="00474CD9"/>
    <w:rsid w:val="00573021"/>
    <w:rsid w:val="00592757"/>
    <w:rsid w:val="005F0736"/>
    <w:rsid w:val="0065347D"/>
    <w:rsid w:val="00667F2B"/>
    <w:rsid w:val="006F5BE5"/>
    <w:rsid w:val="00706ACE"/>
    <w:rsid w:val="007269F9"/>
    <w:rsid w:val="00734096"/>
    <w:rsid w:val="007A7ED9"/>
    <w:rsid w:val="008B3F19"/>
    <w:rsid w:val="008C0383"/>
    <w:rsid w:val="008D2ECC"/>
    <w:rsid w:val="009368A6"/>
    <w:rsid w:val="00954DED"/>
    <w:rsid w:val="009E659B"/>
    <w:rsid w:val="00A00DD7"/>
    <w:rsid w:val="00A0554B"/>
    <w:rsid w:val="00A50C7D"/>
    <w:rsid w:val="00AB7554"/>
    <w:rsid w:val="00B16863"/>
    <w:rsid w:val="00B5297E"/>
    <w:rsid w:val="00B87CFD"/>
    <w:rsid w:val="00BA4B45"/>
    <w:rsid w:val="00BC4970"/>
    <w:rsid w:val="00C17415"/>
    <w:rsid w:val="00CD0B9E"/>
    <w:rsid w:val="00CF41C9"/>
    <w:rsid w:val="00D209A1"/>
    <w:rsid w:val="00D263DF"/>
    <w:rsid w:val="00D32CAE"/>
    <w:rsid w:val="00D357EF"/>
    <w:rsid w:val="00DC25E1"/>
    <w:rsid w:val="00EB20F2"/>
    <w:rsid w:val="00EB2618"/>
    <w:rsid w:val="00F54F66"/>
    <w:rsid w:val="00F77738"/>
    <w:rsid w:val="00FC4F78"/>
    <w:rsid w:val="0C584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widowControl/>
      <w:tabs>
        <w:tab w:val="center" w:pos="4153"/>
        <w:tab w:val="right" w:pos="8306"/>
      </w:tabs>
      <w:snapToGrid w:val="0"/>
      <w:spacing w:line="240" w:lineRule="atLeast"/>
      <w:ind w:firstLine="200" w:firstLineChars="20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widowControl/>
      <w:pBdr>
        <w:bottom w:val="single" w:color="auto" w:sz="6" w:space="1"/>
      </w:pBdr>
      <w:tabs>
        <w:tab w:val="center" w:pos="4153"/>
        <w:tab w:val="right" w:pos="8306"/>
      </w:tabs>
      <w:snapToGrid w:val="0"/>
      <w:spacing w:line="240" w:lineRule="atLeast"/>
      <w:ind w:firstLine="200" w:firstLineChars="20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1326</Words>
  <Characters>1349</Characters>
  <Lines>9</Lines>
  <Paragraphs>2</Paragraphs>
  <TotalTime>65</TotalTime>
  <ScaleCrop>false</ScaleCrop>
  <LinksUpToDate>false</LinksUpToDate>
  <CharactersWithSpaces>1357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2016-03-10T08:17:00Z</dcterms:created>
  <dc:creator>Administrator</dc:creator>
  <cp:lastModifiedBy>惠</cp:lastModifiedBy>
  <dcterms:modified xsi:type="dcterms:W3CDTF">2023-07-07T02:19:06Z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2EF0FFF216F041298F896684F08DD8E5_12</vt:lpwstr>
  </property>
</Properties>
</file>