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eastAsia="方正小标宋简体"/>
          <w:sz w:val="44"/>
          <w:szCs w:val="44"/>
        </w:rPr>
      </w:pPr>
      <w:r>
        <w:rPr>
          <w:rFonts w:hint="eastAsia" w:ascii="方正小标宋简体" w:eastAsia="方正小标宋简体"/>
          <w:sz w:val="44"/>
          <w:szCs w:val="44"/>
        </w:rPr>
        <w:t>遂宁市安居区水</w:t>
      </w:r>
      <w:r>
        <w:rPr>
          <w:rFonts w:hint="eastAsia" w:ascii="方正小标宋简体" w:eastAsia="方正小标宋简体"/>
          <w:sz w:val="44"/>
          <w:szCs w:val="44"/>
          <w:lang w:eastAsia="zh-CN"/>
        </w:rPr>
        <w:t>利</w:t>
      </w:r>
      <w:r>
        <w:rPr>
          <w:rFonts w:hint="eastAsia" w:ascii="方正小标宋简体" w:eastAsia="方正小标宋简体"/>
          <w:sz w:val="44"/>
          <w:szCs w:val="44"/>
        </w:rPr>
        <w:t>局</w:t>
      </w:r>
    </w:p>
    <w:p>
      <w:pPr>
        <w:spacing w:line="620" w:lineRule="exact"/>
        <w:jc w:val="center"/>
        <w:rPr>
          <w:rFonts w:ascii="方正小标宋简体" w:eastAsia="方正小标宋简体"/>
          <w:sz w:val="44"/>
          <w:szCs w:val="44"/>
        </w:rPr>
      </w:pPr>
      <w:r>
        <w:rPr>
          <w:rFonts w:hint="eastAsia" w:ascii="方正小标宋简体" w:eastAsia="方正小标宋简体"/>
          <w:sz w:val="44"/>
          <w:szCs w:val="44"/>
        </w:rPr>
        <w:t>201</w:t>
      </w:r>
      <w:r>
        <w:rPr>
          <w:rFonts w:hint="eastAsia" w:ascii="方正小标宋简体" w:eastAsia="方正小标宋简体"/>
          <w:sz w:val="44"/>
          <w:szCs w:val="44"/>
          <w:lang w:val="en-US" w:eastAsia="zh-CN"/>
        </w:rPr>
        <w:t>9</w:t>
      </w:r>
      <w:r>
        <w:rPr>
          <w:rFonts w:hint="eastAsia" w:ascii="方正小标宋简体" w:eastAsia="方正小标宋简体"/>
          <w:sz w:val="44"/>
          <w:szCs w:val="44"/>
        </w:rPr>
        <w:t>年政府信息公开工作年度报告</w:t>
      </w:r>
    </w:p>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lang w:eastAsia="zh-CN"/>
        </w:rPr>
      </w:pPr>
      <w:r>
        <w:rPr>
          <w:rFonts w:hint="eastAsia" w:ascii="黑体" w:eastAsia="黑体"/>
        </w:rPr>
        <w:t>一</w:t>
      </w:r>
      <w:r>
        <w:rPr>
          <w:rFonts w:hint="eastAsia" w:ascii="方正黑体简体" w:hAnsi="方正黑体简体" w:eastAsia="方正黑体简体" w:cs="方正黑体简体"/>
        </w:rPr>
        <w:t>、</w:t>
      </w:r>
      <w:r>
        <w:rPr>
          <w:rFonts w:hint="eastAsia" w:ascii="方正黑体简体" w:hAnsi="方正黑体简体" w:eastAsia="方正黑体简体" w:cs="方正黑体简体"/>
          <w:lang w:eastAsia="zh-CN"/>
        </w:rPr>
        <w:t>总体情况</w:t>
      </w:r>
    </w:p>
    <w:p>
      <w:pPr>
        <w:ind w:firstLine="640" w:firstLineChars="200"/>
        <w:rPr>
          <w:rFonts w:hint="eastAsia" w:ascii="方正仿宋简体" w:hAnsi="方正仿宋简体" w:eastAsia="方正仿宋简体" w:cs="方正仿宋简体"/>
          <w:kern w:val="0"/>
          <w:sz w:val="32"/>
          <w:szCs w:val="32"/>
          <w:lang w:eastAsia="zh-CN"/>
        </w:rPr>
      </w:pPr>
      <w:r>
        <w:rPr>
          <w:rFonts w:hint="eastAsia" w:ascii="方正仿宋简体" w:hAnsi="方正仿宋简体" w:eastAsia="方正仿宋简体" w:cs="方正仿宋简体"/>
          <w:kern w:val="0"/>
          <w:sz w:val="32"/>
          <w:szCs w:val="32"/>
        </w:rPr>
        <w:t>（一）加强</w:t>
      </w:r>
      <w:r>
        <w:rPr>
          <w:rFonts w:hint="eastAsia" w:ascii="方正仿宋简体" w:hAnsi="方正仿宋简体" w:eastAsia="方正仿宋简体" w:cs="方正仿宋简体"/>
          <w:kern w:val="0"/>
          <w:sz w:val="32"/>
          <w:szCs w:val="32"/>
          <w:lang w:eastAsia="zh-CN"/>
        </w:rPr>
        <w:t>组织领导</w:t>
      </w:r>
      <w:r>
        <w:rPr>
          <w:rFonts w:hint="eastAsia" w:ascii="方正仿宋简体" w:hAnsi="方正仿宋简体" w:eastAsia="方正仿宋简体" w:cs="方正仿宋简体"/>
          <w:kern w:val="0"/>
          <w:sz w:val="32"/>
          <w:szCs w:val="32"/>
        </w:rPr>
        <w:t>。为强化政府信息公开工作组织保障，我局成立了由局长为组长，分管领导为副组长的政府信息公开领导小组。领导小组下设办公室于局办公室，具体负责政府信息公开日常工作。形成了主要领导亲自抓，分管领导具体抓，</w:t>
      </w:r>
      <w:r>
        <w:rPr>
          <w:rFonts w:hint="eastAsia" w:ascii="方正仿宋简体" w:hAnsi="方正仿宋简体" w:eastAsia="方正仿宋简体" w:cs="方正仿宋简体"/>
          <w:kern w:val="0"/>
          <w:sz w:val="32"/>
          <w:szCs w:val="32"/>
          <w:lang w:eastAsia="zh-CN"/>
        </w:rPr>
        <w:t>局</w:t>
      </w:r>
      <w:r>
        <w:rPr>
          <w:rFonts w:hint="eastAsia" w:ascii="方正仿宋简体" w:hAnsi="方正仿宋简体" w:eastAsia="方正仿宋简体" w:cs="方正仿宋简体"/>
          <w:kern w:val="0"/>
          <w:sz w:val="32"/>
          <w:szCs w:val="32"/>
        </w:rPr>
        <w:t>办公室全面</w:t>
      </w:r>
      <w:r>
        <w:rPr>
          <w:rFonts w:hint="eastAsia" w:ascii="方正仿宋简体" w:hAnsi="方正仿宋简体" w:eastAsia="方正仿宋简体" w:cs="方正仿宋简体"/>
          <w:kern w:val="0"/>
          <w:sz w:val="32"/>
          <w:szCs w:val="32"/>
          <w:lang w:eastAsia="zh-CN"/>
        </w:rPr>
        <w:t>统筹联系、对外发布，</w:t>
      </w:r>
      <w:r>
        <w:rPr>
          <w:rFonts w:hint="eastAsia" w:ascii="方正仿宋简体" w:hAnsi="方正仿宋简体" w:eastAsia="方正仿宋简体" w:cs="方正仿宋简体"/>
          <w:kern w:val="0"/>
          <w:sz w:val="32"/>
          <w:szCs w:val="32"/>
        </w:rPr>
        <w:t>各股室、局属</w:t>
      </w:r>
      <w:r>
        <w:rPr>
          <w:rFonts w:hint="eastAsia" w:ascii="方正仿宋简体" w:hAnsi="方正仿宋简体" w:eastAsia="方正仿宋简体" w:cs="方正仿宋简体"/>
          <w:kern w:val="0"/>
          <w:sz w:val="32"/>
          <w:szCs w:val="32"/>
          <w:lang w:eastAsia="zh-CN"/>
        </w:rPr>
        <w:t>事业</w:t>
      </w:r>
      <w:r>
        <w:rPr>
          <w:rFonts w:hint="eastAsia" w:ascii="方正仿宋简体" w:hAnsi="方正仿宋简体" w:eastAsia="方正仿宋简体" w:cs="方正仿宋简体"/>
          <w:kern w:val="0"/>
          <w:sz w:val="32"/>
          <w:szCs w:val="32"/>
        </w:rPr>
        <w:t>单位配合的良好工作格局。</w:t>
      </w:r>
      <w:r>
        <w:rPr>
          <w:rFonts w:hint="eastAsia" w:ascii="方正仿宋简体" w:hAnsi="方正仿宋简体" w:eastAsia="方正仿宋简体" w:cs="方正仿宋简体"/>
          <w:kern w:val="0"/>
          <w:sz w:val="32"/>
          <w:szCs w:val="32"/>
        </w:rPr>
        <w:br w:type="textWrapping"/>
      </w:r>
      <w:r>
        <w:rPr>
          <w:rFonts w:hint="eastAsia" w:ascii="方正仿宋简体" w:hAnsi="方正仿宋简体" w:eastAsia="方正仿宋简体" w:cs="方正仿宋简体"/>
          <w:kern w:val="0"/>
          <w:sz w:val="32"/>
          <w:szCs w:val="32"/>
        </w:rPr>
        <w:t>　　（二）</w:t>
      </w:r>
      <w:r>
        <w:rPr>
          <w:rFonts w:hint="eastAsia" w:ascii="方正仿宋简体" w:hAnsi="方正仿宋简体" w:eastAsia="方正仿宋简体" w:cs="方正仿宋简体"/>
          <w:kern w:val="0"/>
          <w:sz w:val="32"/>
          <w:szCs w:val="32"/>
          <w:lang w:eastAsia="zh-CN"/>
        </w:rPr>
        <w:t>完善工作机制</w:t>
      </w:r>
      <w:r>
        <w:rPr>
          <w:rFonts w:hint="eastAsia" w:ascii="方正仿宋简体" w:hAnsi="方正仿宋简体" w:eastAsia="方正仿宋简体" w:cs="方正仿宋简体"/>
          <w:kern w:val="0"/>
          <w:sz w:val="32"/>
          <w:szCs w:val="32"/>
        </w:rPr>
        <w:t>。按照政府信息公开依法进行、齐抓共管、协同落实的原则，我局健全完善了政府信息公开的相关工作制度。</w:t>
      </w:r>
      <w:r>
        <w:rPr>
          <w:rFonts w:hint="eastAsia" w:ascii="方正仿宋简体" w:hAnsi="方正仿宋简体" w:eastAsia="方正仿宋简体" w:cs="方正仿宋简体"/>
          <w:kern w:val="0"/>
          <w:sz w:val="32"/>
          <w:szCs w:val="32"/>
          <w:lang w:eastAsia="zh-CN"/>
        </w:rPr>
        <w:t>明确了开工内容、不公开的内容</w:t>
      </w:r>
      <w:r>
        <w:rPr>
          <w:rFonts w:hint="default" w:ascii="方正仿宋简体" w:hAnsi="方正仿宋简体" w:eastAsia="方正仿宋简体" w:cs="方正仿宋简体"/>
          <w:kern w:val="0"/>
          <w:sz w:val="32"/>
          <w:szCs w:val="32"/>
          <w:lang w:eastAsia="zh-CN"/>
        </w:rPr>
        <w:t>、公开方式、具体实施措施</w:t>
      </w:r>
      <w:r>
        <w:rPr>
          <w:rFonts w:hint="eastAsia" w:ascii="方正仿宋简体" w:hAnsi="方正仿宋简体" w:eastAsia="方正仿宋简体" w:cs="方正仿宋简体"/>
          <w:kern w:val="0"/>
          <w:sz w:val="32"/>
          <w:szCs w:val="32"/>
          <w:lang w:eastAsia="zh-CN"/>
        </w:rPr>
        <w:t>、督查考核等细则，保障了政府信息公开工作的顺利开展。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default" w:ascii="方正小标宋简体" w:hAnsi="方正小标宋简体" w:eastAsia="方正小标宋简体" w:cs="方正小标宋简体"/>
          <w:b w:val="0"/>
          <w:bCs/>
          <w:i w:val="0"/>
          <w:caps w:val="0"/>
          <w:color w:val="333333"/>
          <w:spacing w:val="0"/>
          <w:sz w:val="32"/>
          <w:szCs w:val="32"/>
          <w:shd w:val="clear" w:fill="FFFFFF"/>
          <w:lang w:val="en-US" w:eastAsia="zh-CN"/>
        </w:rPr>
      </w:pPr>
      <w:r>
        <w:rPr>
          <w:rFonts w:hint="default" w:ascii="Times New Roman" w:hAnsi="Times New Roman" w:eastAsia="方正仿宋简体" w:cs="Times New Roman"/>
          <w:kern w:val="0"/>
          <w:sz w:val="32"/>
          <w:szCs w:val="32"/>
        </w:rPr>
        <w:t>（三）</w:t>
      </w:r>
      <w:r>
        <w:rPr>
          <w:rFonts w:hint="default" w:ascii="Times New Roman" w:hAnsi="Times New Roman" w:eastAsia="方正仿宋简体" w:cs="Times New Roman"/>
          <w:kern w:val="0"/>
          <w:sz w:val="32"/>
          <w:szCs w:val="32"/>
          <w:lang w:eastAsia="zh-CN"/>
        </w:rPr>
        <w:t>及时发布信息</w:t>
      </w:r>
      <w:r>
        <w:rPr>
          <w:rFonts w:hint="default" w:ascii="Times New Roman" w:hAnsi="Times New Roman" w:eastAsia="方正仿宋简体" w:cs="Times New Roman"/>
          <w:kern w:val="0"/>
          <w:sz w:val="32"/>
          <w:szCs w:val="32"/>
        </w:rPr>
        <w:t>。</w:t>
      </w:r>
      <w:r>
        <w:rPr>
          <w:rFonts w:hint="default" w:ascii="Times New Roman" w:hAnsi="Times New Roman" w:eastAsia="方正仿宋简体" w:cs="Times New Roman"/>
          <w:kern w:val="0"/>
          <w:sz w:val="32"/>
          <w:szCs w:val="32"/>
          <w:lang w:eastAsia="zh-CN"/>
        </w:rPr>
        <w:t>我局在</w:t>
      </w:r>
      <w:r>
        <w:rPr>
          <w:rFonts w:hint="default" w:ascii="Times New Roman" w:hAnsi="Times New Roman" w:eastAsia="方正仿宋简体" w:cs="Times New Roman"/>
          <w:kern w:val="0"/>
          <w:sz w:val="32"/>
          <w:szCs w:val="32"/>
          <w:lang w:val="en-US" w:eastAsia="zh-CN"/>
        </w:rPr>
        <w:t>2019年按照政府信息公开目录，严格按照相关规章制度，对我局信息进行公开</w:t>
      </w:r>
      <w:r>
        <w:rPr>
          <w:rFonts w:hint="default" w:ascii="Times New Roman" w:hAnsi="Times New Roman" w:eastAsia="方正仿宋简体" w:cs="Times New Roman"/>
          <w:kern w:val="0"/>
          <w:sz w:val="32"/>
          <w:szCs w:val="32"/>
        </w:rPr>
        <w:t>。</w:t>
      </w:r>
      <w:r>
        <w:rPr>
          <w:rFonts w:hint="default" w:ascii="Times New Roman" w:hAnsi="Times New Roman" w:eastAsia="方正仿宋简体" w:cs="Times New Roman"/>
          <w:kern w:val="0"/>
          <w:sz w:val="32"/>
          <w:szCs w:val="32"/>
          <w:lang w:eastAsia="zh-CN"/>
        </w:rPr>
        <w:t>一是将可公开的关乎群众、群众关心的事务，及时进行公开，提高群众的知情度</w:t>
      </w:r>
      <w:r>
        <w:rPr>
          <w:rFonts w:hint="default" w:ascii="Times New Roman" w:hAnsi="Times New Roman" w:eastAsia="方正仿宋简体" w:cs="Times New Roman"/>
          <w:kern w:val="0"/>
          <w:sz w:val="32"/>
          <w:szCs w:val="32"/>
        </w:rPr>
        <w:t>，</w:t>
      </w:r>
      <w:r>
        <w:rPr>
          <w:rFonts w:hint="default" w:ascii="Times New Roman" w:hAnsi="Times New Roman" w:eastAsia="方正仿宋简体" w:cs="Times New Roman"/>
          <w:kern w:val="0"/>
          <w:sz w:val="32"/>
          <w:szCs w:val="32"/>
          <w:lang w:eastAsia="zh-CN"/>
        </w:rPr>
        <w:t>并</w:t>
      </w:r>
      <w:r>
        <w:rPr>
          <w:rFonts w:hint="default" w:ascii="Times New Roman" w:hAnsi="Times New Roman" w:eastAsia="方正仿宋简体" w:cs="Times New Roman"/>
          <w:kern w:val="0"/>
          <w:sz w:val="32"/>
          <w:szCs w:val="32"/>
        </w:rPr>
        <w:t>时刻接受人民群众的监督；二是将各类工程项目名称、建设地点、建设内容和规模、建设年限、投资金额、项目业主单位和责任单位等基本信息</w:t>
      </w:r>
      <w:r>
        <w:rPr>
          <w:rFonts w:hint="default" w:ascii="Times New Roman" w:hAnsi="Times New Roman" w:eastAsia="方正仿宋简体" w:cs="Times New Roman"/>
          <w:kern w:val="0"/>
          <w:sz w:val="32"/>
          <w:szCs w:val="32"/>
          <w:lang w:eastAsia="zh-CN"/>
        </w:rPr>
        <w:t>及时</w:t>
      </w:r>
      <w:r>
        <w:rPr>
          <w:rFonts w:hint="default" w:ascii="Times New Roman" w:hAnsi="Times New Roman" w:eastAsia="方正仿宋简体" w:cs="Times New Roman"/>
          <w:kern w:val="0"/>
          <w:sz w:val="32"/>
          <w:szCs w:val="32"/>
        </w:rPr>
        <w:t>面向社会公开，提高水利项目实施和资金管理使用的透明度。</w:t>
      </w:r>
      <w:r>
        <w:rPr>
          <w:rFonts w:hint="eastAsia" w:ascii="Times New Roman" w:hAnsi="Times New Roman" w:eastAsia="方正仿宋简体" w:cs="Times New Roman"/>
          <w:kern w:val="0"/>
          <w:sz w:val="32"/>
          <w:szCs w:val="32"/>
          <w:lang w:eastAsia="zh-CN"/>
        </w:rPr>
        <w:t>全年我局共公开信息</w:t>
      </w:r>
      <w:r>
        <w:rPr>
          <w:rFonts w:hint="eastAsia" w:ascii="Times New Roman" w:hAnsi="Times New Roman" w:eastAsia="方正仿宋简体" w:cs="Times New Roman"/>
          <w:kern w:val="0"/>
          <w:sz w:val="32"/>
          <w:szCs w:val="32"/>
          <w:lang w:val="en-US" w:eastAsia="zh-CN"/>
        </w:rPr>
        <w:t>210条，其中概况类5条、文件类21条、动态类149条、财政类10条、服务类1条、其他24条。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eastAsia" w:ascii="宋体" w:hAnsi="宋体" w:eastAsia="宋体" w:cs="宋体"/>
          <w:b w:val="0"/>
          <w:i w:val="0"/>
          <w:caps w:val="0"/>
          <w:color w:val="333333"/>
          <w:spacing w:val="0"/>
          <w:sz w:val="24"/>
          <w:szCs w:val="24"/>
        </w:rPr>
      </w:pPr>
      <w:r>
        <w:rPr>
          <w:rFonts w:hint="eastAsia" w:ascii="方正小标宋简体" w:hAnsi="方正小标宋简体" w:eastAsia="方正小标宋简体" w:cs="方正小标宋简体"/>
          <w:b w:val="0"/>
          <w:bCs/>
          <w:i w:val="0"/>
          <w:caps w:val="0"/>
          <w:color w:val="333333"/>
          <w:spacing w:val="0"/>
          <w:sz w:val="32"/>
          <w:szCs w:val="32"/>
          <w:shd w:val="clear" w:fill="FFFFFF"/>
        </w:rPr>
        <w:t>二、主动公开政府信息情况</w:t>
      </w:r>
    </w:p>
    <w:tbl>
      <w:tblPr>
        <w:tblStyle w:val="5"/>
        <w:tblW w:w="8140" w:type="dxa"/>
        <w:jc w:val="center"/>
        <w:shd w:val="clear" w:color="auto" w:fill="auto"/>
        <w:tblLayout w:type="fixed"/>
        <w:tblCellMar>
          <w:top w:w="0" w:type="dxa"/>
          <w:left w:w="0" w:type="dxa"/>
          <w:bottom w:w="0" w:type="dxa"/>
          <w:right w:w="0" w:type="dxa"/>
        </w:tblCellMar>
      </w:tblPr>
      <w:tblGrid>
        <w:gridCol w:w="3113"/>
        <w:gridCol w:w="1869"/>
        <w:gridCol w:w="1277"/>
        <w:gridCol w:w="1881"/>
      </w:tblGrid>
      <w:tr>
        <w:tblPrEx>
          <w:shd w:val="clear" w:color="auto" w:fill="auto"/>
          <w:tblCellMar>
            <w:top w:w="0" w:type="dxa"/>
            <w:left w:w="0" w:type="dxa"/>
            <w:bottom w:w="0" w:type="dxa"/>
            <w:right w:w="0" w:type="dxa"/>
          </w:tblCellMar>
        </w:tblPrEx>
        <w:trPr>
          <w:trHeight w:val="495"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color w:val="000000"/>
                <w:kern w:val="0"/>
                <w:sz w:val="20"/>
                <w:szCs w:val="20"/>
                <w:lang w:val="en-US" w:eastAsia="zh-CN" w:bidi="ar"/>
              </w:rPr>
              <w:t>第二十条第（一）项</w:t>
            </w:r>
          </w:p>
        </w:tc>
      </w:tr>
      <w:tr>
        <w:tblPrEx>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1869"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color w:val="000000"/>
                <w:kern w:val="0"/>
                <w:sz w:val="20"/>
                <w:szCs w:val="20"/>
                <w:lang w:val="en-US" w:eastAsia="zh-CN" w:bidi="ar"/>
              </w:rPr>
              <w:t>本年新</w:t>
            </w:r>
            <w:r>
              <w:rPr>
                <w:rFonts w:hint="eastAsia" w:ascii="宋体" w:hAnsi="宋体" w:eastAsia="宋体" w:cs="宋体"/>
                <w:color w:val="000000"/>
                <w:kern w:val="0"/>
                <w:sz w:val="20"/>
                <w:szCs w:val="20"/>
                <w:lang w:val="en-US" w:eastAsia="zh-CN" w:bidi="ar"/>
              </w:rPr>
              <w:br w:type="textWrapping"/>
            </w:r>
            <w:r>
              <w:rPr>
                <w:rFonts w:eastAsia="仿宋_GB2312" w:asciiTheme="minorHAnsi" w:hAnsiTheme="minorHAnsi" w:cstheme="minorBidi"/>
                <w:kern w:val="0"/>
                <w:sz w:val="20"/>
                <w:szCs w:val="20"/>
                <w:lang w:val="en-US" w:eastAsia="zh-CN" w:bidi="ar"/>
              </w:rPr>
              <w:t>制作数量</w:t>
            </w:r>
          </w:p>
        </w:tc>
        <w:tc>
          <w:tcPr>
            <w:tcW w:w="127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color w:val="000000"/>
                <w:kern w:val="0"/>
                <w:sz w:val="20"/>
                <w:szCs w:val="20"/>
                <w:lang w:val="en-US" w:eastAsia="zh-CN" w:bidi="ar"/>
              </w:rPr>
              <w:t>本年新</w:t>
            </w:r>
            <w:r>
              <w:rPr>
                <w:rFonts w:hint="eastAsia" w:ascii="宋体" w:hAnsi="宋体" w:eastAsia="宋体" w:cs="宋体"/>
                <w:color w:val="000000"/>
                <w:kern w:val="0"/>
                <w:sz w:val="20"/>
                <w:szCs w:val="20"/>
                <w:lang w:val="en-US" w:eastAsia="zh-CN" w:bidi="ar"/>
              </w:rPr>
              <w:br w:type="textWrapping"/>
            </w:r>
            <w:r>
              <w:rPr>
                <w:rFonts w:eastAsia="仿宋_GB2312" w:asciiTheme="minorHAnsi" w:hAnsiTheme="minorHAnsi" w:cstheme="minorBidi"/>
                <w:kern w:val="0"/>
                <w:sz w:val="20"/>
                <w:szCs w:val="20"/>
                <w:lang w:val="en-US" w:eastAsia="zh-CN" w:bidi="ar"/>
              </w:rPr>
              <w:t>公开数量</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color w:val="000000"/>
                <w:kern w:val="0"/>
                <w:sz w:val="20"/>
                <w:szCs w:val="20"/>
                <w:lang w:val="en-US" w:eastAsia="zh-CN" w:bidi="ar"/>
              </w:rPr>
              <w:t>对外公开总数量</w:t>
            </w:r>
          </w:p>
        </w:tc>
      </w:tr>
      <w:tr>
        <w:tblPrEx>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color w:val="000000"/>
                <w:kern w:val="0"/>
                <w:sz w:val="20"/>
                <w:szCs w:val="20"/>
                <w:lang w:val="en-US" w:eastAsia="zh-CN" w:bidi="ar"/>
              </w:rPr>
              <w:t>规章</w:t>
            </w:r>
          </w:p>
        </w:tc>
        <w:tc>
          <w:tcPr>
            <w:tcW w:w="18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12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color w:val="000000"/>
                <w:kern w:val="0"/>
                <w:sz w:val="20"/>
                <w:szCs w:val="20"/>
                <w:lang w:val="en-US" w:eastAsia="zh-CN" w:bidi="ar"/>
              </w:rPr>
              <w:t>规范性文件</w:t>
            </w:r>
          </w:p>
        </w:tc>
        <w:tc>
          <w:tcPr>
            <w:tcW w:w="18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c>
          <w:tcPr>
            <w:tcW w:w="127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r>
      <w:tr>
        <w:tblPrEx>
          <w:tblCellMar>
            <w:top w:w="0" w:type="dxa"/>
            <w:left w:w="0" w:type="dxa"/>
            <w:bottom w:w="0" w:type="dxa"/>
            <w:right w:w="0" w:type="dxa"/>
          </w:tblCellMar>
        </w:tblPrEx>
        <w:trPr>
          <w:trHeight w:val="48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color w:val="000000"/>
                <w:kern w:val="0"/>
                <w:sz w:val="20"/>
                <w:szCs w:val="20"/>
                <w:lang w:val="en-US" w:eastAsia="zh-CN" w:bidi="ar"/>
              </w:rPr>
              <w:t>第二十条第（五）项</w:t>
            </w:r>
          </w:p>
        </w:tc>
      </w:tr>
      <w:tr>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1869"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color w:val="000000"/>
                <w:kern w:val="0"/>
                <w:sz w:val="20"/>
                <w:szCs w:val="20"/>
                <w:lang w:val="en-US" w:eastAsia="zh-CN" w:bidi="ar"/>
              </w:rPr>
              <w:t>上一年项目数量</w:t>
            </w:r>
          </w:p>
        </w:tc>
        <w:tc>
          <w:tcPr>
            <w:tcW w:w="127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color w:val="000000"/>
                <w:kern w:val="0"/>
                <w:sz w:val="20"/>
                <w:szCs w:val="20"/>
                <w:lang w:val="en-US" w:eastAsia="zh-CN" w:bidi="ar"/>
              </w:rPr>
              <w:t>本年增/减</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color w:val="000000"/>
                <w:kern w:val="0"/>
                <w:sz w:val="20"/>
                <w:szCs w:val="20"/>
                <w:lang w:val="en-US" w:eastAsia="zh-CN" w:bidi="ar"/>
              </w:rPr>
              <w:t>处理决定数量</w:t>
            </w:r>
          </w:p>
        </w:tc>
      </w:tr>
      <w:tr>
        <w:tblPrEx>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color w:val="000000"/>
                <w:kern w:val="0"/>
                <w:sz w:val="20"/>
                <w:szCs w:val="20"/>
                <w:lang w:val="en-US" w:eastAsia="zh-CN" w:bidi="ar"/>
              </w:rPr>
              <w:t>行政许可</w:t>
            </w:r>
          </w:p>
        </w:tc>
        <w:tc>
          <w:tcPr>
            <w:tcW w:w="18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default" w:eastAsia="仿宋_GB2312"/>
                <w:lang w:val="en-US" w:eastAsia="zh-CN"/>
              </w:rPr>
            </w:pPr>
            <w:r>
              <w:rPr>
                <w:rFonts w:hint="eastAsia" w:ascii="宋体" w:hAnsi="宋体" w:cs="宋体"/>
                <w:color w:val="000000"/>
                <w:sz w:val="24"/>
                <w:szCs w:val="24"/>
                <w:lang w:val="en-US" w:eastAsia="zh-CN" w:bidi="ar"/>
              </w:rPr>
              <w:t>16</w:t>
            </w:r>
          </w:p>
        </w:tc>
        <w:tc>
          <w:tcPr>
            <w:tcW w:w="127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default"/>
                <w:lang w:val="en-US"/>
              </w:rPr>
            </w:pPr>
            <w:r>
              <w:rPr>
                <w:rFonts w:hint="eastAsia" w:ascii="宋体" w:hAnsi="宋体" w:cs="宋体"/>
                <w:color w:val="000000"/>
                <w:sz w:val="24"/>
                <w:szCs w:val="24"/>
                <w:lang w:val="en-US" w:eastAsia="zh-CN" w:bidi="ar"/>
              </w:rPr>
              <w:t>+27</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default"/>
                <w:lang w:val="en-US"/>
              </w:rPr>
            </w:pPr>
            <w:r>
              <w:rPr>
                <w:rFonts w:hint="eastAsia" w:ascii="宋体" w:hAnsi="宋体" w:cs="宋体"/>
                <w:color w:val="000000"/>
                <w:sz w:val="24"/>
                <w:szCs w:val="24"/>
                <w:lang w:val="en-US" w:eastAsia="zh-CN" w:bidi="ar"/>
              </w:rPr>
              <w:t>43</w:t>
            </w:r>
          </w:p>
        </w:tc>
      </w:tr>
      <w:tr>
        <w:tblPrEx>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color w:val="000000"/>
                <w:kern w:val="0"/>
                <w:sz w:val="20"/>
                <w:szCs w:val="20"/>
                <w:lang w:val="en-US" w:eastAsia="zh-CN" w:bidi="ar"/>
              </w:rPr>
              <w:t>其他对外管理服务事项</w:t>
            </w:r>
          </w:p>
        </w:tc>
        <w:tc>
          <w:tcPr>
            <w:tcW w:w="18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c>
          <w:tcPr>
            <w:tcW w:w="127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r>
      <w:tr>
        <w:tblPrEx>
          <w:tblCellMar>
            <w:top w:w="0" w:type="dxa"/>
            <w:left w:w="0" w:type="dxa"/>
            <w:bottom w:w="0" w:type="dxa"/>
            <w:right w:w="0" w:type="dxa"/>
          </w:tblCellMar>
        </w:tblPrEx>
        <w:trPr>
          <w:trHeight w:val="40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color w:val="000000"/>
                <w:kern w:val="0"/>
                <w:sz w:val="20"/>
                <w:szCs w:val="20"/>
                <w:lang w:val="en-US" w:eastAsia="zh-CN" w:bidi="ar"/>
              </w:rPr>
              <w:t>第二十条第（六）项</w:t>
            </w:r>
          </w:p>
        </w:tc>
      </w:tr>
      <w:tr>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1869"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color w:val="000000"/>
                <w:kern w:val="0"/>
                <w:sz w:val="20"/>
                <w:szCs w:val="20"/>
                <w:lang w:val="en-US" w:eastAsia="zh-CN" w:bidi="ar"/>
              </w:rPr>
              <w:t>上一年项目数量</w:t>
            </w:r>
          </w:p>
        </w:tc>
        <w:tc>
          <w:tcPr>
            <w:tcW w:w="127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color w:val="000000"/>
                <w:kern w:val="0"/>
                <w:sz w:val="20"/>
                <w:szCs w:val="20"/>
                <w:lang w:val="en-US" w:eastAsia="zh-CN" w:bidi="ar"/>
              </w:rPr>
              <w:t>本年增/减</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color w:val="000000"/>
                <w:kern w:val="0"/>
                <w:sz w:val="20"/>
                <w:szCs w:val="20"/>
                <w:lang w:val="en-US" w:eastAsia="zh-CN" w:bidi="ar"/>
              </w:rPr>
              <w:t>处理决定数量</w:t>
            </w:r>
          </w:p>
        </w:tc>
      </w:tr>
      <w:tr>
        <w:tblPrEx>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color w:val="000000"/>
                <w:kern w:val="0"/>
                <w:sz w:val="20"/>
                <w:szCs w:val="20"/>
                <w:lang w:val="en-US" w:eastAsia="zh-CN" w:bidi="ar"/>
              </w:rPr>
              <w:t>行政处罚</w:t>
            </w:r>
          </w:p>
        </w:tc>
        <w:tc>
          <w:tcPr>
            <w:tcW w:w="18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c>
          <w:tcPr>
            <w:tcW w:w="127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eastAsia="仿宋_GB2312"/>
                <w:lang w:val="en-US" w:eastAsia="zh-CN"/>
              </w:rPr>
            </w:pPr>
            <w:r>
              <w:rPr>
                <w:rFonts w:hint="eastAsia" w:ascii="宋体" w:hAnsi="宋体" w:eastAsia="宋体" w:cs="宋体"/>
                <w:color w:val="000000"/>
                <w:kern w:val="0"/>
                <w:sz w:val="20"/>
                <w:szCs w:val="20"/>
                <w:lang w:val="en-US" w:eastAsia="zh-CN" w:bidi="ar"/>
              </w:rPr>
              <w:t>0</w:t>
            </w:r>
          </w:p>
        </w:tc>
      </w:tr>
      <w:tr>
        <w:tblPrEx>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color w:val="000000"/>
                <w:kern w:val="0"/>
                <w:sz w:val="20"/>
                <w:szCs w:val="20"/>
                <w:lang w:val="en-US" w:eastAsia="zh-CN" w:bidi="ar"/>
              </w:rPr>
              <w:t>行政强制</w:t>
            </w:r>
          </w:p>
        </w:tc>
        <w:tc>
          <w:tcPr>
            <w:tcW w:w="18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c>
          <w:tcPr>
            <w:tcW w:w="127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r>
      <w:tr>
        <w:tblPrEx>
          <w:tblCellMar>
            <w:top w:w="0" w:type="dxa"/>
            <w:left w:w="0" w:type="dxa"/>
            <w:bottom w:w="0" w:type="dxa"/>
            <w:right w:w="0" w:type="dxa"/>
          </w:tblCellMar>
        </w:tblPrEx>
        <w:trPr>
          <w:trHeight w:val="474"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color w:val="000000"/>
                <w:kern w:val="0"/>
                <w:sz w:val="20"/>
                <w:szCs w:val="20"/>
                <w:lang w:val="en-US" w:eastAsia="zh-CN" w:bidi="ar"/>
              </w:rPr>
              <w:t>第二十条第（八）项</w:t>
            </w:r>
          </w:p>
        </w:tc>
      </w:tr>
      <w:tr>
        <w:tblPrEx>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18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color w:val="000000"/>
                <w:kern w:val="0"/>
                <w:sz w:val="20"/>
                <w:szCs w:val="20"/>
                <w:lang w:val="en-US" w:eastAsia="zh-CN" w:bidi="ar"/>
              </w:rPr>
              <w:t>上一年项目数量</w:t>
            </w:r>
          </w:p>
        </w:tc>
        <w:tc>
          <w:tcPr>
            <w:tcW w:w="3158" w:type="dxa"/>
            <w:gridSpan w:val="2"/>
            <w:tcBorders>
              <w:top w:val="single" w:color="auto" w:sz="8" w:space="0"/>
              <w:left w:val="nil"/>
              <w:bottom w:val="single" w:color="auto" w:sz="8" w:space="0"/>
              <w:right w:val="single" w:color="000000"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color w:val="000000"/>
                <w:kern w:val="0"/>
                <w:sz w:val="20"/>
                <w:szCs w:val="20"/>
                <w:lang w:val="en-US" w:eastAsia="zh-CN" w:bidi="ar"/>
              </w:rPr>
              <w:t>本年增/减</w:t>
            </w:r>
          </w:p>
        </w:tc>
      </w:tr>
      <w:tr>
        <w:tblPrEx>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color w:val="000000"/>
                <w:kern w:val="0"/>
                <w:sz w:val="20"/>
                <w:szCs w:val="20"/>
                <w:lang w:val="en-US" w:eastAsia="zh-CN" w:bidi="ar"/>
              </w:rPr>
              <w:t>行政事业性收费</w:t>
            </w:r>
          </w:p>
        </w:tc>
        <w:tc>
          <w:tcPr>
            <w:tcW w:w="18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c>
          <w:tcPr>
            <w:tcW w:w="3158" w:type="dxa"/>
            <w:gridSpan w:val="2"/>
            <w:tcBorders>
              <w:top w:val="nil"/>
              <w:left w:val="nil"/>
              <w:bottom w:val="single" w:color="auto" w:sz="8" w:space="0"/>
              <w:right w:val="single" w:color="000000"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eastAsia="仿宋_GB2312"/>
                <w:lang w:val="en-US" w:eastAsia="zh-CN"/>
              </w:rPr>
            </w:pPr>
            <w:r>
              <w:rPr>
                <w:rFonts w:hint="eastAsia" w:ascii="宋体" w:hAnsi="宋体" w:eastAsia="宋体" w:cs="宋体"/>
                <w:color w:val="000000"/>
                <w:kern w:val="0"/>
                <w:sz w:val="20"/>
                <w:szCs w:val="20"/>
                <w:lang w:val="en-US" w:eastAsia="zh-CN" w:bidi="ar"/>
              </w:rPr>
              <w:t>0</w:t>
            </w:r>
          </w:p>
        </w:tc>
      </w:tr>
      <w:tr>
        <w:tblPrEx>
          <w:tblCellMar>
            <w:top w:w="0" w:type="dxa"/>
            <w:left w:w="0" w:type="dxa"/>
            <w:bottom w:w="0" w:type="dxa"/>
            <w:right w:w="0" w:type="dxa"/>
          </w:tblCellMar>
        </w:tblPrEx>
        <w:trPr>
          <w:trHeight w:val="47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color w:val="000000"/>
                <w:kern w:val="0"/>
                <w:sz w:val="20"/>
                <w:szCs w:val="20"/>
                <w:lang w:val="en-US" w:eastAsia="zh-CN" w:bidi="ar"/>
              </w:rPr>
              <w:t>第二十条第（九）项</w:t>
            </w:r>
          </w:p>
        </w:tc>
      </w:tr>
      <w:tr>
        <w:tblPrEx>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18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color w:val="000000"/>
                <w:kern w:val="0"/>
                <w:sz w:val="20"/>
                <w:szCs w:val="20"/>
                <w:lang w:val="en-US" w:eastAsia="zh-CN" w:bidi="ar"/>
              </w:rPr>
              <w:t>采购项目数量</w:t>
            </w:r>
          </w:p>
        </w:tc>
        <w:tc>
          <w:tcPr>
            <w:tcW w:w="3158" w:type="dxa"/>
            <w:gridSpan w:val="2"/>
            <w:tcBorders>
              <w:top w:val="single" w:color="auto" w:sz="8" w:space="0"/>
              <w:left w:val="nil"/>
              <w:bottom w:val="single" w:color="auto" w:sz="8" w:space="0"/>
              <w:right w:val="single" w:color="000000"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color w:val="000000"/>
                <w:kern w:val="0"/>
                <w:sz w:val="20"/>
                <w:szCs w:val="20"/>
                <w:lang w:val="en-US" w:eastAsia="zh-CN" w:bidi="ar"/>
              </w:rPr>
              <w:t>采购总金额</w:t>
            </w:r>
          </w:p>
        </w:tc>
      </w:tr>
      <w:tr>
        <w:tblPrEx>
          <w:tblCellMar>
            <w:top w:w="0" w:type="dxa"/>
            <w:left w:w="0" w:type="dxa"/>
            <w:bottom w:w="0" w:type="dxa"/>
            <w:right w:w="0"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color w:val="000000"/>
                <w:kern w:val="0"/>
                <w:sz w:val="20"/>
                <w:szCs w:val="20"/>
                <w:lang w:val="en-US" w:eastAsia="zh-CN" w:bidi="ar"/>
              </w:rPr>
              <w:t>政府集中采购</w:t>
            </w:r>
          </w:p>
        </w:tc>
        <w:tc>
          <w:tcPr>
            <w:tcW w:w="1869"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eastAsia="仿宋_GB2312"/>
                <w:lang w:val="en-US" w:eastAsia="zh-CN"/>
              </w:rPr>
            </w:pPr>
            <w:r>
              <w:rPr>
                <w:rFonts w:hint="eastAsia" w:ascii="宋体"/>
                <w:sz w:val="24"/>
                <w:szCs w:val="24"/>
                <w:lang w:val="en-US" w:eastAsia="zh-CN"/>
              </w:rPr>
              <w:t>0</w:t>
            </w:r>
          </w:p>
        </w:tc>
        <w:tc>
          <w:tcPr>
            <w:tcW w:w="3158" w:type="dxa"/>
            <w:gridSpan w:val="2"/>
            <w:tcBorders>
              <w:top w:val="nil"/>
              <w:left w:val="nil"/>
              <w:bottom w:val="single" w:color="auto" w:sz="8" w:space="0"/>
              <w:right w:val="single" w:color="000000" w:sz="8" w:space="0"/>
            </w:tcBorders>
            <w:shd w:val="clear" w:color="auto" w:fill="auto"/>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eastAsia="仿宋_GB2312"/>
                <w:sz w:val="24"/>
                <w:szCs w:val="24"/>
                <w:lang w:val="en-US" w:eastAsia="zh-CN"/>
              </w:rPr>
            </w:pPr>
            <w:r>
              <w:rPr>
                <w:rFonts w:hint="eastAsia" w:ascii="宋体"/>
                <w:sz w:val="24"/>
                <w:szCs w:val="24"/>
                <w:lang w:val="en-US" w:eastAsia="zh-CN"/>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right="0"/>
        <w:jc w:val="both"/>
        <w:textAlignment w:val="auto"/>
        <w:rPr>
          <w:rFonts w:hint="eastAsia" w:ascii="方正小标宋简体" w:hAnsi="方正小标宋简体" w:eastAsia="方正小标宋简体" w:cs="方正小标宋简体"/>
          <w:b w:val="0"/>
          <w:bCs/>
          <w:i w:val="0"/>
          <w:caps w:val="0"/>
          <w:color w:val="333333"/>
          <w:spacing w:val="0"/>
          <w:sz w:val="32"/>
          <w:szCs w:val="32"/>
        </w:rPr>
      </w:pPr>
      <w:r>
        <w:rPr>
          <w:rFonts w:hint="eastAsia" w:ascii="方正小标宋简体" w:hAnsi="方正小标宋简体" w:eastAsia="方正小标宋简体" w:cs="方正小标宋简体"/>
          <w:b w:val="0"/>
          <w:bCs/>
          <w:i w:val="0"/>
          <w:caps w:val="0"/>
          <w:color w:val="333333"/>
          <w:spacing w:val="0"/>
          <w:sz w:val="32"/>
          <w:szCs w:val="32"/>
          <w:shd w:val="clear" w:fill="FFFFFF"/>
        </w:rPr>
        <w:t>三、收到和处理政府信息公开申请情况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6"/>
        <w:gridCol w:w="854"/>
        <w:gridCol w:w="2086"/>
        <w:gridCol w:w="813"/>
        <w:gridCol w:w="755"/>
        <w:gridCol w:w="755"/>
        <w:gridCol w:w="813"/>
        <w:gridCol w:w="973"/>
        <w:gridCol w:w="711"/>
        <w:gridCol w:w="6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479"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kern w:val="0"/>
                <w:sz w:val="20"/>
                <w:szCs w:val="20"/>
                <w:lang w:val="en-US" w:eastAsia="zh-CN" w:bidi="ar"/>
              </w:rPr>
              <w:t>（本列数据的勾稽关系为：第一项加第二项之和，等于第三项加第四项之和）</w:t>
            </w:r>
          </w:p>
        </w:tc>
        <w:tc>
          <w:tcPr>
            <w:tcW w:w="5592"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82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kern w:val="0"/>
                <w:sz w:val="20"/>
                <w:szCs w:val="20"/>
                <w:lang w:val="en-US" w:eastAsia="zh-CN" w:bidi="ar"/>
              </w:rPr>
              <w:t>自然人</w:t>
            </w:r>
          </w:p>
        </w:tc>
        <w:tc>
          <w:tcPr>
            <w:tcW w:w="406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kern w:val="0"/>
                <w:sz w:val="20"/>
                <w:szCs w:val="20"/>
                <w:lang w:val="en-US" w:eastAsia="zh-CN" w:bidi="ar"/>
              </w:rPr>
              <w:t>法人或其他组织</w:t>
            </w:r>
          </w:p>
        </w:tc>
        <w:tc>
          <w:tcPr>
            <w:tcW w:w="702"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8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kern w:val="0"/>
                <w:sz w:val="20"/>
                <w:szCs w:val="20"/>
                <w:lang w:val="en-US" w:eastAsia="zh-CN" w:bidi="ar"/>
              </w:rPr>
              <w:t>商业企业</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kern w:val="0"/>
                <w:sz w:val="20"/>
                <w:szCs w:val="20"/>
                <w:lang w:val="en-US" w:eastAsia="zh-CN" w:bidi="ar"/>
              </w:rPr>
              <w:t>科研机构</w:t>
            </w:r>
          </w:p>
        </w:tc>
        <w:tc>
          <w:tcPr>
            <w:tcW w:w="82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kern w:val="0"/>
                <w:sz w:val="20"/>
                <w:szCs w:val="20"/>
                <w:lang w:val="en-US" w:eastAsia="zh-CN" w:bidi="ar"/>
              </w:rPr>
              <w:t>社会公益组织</w:t>
            </w:r>
          </w:p>
        </w:tc>
        <w:tc>
          <w:tcPr>
            <w:tcW w:w="99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kern w:val="0"/>
                <w:sz w:val="20"/>
                <w:szCs w:val="20"/>
                <w:lang w:val="en-US" w:eastAsia="zh-CN" w:bidi="ar"/>
              </w:rPr>
              <w:t>法律服务机构</w:t>
            </w:r>
          </w:p>
        </w:tc>
        <w:tc>
          <w:tcPr>
            <w:tcW w:w="72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kern w:val="0"/>
                <w:sz w:val="20"/>
                <w:szCs w:val="20"/>
                <w:lang w:val="en-US" w:eastAsia="zh-CN" w:bidi="ar"/>
              </w:rPr>
              <w:t>其他</w:t>
            </w:r>
          </w:p>
        </w:tc>
        <w:tc>
          <w:tcPr>
            <w:tcW w:w="702"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bookmarkStart w:id="0" w:name="_GoBack" w:colFirst="3" w:colLast="8"/>
            <w:r>
              <w:rPr>
                <w:rFonts w:hint="eastAsia" w:ascii="宋体" w:hAnsi="宋体" w:eastAsia="宋体" w:cs="宋体"/>
                <w:kern w:val="0"/>
                <w:sz w:val="20"/>
                <w:szCs w:val="20"/>
                <w:lang w:val="en-US" w:eastAsia="zh-CN" w:bidi="ar"/>
              </w:rPr>
              <w:t>一、本年新收政府信息公开申请数量</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kern w:val="0"/>
                <w:sz w:val="20"/>
                <w:szCs w:val="20"/>
                <w:lang w:val="en-US" w:eastAsia="zh-CN" w:bidi="ar"/>
              </w:rPr>
              <w:t>二、上年结转政府信息公开申请数量</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kern w:val="0"/>
                <w:sz w:val="20"/>
                <w:szCs w:val="20"/>
                <w:lang w:val="en-US" w:eastAsia="zh-CN" w:bidi="ar"/>
              </w:rPr>
              <w:t>三、本年度办理结果</w:t>
            </w:r>
          </w:p>
        </w:tc>
        <w:tc>
          <w:tcPr>
            <w:tcW w:w="298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ascii="楷体" w:hAnsi="楷体" w:eastAsia="楷体" w:cs="楷体"/>
                <w:kern w:val="0"/>
                <w:sz w:val="20"/>
                <w:szCs w:val="20"/>
                <w:lang w:val="en-US" w:eastAsia="zh-CN" w:bidi="ar"/>
              </w:rPr>
              <w:t>（一）予以公开</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0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298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楷体" w:hAnsi="楷体" w:eastAsia="楷体" w:cs="楷体"/>
                <w:kern w:val="0"/>
                <w:sz w:val="20"/>
                <w:szCs w:val="20"/>
                <w:lang w:val="en-US" w:eastAsia="zh-CN" w:bidi="ar"/>
              </w:rPr>
              <w:t>（二）部分公开（区分处理的，只计这一情形，不计其他情形）</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8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楷体" w:hAnsi="楷体" w:eastAsia="楷体" w:cs="楷体"/>
                <w:kern w:val="0"/>
                <w:sz w:val="20"/>
                <w:szCs w:val="20"/>
                <w:lang w:val="en-US" w:eastAsia="zh-CN" w:bidi="ar"/>
              </w:rPr>
              <w:t>（三）不予公开</w:t>
            </w: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楷体" w:hAnsi="楷体" w:eastAsia="楷体" w:cs="楷体"/>
                <w:kern w:val="0"/>
                <w:sz w:val="20"/>
                <w:szCs w:val="20"/>
                <w:lang w:val="en-US" w:eastAsia="zh-CN" w:bidi="ar"/>
              </w:rPr>
              <w:t>1.属于国家秘密</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0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楷体" w:hAnsi="楷体" w:eastAsia="楷体" w:cs="楷体"/>
                <w:kern w:val="0"/>
                <w:sz w:val="20"/>
                <w:szCs w:val="20"/>
                <w:lang w:val="en-US" w:eastAsia="zh-CN" w:bidi="ar"/>
              </w:rPr>
              <w:t>2.其他法律行政法规禁止公开</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楷体" w:hAnsi="楷体" w:eastAsia="楷体" w:cs="楷体"/>
                <w:kern w:val="0"/>
                <w:sz w:val="20"/>
                <w:szCs w:val="20"/>
                <w:lang w:val="en-US" w:eastAsia="zh-CN" w:bidi="ar"/>
              </w:rPr>
              <w:t>3.危及“三安全一稳定”</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楷体" w:hAnsi="楷体" w:eastAsia="楷体" w:cs="楷体"/>
                <w:kern w:val="0"/>
                <w:sz w:val="20"/>
                <w:szCs w:val="20"/>
                <w:lang w:val="en-US" w:eastAsia="zh-CN" w:bidi="ar"/>
              </w:rPr>
              <w:t>4.保护第三方合法权益</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楷体" w:hAnsi="楷体" w:eastAsia="楷体" w:cs="楷体"/>
                <w:kern w:val="0"/>
                <w:sz w:val="20"/>
                <w:szCs w:val="20"/>
                <w:lang w:val="en-US" w:eastAsia="zh-CN" w:bidi="ar"/>
              </w:rPr>
              <w:t>5.属于三类内部事务信息</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楷体" w:hAnsi="楷体" w:eastAsia="楷体" w:cs="楷体"/>
                <w:kern w:val="0"/>
                <w:sz w:val="20"/>
                <w:szCs w:val="20"/>
                <w:lang w:val="en-US" w:eastAsia="zh-CN" w:bidi="ar"/>
              </w:rPr>
              <w:t>6.属于四类过程性信息</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楷体" w:hAnsi="楷体" w:eastAsia="楷体" w:cs="楷体"/>
                <w:kern w:val="0"/>
                <w:sz w:val="20"/>
                <w:szCs w:val="20"/>
                <w:lang w:val="en-US" w:eastAsia="zh-CN" w:bidi="ar"/>
              </w:rPr>
              <w:t>7.属于行政执法案卷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楷体" w:hAnsi="楷体" w:eastAsia="楷体" w:cs="楷体"/>
                <w:kern w:val="0"/>
                <w:sz w:val="20"/>
                <w:szCs w:val="20"/>
                <w:lang w:val="en-US" w:eastAsia="zh-CN" w:bidi="ar"/>
              </w:rPr>
              <w:t>8.属于行政查询事项</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8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楷体" w:hAnsi="楷体" w:eastAsia="楷体" w:cs="楷体"/>
                <w:kern w:val="0"/>
                <w:sz w:val="20"/>
                <w:szCs w:val="20"/>
                <w:lang w:val="en-US" w:eastAsia="zh-CN" w:bidi="ar"/>
              </w:rPr>
              <w:t>（四）无法提供</w:t>
            </w: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楷体" w:hAnsi="楷体" w:eastAsia="楷体" w:cs="楷体"/>
                <w:kern w:val="0"/>
                <w:sz w:val="20"/>
                <w:szCs w:val="20"/>
                <w:lang w:val="en-US" w:eastAsia="zh-CN" w:bidi="ar"/>
              </w:rPr>
              <w:t>1.本机关不掌握相关政府信息</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楷体" w:hAnsi="楷体" w:eastAsia="楷体" w:cs="楷体"/>
                <w:kern w:val="0"/>
                <w:sz w:val="20"/>
                <w:szCs w:val="20"/>
                <w:lang w:val="en-US" w:eastAsia="zh-CN" w:bidi="ar"/>
              </w:rPr>
              <w:t>2.没有现成信息需要另行制作</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0" w:hRule="atLeast"/>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楷体" w:hAnsi="楷体" w:eastAsia="楷体" w:cs="楷体"/>
                <w:kern w:val="0"/>
                <w:sz w:val="20"/>
                <w:szCs w:val="20"/>
                <w:lang w:val="en-US" w:eastAsia="zh-CN" w:bidi="ar"/>
              </w:rPr>
              <w:t>3.补正后申请内容仍不明确</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8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楷体" w:hAnsi="楷体" w:eastAsia="楷体" w:cs="楷体"/>
                <w:kern w:val="0"/>
                <w:sz w:val="20"/>
                <w:szCs w:val="20"/>
                <w:lang w:val="en-US" w:eastAsia="zh-CN" w:bidi="ar"/>
              </w:rPr>
              <w:t>（五）不予处理</w:t>
            </w: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楷体" w:hAnsi="楷体" w:eastAsia="楷体" w:cs="楷体"/>
                <w:kern w:val="0"/>
                <w:sz w:val="20"/>
                <w:szCs w:val="20"/>
                <w:lang w:val="en-US" w:eastAsia="zh-CN" w:bidi="ar"/>
              </w:rPr>
              <w:t>1.信访举报投诉类申请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楷体" w:hAnsi="楷体" w:eastAsia="楷体" w:cs="楷体"/>
                <w:kern w:val="0"/>
                <w:sz w:val="20"/>
                <w:szCs w:val="20"/>
                <w:lang w:val="en-US" w:eastAsia="zh-CN" w:bidi="ar"/>
              </w:rPr>
              <w:t>2.重复申请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楷体" w:hAnsi="楷体" w:eastAsia="楷体" w:cs="楷体"/>
                <w:kern w:val="0"/>
                <w:sz w:val="20"/>
                <w:szCs w:val="20"/>
                <w:lang w:val="en-US" w:eastAsia="zh-CN" w:bidi="ar"/>
              </w:rPr>
              <w:t>3.要求提供公开出版物</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楷体" w:hAnsi="楷体" w:eastAsia="楷体" w:cs="楷体"/>
                <w:kern w:val="0"/>
                <w:sz w:val="20"/>
                <w:szCs w:val="20"/>
                <w:lang w:val="en-US" w:eastAsia="zh-CN" w:bidi="ar"/>
              </w:rPr>
              <w:t>4.无正当理由大量反复申请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楷体" w:hAnsi="楷体" w:eastAsia="楷体" w:cs="楷体"/>
                <w:kern w:val="0"/>
                <w:sz w:val="20"/>
                <w:szCs w:val="20"/>
                <w:lang w:val="en-US" w:eastAsia="zh-CN" w:bidi="ar"/>
              </w:rPr>
              <w:t>5.要求行政机关确认或重新出具已获取信息</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298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楷体" w:hAnsi="楷体" w:eastAsia="楷体" w:cs="楷体"/>
                <w:kern w:val="0"/>
                <w:sz w:val="20"/>
                <w:szCs w:val="20"/>
                <w:lang w:val="en-US" w:eastAsia="zh-CN" w:bidi="ar"/>
              </w:rPr>
              <w:t>（六）其他处理</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sz w:val="24"/>
                <w:szCs w:val="24"/>
              </w:rPr>
            </w:pPr>
          </w:p>
        </w:tc>
        <w:tc>
          <w:tcPr>
            <w:tcW w:w="298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楷体" w:hAnsi="楷体" w:eastAsia="楷体" w:cs="楷体"/>
                <w:kern w:val="0"/>
                <w:sz w:val="20"/>
                <w:szCs w:val="20"/>
                <w:lang w:val="en-US" w:eastAsia="zh-CN" w:bidi="ar"/>
              </w:rPr>
              <w:t>（七）总计</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pPr>
            <w:r>
              <w:rPr>
                <w:rFonts w:hint="eastAsia" w:ascii="宋体" w:hAnsi="宋体" w:eastAsia="宋体" w:cs="宋体"/>
                <w:kern w:val="0"/>
                <w:sz w:val="20"/>
                <w:szCs w:val="20"/>
                <w:lang w:val="en-US" w:eastAsia="zh-CN" w:bidi="ar"/>
              </w:rPr>
              <w:t>四、结转下年度继续办理</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exact"/>
              <w:ind w:left="0" w:right="0"/>
              <w:jc w:val="center"/>
              <w:textAlignment w:val="auto"/>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eastAsia="宋体"/>
                <w:sz w:val="24"/>
                <w:szCs w:val="24"/>
                <w:lang w:val="en-US" w:eastAsia="zh-CN"/>
              </w:rPr>
            </w:pPr>
            <w:r>
              <w:rPr>
                <w:rFonts w:hint="eastAsia" w:ascii="Calibri" w:hAnsi="Calibri" w:eastAsia="仿宋_GB2312" w:cs="Calibri"/>
                <w:kern w:val="0"/>
                <w:sz w:val="20"/>
                <w:szCs w:val="20"/>
                <w:lang w:val="en-US" w:eastAsia="zh-CN" w:bidi="ar"/>
              </w:rPr>
              <w:t>0</w:t>
            </w:r>
          </w:p>
        </w:tc>
      </w:tr>
      <w:bookmarkEnd w:id="0"/>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right="0" w:firstLine="640" w:firstLineChars="200"/>
        <w:jc w:val="both"/>
        <w:textAlignment w:val="auto"/>
        <w:rPr>
          <w:rFonts w:hint="eastAsia" w:ascii="方正小标宋简体" w:hAnsi="方正小标宋简体" w:eastAsia="方正小标宋简体" w:cs="方正小标宋简体"/>
          <w:b w:val="0"/>
          <w:bCs/>
          <w:i w:val="0"/>
          <w:caps w:val="0"/>
          <w:color w:val="333333"/>
          <w:spacing w:val="0"/>
          <w:sz w:val="24"/>
          <w:szCs w:val="24"/>
        </w:rPr>
      </w:pPr>
      <w:r>
        <w:rPr>
          <w:rFonts w:hint="eastAsia" w:ascii="方正小标宋简体" w:hAnsi="方正小标宋简体" w:eastAsia="方正小标宋简体" w:cs="方正小标宋简体"/>
          <w:b w:val="0"/>
          <w:bCs/>
          <w:i w:val="0"/>
          <w:caps w:val="0"/>
          <w:color w:val="333333"/>
          <w:spacing w:val="0"/>
          <w:sz w:val="32"/>
          <w:szCs w:val="32"/>
          <w:shd w:val="clear" w:fill="FFFFFF"/>
        </w:rPr>
        <w:t>四、政府信息公开行政复议、行政诉讼情况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pPr>
            <w:r>
              <w:rPr>
                <w:rFonts w:hint="eastAsia" w:ascii="宋体" w:hAnsi="宋体" w:eastAsia="宋体" w:cs="宋体"/>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pPr>
            <w:r>
              <w:rPr>
                <w:rFonts w:hint="eastAsia" w:ascii="宋体" w:hAnsi="宋体" w:eastAsia="宋体" w:cs="宋体"/>
                <w:kern w:val="0"/>
                <w:sz w:val="20"/>
                <w:szCs w:val="20"/>
                <w:lang w:val="en-US" w:eastAsia="zh-CN" w:bidi="ar"/>
              </w:rPr>
              <w:t>结果维持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pPr>
            <w:r>
              <w:rPr>
                <w:rFonts w:hint="eastAsia" w:ascii="宋体" w:hAnsi="宋体" w:eastAsia="宋体" w:cs="宋体"/>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pPr>
            <w:r>
              <w:rPr>
                <w:rFonts w:hint="eastAsia" w:ascii="宋体" w:hAnsi="宋体" w:eastAsia="宋体" w:cs="宋体"/>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pPr>
            <w:r>
              <w:rPr>
                <w:rFonts w:hint="eastAsia" w:ascii="宋体" w:hAnsi="宋体" w:eastAsia="宋体" w:cs="宋体"/>
                <w:kern w:val="0"/>
                <w:sz w:val="20"/>
                <w:szCs w:val="2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pPr>
            <w:r>
              <w:rPr>
                <w:rFonts w:hint="eastAsia" w:ascii="宋体" w:hAnsi="宋体" w:eastAsia="宋体" w:cs="宋体"/>
                <w:kern w:val="0"/>
                <w:sz w:val="20"/>
                <w:szCs w:val="20"/>
                <w:lang w:val="en-US" w:eastAsia="zh-CN" w:bidi="ar"/>
              </w:rPr>
              <w:t>总计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pPr>
            <w:r>
              <w:rPr>
                <w:rFonts w:hint="eastAsia" w:ascii="宋体" w:hAnsi="宋体" w:eastAsia="宋体" w:cs="宋体"/>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宋体"/>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宋体"/>
                <w:sz w:val="24"/>
                <w:szCs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pPr>
            <w:r>
              <w:rPr>
                <w:rFonts w:hint="eastAsia" w:ascii="宋体" w:hAnsi="宋体" w:eastAsia="宋体" w:cs="宋体"/>
                <w:kern w:val="0"/>
                <w:sz w:val="20"/>
                <w:szCs w:val="20"/>
                <w:lang w:val="en-US" w:eastAsia="zh-CN" w:bidi="ar"/>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pPr>
            <w:r>
              <w:rPr>
                <w:rFonts w:hint="eastAsia" w:ascii="宋体" w:hAnsi="宋体" w:eastAsia="宋体" w:cs="宋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pPr>
            <w:r>
              <w:rPr>
                <w:rFonts w:hint="eastAsia" w:ascii="宋体" w:hAnsi="宋体" w:eastAsia="宋体" w:cs="宋体"/>
                <w:kern w:val="0"/>
                <w:sz w:val="20"/>
                <w:szCs w:val="20"/>
                <w:lang w:val="en-US" w:eastAsia="zh-CN" w:bidi="ar"/>
              </w:rPr>
              <w:t>其他结果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pPr>
            <w:r>
              <w:rPr>
                <w:rFonts w:hint="eastAsia" w:ascii="宋体" w:hAnsi="宋体" w:eastAsia="宋体" w:cs="宋体"/>
                <w:kern w:val="0"/>
                <w:sz w:val="20"/>
                <w:szCs w:val="20"/>
                <w:lang w:val="en-US" w:eastAsia="zh-CN" w:bidi="ar"/>
              </w:rPr>
              <w:t>尚未审结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pPr>
            <w:r>
              <w:rPr>
                <w:rFonts w:hint="eastAsia" w:ascii="宋体" w:hAnsi="宋体" w:eastAsia="宋体" w:cs="宋体"/>
                <w:color w:val="000000"/>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pPr>
            <w:r>
              <w:rPr>
                <w:rFonts w:hint="eastAsia" w:ascii="宋体" w:hAnsi="宋体" w:eastAsia="宋体" w:cs="宋体"/>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pPr>
            <w:r>
              <w:rPr>
                <w:rFonts w:hint="eastAsia" w:ascii="宋体" w:hAnsi="宋体" w:eastAsia="宋体" w:cs="宋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pPr>
            <w:r>
              <w:rPr>
                <w:rFonts w:hint="eastAsia" w:ascii="宋体" w:hAnsi="宋体" w:eastAsia="宋体" w:cs="宋体"/>
                <w:color w:val="000000"/>
                <w:kern w:val="0"/>
                <w:sz w:val="20"/>
                <w:szCs w:val="20"/>
                <w:lang w:val="en-US" w:eastAsia="zh-CN" w:bidi="ar"/>
              </w:rPr>
              <w:t>其他结果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pPr>
            <w:r>
              <w:rPr>
                <w:rFonts w:hint="eastAsia" w:ascii="宋体" w:hAnsi="宋体" w:eastAsia="宋体" w:cs="宋体"/>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rPr>
                <w:rFonts w:hint="default" w:ascii="Times New Roman" w:hAnsi="Times New Roman" w:cs="Times New Roman"/>
                <w:sz w:val="24"/>
                <w:szCs w:val="24"/>
                <w:lang w:val="en-US"/>
              </w:rPr>
            </w:pPr>
            <w:r>
              <w:rPr>
                <w:rFonts w:hint="default" w:ascii="Times New Roman" w:hAnsi="Times New Roman" w:cs="Times New Roman"/>
                <w:kern w:val="0"/>
                <w:sz w:val="24"/>
                <w:szCs w:val="24"/>
                <w:lang w:val="en-US" w:eastAsia="zh-CN" w:bidi="ar"/>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rPr>
                <w:rFonts w:hint="default" w:ascii="Times New Roman" w:hAnsi="Times New Roman" w:cs="Times New Roman"/>
                <w:sz w:val="24"/>
                <w:szCs w:val="24"/>
                <w:lang w:val="en-US"/>
              </w:rPr>
            </w:pPr>
            <w:r>
              <w:rPr>
                <w:rFonts w:hint="default" w:ascii="Times New Roman" w:hAnsi="Times New Roman" w:cs="Times New Roman"/>
                <w:kern w:val="0"/>
                <w:sz w:val="24"/>
                <w:szCs w:val="24"/>
                <w:lang w:val="en-US" w:eastAsia="zh-CN" w:bidi="ar"/>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rPr>
                <w:rFonts w:hint="default" w:ascii="Times New Roman" w:hAnsi="Times New Roman" w:cs="Times New Roman"/>
                <w:sz w:val="24"/>
                <w:szCs w:val="24"/>
                <w:lang w:val="en-US"/>
              </w:rPr>
            </w:pPr>
            <w:r>
              <w:rPr>
                <w:rFonts w:hint="default" w:ascii="Times New Roman" w:hAnsi="Times New Roman" w:cs="Times New Roman"/>
                <w:kern w:val="0"/>
                <w:sz w:val="24"/>
                <w:szCs w:val="24"/>
                <w:lang w:val="en-US" w:eastAsia="zh-CN" w:bidi="ar"/>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rPr>
                <w:rFonts w:hint="default" w:ascii="Times New Roman" w:hAnsi="Times New Roman" w:cs="Times New Roman"/>
                <w:sz w:val="24"/>
                <w:szCs w:val="24"/>
                <w:lang w:val="en-US"/>
              </w:rPr>
            </w:pPr>
            <w:r>
              <w:rPr>
                <w:rFonts w:hint="default" w:ascii="Times New Roman" w:hAnsi="Times New Roman" w:cs="Times New Roman"/>
                <w:kern w:val="0"/>
                <w:sz w:val="24"/>
                <w:szCs w:val="24"/>
                <w:lang w:val="en-US" w:eastAsia="zh-CN" w:bidi="ar"/>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rPr>
                <w:rFonts w:hint="default" w:ascii="Times New Roman" w:hAnsi="Times New Roman" w:cs="Times New Roman"/>
                <w:sz w:val="24"/>
                <w:szCs w:val="24"/>
                <w:lang w:val="en-US"/>
              </w:rPr>
            </w:pPr>
            <w:r>
              <w:rPr>
                <w:rFonts w:hint="default" w:ascii="Times New Roman" w:hAnsi="Times New Roman" w:cs="Times New Roman"/>
                <w:kern w:val="0"/>
                <w:sz w:val="24"/>
                <w:szCs w:val="24"/>
                <w:lang w:val="en-US" w:eastAsia="zh-CN" w:bidi="ar"/>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rPr>
                <w:rFonts w:hint="default" w:ascii="Times New Roman" w:hAnsi="Times New Roman" w:cs="Times New Roman"/>
                <w:sz w:val="24"/>
                <w:szCs w:val="24"/>
                <w:lang w:val="en-US"/>
              </w:rPr>
            </w:pPr>
            <w:r>
              <w:rPr>
                <w:rFonts w:hint="default" w:ascii="Times New Roman" w:hAnsi="Times New Roman" w:eastAsia="宋体" w:cs="Times New Roman"/>
                <w:color w:val="000000"/>
                <w:kern w:val="0"/>
                <w:sz w:val="24"/>
                <w:szCs w:val="24"/>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rPr>
                <w:rFonts w:hint="default" w:ascii="Times New Roman" w:hAnsi="Times New Roman" w:cs="Times New Roman"/>
                <w:sz w:val="24"/>
                <w:szCs w:val="24"/>
                <w:lang w:val="en-US"/>
              </w:rPr>
            </w:pPr>
            <w:r>
              <w:rPr>
                <w:rFonts w:hint="default" w:ascii="Times New Roman" w:hAnsi="Times New Roman" w:eastAsia="宋体" w:cs="Times New Roman"/>
                <w:color w:val="000000"/>
                <w:kern w:val="0"/>
                <w:sz w:val="24"/>
                <w:szCs w:val="24"/>
                <w:lang w:val="en-US" w:eastAsia="zh-CN" w:bidi="ar"/>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right="0"/>
              <w:jc w:val="center"/>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方正黑体简体" w:hAnsi="方正黑体简体" w:eastAsia="方正黑体简体" w:cs="方正黑体简体"/>
          <w:b w:val="0"/>
          <w:bCs/>
          <w:i w:val="0"/>
          <w:caps w:val="0"/>
          <w:color w:val="333333"/>
          <w:spacing w:val="0"/>
          <w:sz w:val="32"/>
          <w:szCs w:val="32"/>
        </w:rPr>
      </w:pPr>
      <w:r>
        <w:rPr>
          <w:rFonts w:hint="eastAsia" w:ascii="方正黑体简体" w:hAnsi="方正黑体简体" w:eastAsia="方正黑体简体" w:cs="方正黑体简体"/>
          <w:b w:val="0"/>
          <w:bCs/>
          <w:i w:val="0"/>
          <w:caps w:val="0"/>
          <w:color w:val="333333"/>
          <w:spacing w:val="0"/>
          <w:sz w:val="32"/>
          <w:szCs w:val="32"/>
          <w:shd w:val="clear" w:fill="FFFFFF"/>
        </w:rPr>
        <w:t>五、存在的主要问题及改进情况</w:t>
      </w:r>
    </w:p>
    <w:p>
      <w:pPr>
        <w:pStyle w:val="4"/>
        <w:widowControl/>
        <w:shd w:val="clear" w:color="auto" w:fill="FFFFFF"/>
        <w:spacing w:beforeAutospacing="0" w:afterAutospacing="0" w:line="420" w:lineRule="atLeast"/>
        <w:ind w:firstLine="64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201</w:t>
      </w:r>
      <w:r>
        <w:rPr>
          <w:rFonts w:hint="default" w:ascii="Times New Roman" w:hAnsi="Times New Roman" w:eastAsia="方正仿宋简体" w:cs="Times New Roman"/>
          <w:sz w:val="32"/>
          <w:szCs w:val="32"/>
          <w:lang w:val="en-US" w:eastAsia="zh-CN"/>
        </w:rPr>
        <w:t>9</w:t>
      </w:r>
      <w:r>
        <w:rPr>
          <w:rFonts w:hint="default" w:ascii="Times New Roman" w:hAnsi="Times New Roman" w:eastAsia="方正仿宋简体" w:cs="Times New Roman"/>
          <w:sz w:val="32"/>
          <w:szCs w:val="32"/>
        </w:rPr>
        <w:t>年，我局政府信息公开工作有序推进，进一步丰富了公开的内容，取得了一定的成效。但存在一些</w:t>
      </w:r>
      <w:r>
        <w:rPr>
          <w:rFonts w:hint="eastAsia" w:ascii="Times New Roman" w:hAnsi="Times New Roman" w:eastAsia="方正仿宋简体" w:cs="Times New Roman"/>
          <w:sz w:val="32"/>
          <w:szCs w:val="32"/>
          <w:lang w:eastAsia="zh-CN"/>
        </w:rPr>
        <w:t>问题。</w:t>
      </w:r>
      <w:r>
        <w:rPr>
          <w:rFonts w:hint="default" w:ascii="Times New Roman" w:hAnsi="Times New Roman" w:eastAsia="方正仿宋简体" w:cs="Times New Roman"/>
          <w:sz w:val="32"/>
          <w:szCs w:val="32"/>
        </w:rPr>
        <w:t>一是信息公开内容与社会各界需求相比还有一定差距；二是</w:t>
      </w:r>
      <w:r>
        <w:rPr>
          <w:rFonts w:hint="eastAsia" w:ascii="Times New Roman" w:hAnsi="Times New Roman" w:eastAsia="方正仿宋简体" w:cs="Times New Roman"/>
          <w:sz w:val="32"/>
          <w:szCs w:val="32"/>
          <w:lang w:eastAsia="zh-CN"/>
        </w:rPr>
        <w:t>信息收集中，各股室（单位）协同合作不够密切，导致部分信息发布不够及时</w:t>
      </w:r>
      <w:r>
        <w:rPr>
          <w:rFonts w:hint="default" w:ascii="Times New Roman" w:hAnsi="Times New Roman" w:eastAsia="方正仿宋简体" w:cs="Times New Roman"/>
          <w:sz w:val="32"/>
          <w:szCs w:val="32"/>
        </w:rPr>
        <w:t>。针对存在问题和不足，我局将认真贯彻落实</w:t>
      </w:r>
      <w:r>
        <w:rPr>
          <w:rFonts w:hint="eastAsia" w:ascii="Times New Roman" w:hAnsi="Times New Roman" w:eastAsia="方正仿宋简体" w:cs="Times New Roman"/>
          <w:sz w:val="32"/>
          <w:szCs w:val="32"/>
          <w:lang w:eastAsia="zh-CN"/>
        </w:rPr>
        <w:t>相关</w:t>
      </w:r>
      <w:r>
        <w:rPr>
          <w:rFonts w:hint="default" w:ascii="Times New Roman" w:hAnsi="Times New Roman" w:eastAsia="方正仿宋简体" w:cs="Times New Roman"/>
          <w:sz w:val="32"/>
          <w:szCs w:val="32"/>
        </w:rPr>
        <w:t>要求，加大政府</w:t>
      </w:r>
      <w:r>
        <w:rPr>
          <w:rFonts w:hint="default" w:ascii="Times New Roman" w:hAnsi="Times New Roman" w:eastAsia="方正仿宋简体" w:cs="Times New Roman"/>
          <w:sz w:val="32"/>
          <w:szCs w:val="32"/>
          <w:lang w:eastAsia="zh-CN"/>
        </w:rPr>
        <w:t>水利</w:t>
      </w:r>
      <w:r>
        <w:rPr>
          <w:rFonts w:hint="default" w:ascii="Times New Roman" w:hAnsi="Times New Roman" w:eastAsia="方正仿宋简体" w:cs="Times New Roman"/>
          <w:sz w:val="32"/>
          <w:szCs w:val="32"/>
        </w:rPr>
        <w:t>信息公开力度，不断提高水利服务实效。</w:t>
      </w:r>
    </w:p>
    <w:p>
      <w:pPr>
        <w:pStyle w:val="4"/>
        <w:widowControl/>
        <w:shd w:val="clear" w:color="auto" w:fill="FFFFFF"/>
        <w:spacing w:beforeAutospacing="0" w:afterAutospacing="0" w:line="420" w:lineRule="atLeast"/>
        <w:ind w:firstLine="640"/>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一是</w:t>
      </w:r>
      <w:r>
        <w:rPr>
          <w:rFonts w:hint="eastAsia" w:ascii="Times New Roman" w:hAnsi="Times New Roman" w:eastAsia="方正仿宋简体" w:cs="Times New Roman"/>
          <w:sz w:val="32"/>
          <w:szCs w:val="32"/>
          <w:lang w:eastAsia="zh-CN"/>
        </w:rPr>
        <w:t>注重培训，提高业务水平</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邀请相关专家对负责政府信息开工的具体分管领导和具体负责人进行业务培训，提高我局政府信息公开工作业务水平。保证信息公开的及时性和保密性，进一步提高我局信息公开质量。</w:t>
      </w:r>
    </w:p>
    <w:p>
      <w:pPr>
        <w:pStyle w:val="4"/>
        <w:widowControl/>
        <w:shd w:val="clear" w:color="auto" w:fill="FFFFFF"/>
        <w:spacing w:beforeAutospacing="0" w:afterAutospacing="0" w:line="420" w:lineRule="atLeast"/>
        <w:ind w:firstLine="640"/>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二是</w:t>
      </w:r>
      <w:r>
        <w:rPr>
          <w:rFonts w:hint="eastAsia" w:ascii="Times New Roman" w:hAnsi="Times New Roman" w:eastAsia="方正仿宋简体" w:cs="Times New Roman"/>
          <w:sz w:val="32"/>
          <w:szCs w:val="32"/>
          <w:lang w:eastAsia="zh-CN"/>
        </w:rPr>
        <w:t>对标目录，完善公开内容</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根据中央、省、市要求</w:t>
      </w:r>
      <w:r>
        <w:rPr>
          <w:rFonts w:hint="default" w:ascii="Times New Roman" w:hAnsi="Times New Roman" w:eastAsia="方正仿宋简体" w:cs="Times New Roman"/>
          <w:sz w:val="32"/>
          <w:szCs w:val="32"/>
        </w:rPr>
        <w:t>进一步完善主动公开的政府信息目录，</w:t>
      </w:r>
      <w:r>
        <w:rPr>
          <w:rFonts w:hint="eastAsia" w:ascii="Times New Roman" w:hAnsi="Times New Roman" w:eastAsia="方正仿宋简体" w:cs="Times New Roman"/>
          <w:sz w:val="32"/>
          <w:szCs w:val="32"/>
          <w:lang w:eastAsia="zh-CN"/>
        </w:rPr>
        <w:t>加大公开范围。同时对照目录，将政府信息按照分类标准，一一进行公开，确保不遗漏。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Times New Roman" w:hAnsi="Times New Roman" w:eastAsia="方正仿宋简体" w:cs="Times New Roman"/>
          <w:lang w:eastAsia="zh-CN"/>
        </w:rPr>
      </w:pPr>
      <w:r>
        <w:rPr>
          <w:rFonts w:hint="default" w:ascii="Times New Roman" w:hAnsi="Times New Roman" w:eastAsia="方正仿宋简体" w:cs="Times New Roman"/>
          <w:sz w:val="32"/>
          <w:szCs w:val="32"/>
        </w:rPr>
        <w:t>三是</w:t>
      </w:r>
      <w:r>
        <w:rPr>
          <w:rFonts w:hint="eastAsia" w:ascii="Times New Roman" w:hAnsi="Times New Roman" w:eastAsia="方正仿宋简体" w:cs="Times New Roman"/>
          <w:sz w:val="32"/>
          <w:szCs w:val="32"/>
          <w:lang w:eastAsia="zh-CN"/>
        </w:rPr>
        <w:t>完善制度，提高工作效率。建立健全政府信息公开制度，对涉及不同股室的政务信息建立公开机制，防止出现信息发布不及时，不完整的情况发生。</w:t>
      </w:r>
    </w:p>
    <w:p>
      <w:pPr>
        <w:numPr>
          <w:ilvl w:val="0"/>
          <w:numId w:val="1"/>
        </w:numPr>
        <w:ind w:firstLine="640" w:firstLineChars="200"/>
        <w:rPr>
          <w:rFonts w:hint="eastAsia" w:ascii="方正小标宋简体" w:hAnsi="方正小标宋简体" w:eastAsia="方正小标宋简体" w:cs="方正小标宋简体"/>
          <w:b w:val="0"/>
          <w:bCs w:val="0"/>
          <w:lang w:eastAsia="zh-CN"/>
        </w:rPr>
      </w:pPr>
      <w:r>
        <w:rPr>
          <w:rFonts w:hint="eastAsia" w:ascii="方正小标宋简体" w:hAnsi="方正小标宋简体" w:eastAsia="方正小标宋简体" w:cs="方正小标宋简体"/>
          <w:b w:val="0"/>
          <w:bCs w:val="0"/>
          <w:lang w:eastAsia="zh-CN"/>
        </w:rPr>
        <w:t>其他需要报告的事项</w:t>
      </w:r>
    </w:p>
    <w:p>
      <w:pPr>
        <w:numPr>
          <w:ilvl w:val="0"/>
          <w:numId w:val="0"/>
        </w:numPr>
      </w:pPr>
      <w:r>
        <w:rPr>
          <w:rFonts w:hint="eastAsia" w:ascii="方正小标宋简体" w:hAnsi="方正小标宋简体" w:eastAsia="方正小标宋简体" w:cs="方正小标宋简体"/>
          <w:b w:val="0"/>
          <w:bCs w:val="0"/>
          <w:lang w:val="en-US" w:eastAsia="zh-CN"/>
        </w:rPr>
        <w:t xml:space="preserve">   </w:t>
      </w:r>
      <w:r>
        <w:rPr>
          <w:rFonts w:hint="eastAsia" w:ascii="方正仿宋简体" w:hAnsi="方正仿宋简体" w:eastAsia="方正仿宋简体" w:cs="方正仿宋简体"/>
          <w:b w:val="0"/>
          <w:bCs w:val="0"/>
          <w:lang w:val="en-US" w:eastAsia="zh-CN"/>
        </w:rPr>
        <w:t xml:space="preserve"> 无。</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83361"/>
    <w:multiLevelType w:val="singleLevel"/>
    <w:tmpl w:val="35C8336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030EA6"/>
    <w:rsid w:val="000479FB"/>
    <w:rsid w:val="000E1EBF"/>
    <w:rsid w:val="001B1EC4"/>
    <w:rsid w:val="00425C30"/>
    <w:rsid w:val="00462663"/>
    <w:rsid w:val="006F2B71"/>
    <w:rsid w:val="00784E21"/>
    <w:rsid w:val="00A0624F"/>
    <w:rsid w:val="00C54D85"/>
    <w:rsid w:val="00D44C6B"/>
    <w:rsid w:val="00D6611F"/>
    <w:rsid w:val="00D907C9"/>
    <w:rsid w:val="00F07695"/>
    <w:rsid w:val="00F7399A"/>
    <w:rsid w:val="07307A25"/>
    <w:rsid w:val="12E0359D"/>
    <w:rsid w:val="23E80651"/>
    <w:rsid w:val="357F351F"/>
    <w:rsid w:val="3E7C5727"/>
    <w:rsid w:val="447B6135"/>
    <w:rsid w:val="49CB550A"/>
    <w:rsid w:val="4A987E6C"/>
    <w:rsid w:val="4EA60D2A"/>
    <w:rsid w:val="56030EA6"/>
    <w:rsid w:val="563707CB"/>
    <w:rsid w:val="576B3DFA"/>
    <w:rsid w:val="599C29A7"/>
    <w:rsid w:val="59EF4DDF"/>
    <w:rsid w:val="5AF02AC8"/>
    <w:rsid w:val="5FA6553C"/>
    <w:rsid w:val="627812B1"/>
    <w:rsid w:val="660C3F4B"/>
    <w:rsid w:val="78E379B5"/>
    <w:rsid w:val="7BFD1B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Hyperlink"/>
    <w:basedOn w:val="6"/>
    <w:qFormat/>
    <w:uiPriority w:val="0"/>
    <w:rPr>
      <w:color w:val="0000FF"/>
      <w:u w:val="single"/>
    </w:rPr>
  </w:style>
  <w:style w:type="character" w:customStyle="1" w:styleId="8">
    <w:name w:val="页眉 Char"/>
    <w:basedOn w:val="6"/>
    <w:link w:val="3"/>
    <w:qFormat/>
    <w:uiPriority w:val="0"/>
    <w:rPr>
      <w:rFonts w:eastAsia="仿宋_GB2312"/>
      <w:kern w:val="2"/>
      <w:sz w:val="18"/>
      <w:szCs w:val="18"/>
    </w:rPr>
  </w:style>
  <w:style w:type="character" w:customStyle="1" w:styleId="9">
    <w:name w:val="页脚 Char"/>
    <w:basedOn w:val="6"/>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324</Words>
  <Characters>1849</Characters>
  <Lines>15</Lines>
  <Paragraphs>4</Paragraphs>
  <TotalTime>0</TotalTime>
  <ScaleCrop>false</ScaleCrop>
  <LinksUpToDate>false</LinksUpToDate>
  <CharactersWithSpaces>2169</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2017-12-26T07:53:00Z</dcterms:created>
  <dc:creator>Administrator</dc:creator>
  <cp:lastModifiedBy>Y</cp:lastModifiedBy>
  <dcterms:modified xsi:type="dcterms:W3CDTF">2020-01-17T07:55:00Z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