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hAnsi="黑体" w:eastAsia="黑体" w:asciiTheme="majorHAnsi"/>
          <w:b w:val="0"/>
          <w:bCs w:val="0"/>
          <w:color w:val="000000"/>
          <w:sz w:val="72"/>
          <w:szCs w:val="72"/>
        </w:rPr>
      </w:pPr>
      <w:bookmarkStart w:id="0" w:name="_Toc15396475"/>
      <w:bookmarkStart w:id="1" w:name="_Toc15378441"/>
      <w:bookmarkStart w:id="2" w:name="_Toc15396597"/>
      <w:bookmarkStart w:id="3" w:name="_Toc15377193"/>
      <w:bookmarkStart w:id="4" w:name="_Toc15377425"/>
      <w:bookmarkStart w:id="5" w:name="_Toc15306267"/>
      <w:bookmarkStart w:id="62" w:name="_GoBack"/>
      <w:r>
        <w:rPr>
          <w:rFonts w:hint="eastAsia" w:hAnsi="黑体" w:eastAsia="黑体" w:asciiTheme="majorHAnsi"/>
          <w:b/>
          <w:bCs/>
          <w:color w:val="000000"/>
          <w:sz w:val="72"/>
          <w:szCs w:val="72"/>
        </w:rPr>
        <w:t xml:space="preserve"> </w:t>
      </w:r>
    </w:p>
    <w:p>
      <w:pPr>
        <w:adjustRightInd w:val="0"/>
        <w:snapToGrid w:val="0"/>
        <w:spacing w:line="360" w:lineRule="auto"/>
        <w:jc w:val="center"/>
        <w:outlineLvl w:val="0"/>
        <w:rPr>
          <w:rFonts w:hint="eastAsia" w:hAnsi="黑体" w:eastAsia="黑体" w:asciiTheme="majorHAnsi"/>
          <w:b w:val="0"/>
          <w:bCs w:val="0"/>
          <w:color w:val="000000"/>
          <w:sz w:val="72"/>
          <w:szCs w:val="72"/>
        </w:rPr>
      </w:pPr>
    </w:p>
    <w:p>
      <w:pPr>
        <w:adjustRightInd w:val="0"/>
        <w:snapToGrid w:val="0"/>
        <w:spacing w:line="360" w:lineRule="auto"/>
        <w:jc w:val="center"/>
        <w:outlineLvl w:val="0"/>
        <w:rPr>
          <w:rFonts w:hint="eastAsia" w:hAnsi="黑体" w:eastAsia="黑体" w:asciiTheme="majorHAnsi"/>
          <w:b w:val="0"/>
          <w:bCs w:val="0"/>
          <w:color w:val="000000"/>
          <w:sz w:val="72"/>
          <w:szCs w:val="72"/>
        </w:rPr>
      </w:pPr>
    </w:p>
    <w:bookmarkEnd w:id="0"/>
    <w:bookmarkEnd w:id="1"/>
    <w:bookmarkEnd w:id="2"/>
    <w:bookmarkEnd w:id="3"/>
    <w:bookmarkEnd w:id="4"/>
    <w:bookmarkEnd w:id="5"/>
    <w:p>
      <w:pPr>
        <w:ind w:firstLine="960" w:firstLineChars="300"/>
        <w:rPr>
          <w:rFonts w:ascii="楷体_GB2312" w:eastAsia="楷体_GB2312"/>
          <w:sz w:val="32"/>
          <w:szCs w:val="32"/>
        </w:rPr>
      </w:pPr>
      <w:bookmarkStart w:id="6" w:name="_Toc15377226"/>
      <w:bookmarkStart w:id="7" w:name="_Toc15396618"/>
    </w:p>
    <w:p>
      <w:pPr>
        <w:adjustRightInd w:val="0"/>
        <w:snapToGrid w:val="0"/>
        <w:spacing w:line="360" w:lineRule="auto"/>
        <w:jc w:val="center"/>
        <w:outlineLvl w:val="0"/>
        <w:rPr>
          <w:rFonts w:hint="eastAsia" w:hAnsi="黑体" w:eastAsia="黑体" w:asciiTheme="majorHAnsi"/>
          <w:b w:val="0"/>
          <w:bCs w:val="0"/>
          <w:color w:val="000000"/>
          <w:sz w:val="72"/>
          <w:szCs w:val="72"/>
        </w:rPr>
      </w:pPr>
      <w:r>
        <w:rPr>
          <w:rFonts w:hint="eastAsia" w:hAnsi="黑体" w:eastAsia="黑体" w:asciiTheme="majorHAnsi"/>
          <w:b w:val="0"/>
          <w:bCs w:val="0"/>
          <w:color w:val="000000"/>
          <w:sz w:val="72"/>
          <w:szCs w:val="72"/>
        </w:rPr>
        <w:t>2022年度遂宁市</w:t>
      </w:r>
    </w:p>
    <w:p>
      <w:pPr>
        <w:adjustRightInd w:val="0"/>
        <w:snapToGrid w:val="0"/>
        <w:spacing w:line="360" w:lineRule="auto"/>
        <w:jc w:val="center"/>
        <w:outlineLvl w:val="0"/>
        <w:rPr>
          <w:rFonts w:hint="eastAsia" w:hAnsi="黑体" w:eastAsia="黑体" w:asciiTheme="majorHAnsi"/>
          <w:b w:val="0"/>
          <w:bCs w:val="0"/>
          <w:color w:val="000000"/>
          <w:sz w:val="72"/>
          <w:szCs w:val="72"/>
        </w:rPr>
      </w:pPr>
      <w:bookmarkStart w:id="8" w:name="_Toc15378442"/>
      <w:bookmarkStart w:id="9" w:name="_Toc15306268"/>
      <w:bookmarkStart w:id="10" w:name="_Toc15377426"/>
      <w:bookmarkStart w:id="11" w:name="_Toc15396476"/>
      <w:bookmarkStart w:id="12" w:name="_Toc15396598"/>
      <w:bookmarkStart w:id="13" w:name="_Toc15377194"/>
      <w:r>
        <w:rPr>
          <w:rFonts w:hint="eastAsia" w:hAnsi="黑体" w:eastAsia="黑体" w:asciiTheme="majorHAnsi"/>
          <w:b w:val="0"/>
          <w:bCs w:val="0"/>
          <w:color w:val="000000"/>
          <w:sz w:val="72"/>
          <w:szCs w:val="72"/>
        </w:rPr>
        <w:t>遂宁市安居区海龙凯歌文化旅游产业园区管理委员会</w:t>
      </w:r>
    </w:p>
    <w:p>
      <w:pPr>
        <w:adjustRightInd w:val="0"/>
        <w:snapToGrid w:val="0"/>
        <w:spacing w:line="360" w:lineRule="auto"/>
        <w:jc w:val="center"/>
        <w:outlineLvl w:val="0"/>
        <w:rPr>
          <w:rFonts w:hint="eastAsia" w:hAnsi="黑体" w:eastAsia="黑体" w:asciiTheme="majorHAnsi"/>
          <w:b w:val="0"/>
          <w:bCs w:val="0"/>
          <w:color w:val="000000"/>
          <w:sz w:val="72"/>
          <w:szCs w:val="72"/>
        </w:rPr>
      </w:pPr>
      <w:r>
        <w:rPr>
          <w:rFonts w:hint="eastAsia" w:hAnsi="黑体" w:eastAsia="黑体" w:asciiTheme="majorHAnsi"/>
          <w:b w:val="0"/>
          <w:bCs w:val="0"/>
          <w:color w:val="000000"/>
          <w:sz w:val="72"/>
          <w:szCs w:val="72"/>
        </w:rPr>
        <w:t>部门决算</w:t>
      </w:r>
      <w:bookmarkEnd w:id="8"/>
      <w:bookmarkEnd w:id="9"/>
      <w:bookmarkEnd w:id="10"/>
      <w:bookmarkEnd w:id="11"/>
      <w:bookmarkEnd w:id="12"/>
      <w:bookmarkEnd w:id="13"/>
    </w:p>
    <w:p>
      <w:pPr>
        <w:spacing w:line="576" w:lineRule="exact"/>
        <w:jc w:val="center"/>
        <w:outlineLvl w:val="0"/>
        <w:rPr>
          <w:rFonts w:ascii="方正小标宋简体" w:hAnsi="宋体" w:eastAsia="方正小标宋简体"/>
          <w:color w:val="000000"/>
          <w:sz w:val="72"/>
          <w:szCs w:val="72"/>
        </w:rPr>
      </w:pPr>
      <w:r>
        <w:rPr>
          <w:rFonts w:ascii="方正小标宋简体" w:hAnsi="宋体" w:eastAsia="方正小标宋简体"/>
          <w:color w:val="000000"/>
          <w:sz w:val="36"/>
          <w:szCs w:val="36"/>
        </w:rPr>
        <w:br w:type="page"/>
      </w:r>
    </w:p>
    <w:p>
      <w:pPr>
        <w:widowControl/>
        <w:jc w:val="center"/>
        <w:rPr>
          <w:rFonts w:ascii="黑体" w:hAnsi="黑体" w:eastAsia="黑体"/>
          <w:color w:val="auto"/>
          <w:sz w:val="48"/>
          <w:szCs w:val="48"/>
          <w:highlight w:val="none"/>
        </w:rPr>
      </w:pPr>
      <w:bookmarkStart w:id="14" w:name="_Toc15377196"/>
      <w:bookmarkStart w:id="15" w:name="_Toc15396599"/>
      <w:r>
        <w:rPr>
          <w:rFonts w:hint="eastAsia" w:ascii="黑体" w:hAnsi="黑体" w:eastAsia="黑体"/>
          <w:color w:val="auto"/>
          <w:sz w:val="48"/>
          <w:szCs w:val="48"/>
          <w:highlight w:val="none"/>
        </w:rPr>
        <w:t>目录</w:t>
      </w:r>
    </w:p>
    <w:p>
      <w:pPr>
        <w:widowControl/>
        <w:jc w:val="center"/>
        <w:rPr>
          <w:rFonts w:ascii="黑体" w:hAnsi="黑体" w:eastAsia="黑体" w:cs="Times New Roman"/>
          <w:color w:val="auto"/>
          <w:sz w:val="28"/>
          <w:szCs w:val="28"/>
          <w:highlight w:val="none"/>
        </w:rPr>
      </w:pPr>
    </w:p>
    <w:p>
      <w:pPr>
        <w:widowControl w:val="0"/>
        <w:tabs>
          <w:tab w:val="right" w:leader="dot" w:pos="8296"/>
        </w:tabs>
        <w:spacing w:before="93"/>
        <w:jc w:val="center"/>
        <w:rPr>
          <w:rFonts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公开时间：2023年8月25日</w:t>
      </w:r>
    </w:p>
    <w:p>
      <w:pPr>
        <w:rPr>
          <w:color w:val="auto"/>
          <w:highlight w:val="none"/>
        </w:rPr>
      </w:pPr>
    </w:p>
    <w:p>
      <w:pPr>
        <w:widowControl w:val="0"/>
        <w:tabs>
          <w:tab w:val="right" w:leader="dot" w:pos="8296"/>
        </w:tabs>
        <w:adjustRightInd w:val="0"/>
        <w:snapToGrid w:val="0"/>
        <w:spacing w:before="0" w:line="440" w:lineRule="exact"/>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第一部分 部门概况</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w:t>
      </w:r>
    </w:p>
    <w:p>
      <w:pPr>
        <w:widowControl w:val="0"/>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一、部门职责</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w:t>
      </w:r>
    </w:p>
    <w:p>
      <w:pPr>
        <w:widowControl w:val="0"/>
        <w:tabs>
          <w:tab w:val="right" w:leader="dot" w:pos="8296"/>
        </w:tabs>
        <w:adjustRightInd w:val="0"/>
        <w:snapToGrid w:val="0"/>
        <w:spacing w:before="0" w:line="440" w:lineRule="exact"/>
        <w:ind w:firstLine="560" w:firstLineChars="200"/>
        <w:jc w:val="left"/>
        <w:rPr>
          <w:rFonts w:hint="eastAsia"/>
          <w:lang w:val="en-US" w:eastAsia="zh-CN"/>
        </w:rPr>
      </w:pPr>
      <w:r>
        <w:rPr>
          <w:rFonts w:hint="eastAsia" w:ascii="仿宋" w:hAnsi="仿宋" w:eastAsia="仿宋" w:cs="Times New Roman"/>
          <w:kern w:val="2"/>
          <w:sz w:val="28"/>
          <w:szCs w:val="28"/>
          <w:lang w:val="en-US" w:eastAsia="zh-CN" w:bidi="ar-SA"/>
        </w:rPr>
        <w:t>二、机构设置</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w:t>
      </w:r>
    </w:p>
    <w:p>
      <w:pPr>
        <w:widowControl w:val="0"/>
        <w:tabs>
          <w:tab w:val="right" w:leader="dot" w:pos="8296"/>
        </w:tabs>
        <w:adjustRightInd w:val="0"/>
        <w:snapToGrid w:val="0"/>
        <w:spacing w:before="0" w:line="440" w:lineRule="exact"/>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第二部分 2022年度部门决算情况说明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5</w:t>
      </w:r>
    </w:p>
    <w:p>
      <w:pPr>
        <w:widowControl w:val="0"/>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一、收入支出决算总体情况说明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5</w:t>
      </w:r>
    </w:p>
    <w:p>
      <w:pPr>
        <w:widowControl w:val="0"/>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二、收入决算情况说明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6</w:t>
      </w:r>
    </w:p>
    <w:p>
      <w:pPr>
        <w:widowControl w:val="0"/>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7</w:t>
      </w:r>
    </w:p>
    <w:p>
      <w:pPr>
        <w:widowControl w:val="0"/>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四、财政拨款收入支出决算总体情况说明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8</w:t>
      </w:r>
    </w:p>
    <w:p>
      <w:pPr>
        <w:widowControl w:val="0"/>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五、一般公共预算财政拨款支出决算情况说明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9</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六、一般公共预算财政拨款基本支出决算情况说明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10</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七、财政拨款“三公”经费支出决算情况说明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11</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八、政府性基金预算支出决算情况说明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13</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九、国有资本经营预算支出决算情况说明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13</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十、其他重要事项的情况说明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13</w:t>
      </w:r>
    </w:p>
    <w:p>
      <w:pPr>
        <w:widowControl w:val="0"/>
        <w:tabs>
          <w:tab w:val="right" w:leader="dot" w:pos="8296"/>
        </w:tabs>
        <w:adjustRightInd w:val="0"/>
        <w:snapToGrid w:val="0"/>
        <w:spacing w:before="0" w:line="440" w:lineRule="exact"/>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第三部分 名词解释</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14</w:t>
      </w:r>
    </w:p>
    <w:p>
      <w:pPr>
        <w:widowControl w:val="0"/>
        <w:tabs>
          <w:tab w:val="right" w:leader="dot" w:pos="8296"/>
        </w:tabs>
        <w:adjustRightInd w:val="0"/>
        <w:snapToGrid w:val="0"/>
        <w:spacing w:before="0" w:line="440" w:lineRule="exact"/>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第四部分 附件</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16</w:t>
      </w:r>
    </w:p>
    <w:p>
      <w:pPr>
        <w:widowControl w:val="0"/>
        <w:tabs>
          <w:tab w:val="right" w:leader="dot" w:pos="8296"/>
        </w:tabs>
        <w:adjustRightInd w:val="0"/>
        <w:snapToGrid w:val="0"/>
        <w:spacing w:before="0" w:line="440" w:lineRule="exact"/>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第五部分 附表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一、收入支出决算总表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二、收入决算表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四、财政拨款收入支出决算总表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五、财政拨款支出决算明细表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六、一般公共预算财政拨款支出决算表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七、一般公共预算财政拨款支出决算明细表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八、一般公共预算财政拨款基本支出决算明细表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九、一般公共预算财政拨款项目支出决算表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十、政府性基金预算财政拨款收入支出决算表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十一、国有资本经营预算财政拨款收入支出决算表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十二、国有资本经营预算财政拨款支出决算表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widowControl w:val="0"/>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十三、财政拨款“三公”经费支出决算表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pPr>
        <w:pStyle w:val="2"/>
        <w:rPr>
          <w:rFonts w:hint="eastAsia" w:ascii="仿宋" w:hAnsi="仿宋" w:eastAsia="仿宋" w:cs="Times New Roman"/>
          <w:kern w:val="2"/>
          <w:sz w:val="28"/>
          <w:szCs w:val="28"/>
          <w:lang w:val="en-US" w:eastAsia="zh-CN" w:bidi="ar-SA"/>
        </w:rPr>
      </w:pPr>
    </w:p>
    <w:p>
      <w:pPr>
        <w:rPr>
          <w:rFonts w:hint="eastAsia" w:ascii="仿宋" w:hAnsi="仿宋" w:eastAsia="仿宋" w:cs="Times New Roman"/>
          <w:kern w:val="2"/>
          <w:sz w:val="28"/>
          <w:szCs w:val="28"/>
          <w:lang w:val="en-US" w:eastAsia="zh-CN" w:bidi="ar-SA"/>
        </w:rPr>
      </w:pPr>
    </w:p>
    <w:p>
      <w:pPr>
        <w:pStyle w:val="2"/>
        <w:rPr>
          <w:rFonts w:hint="eastAsia" w:ascii="仿宋" w:hAnsi="仿宋" w:eastAsia="仿宋" w:cs="Times New Roman"/>
          <w:kern w:val="2"/>
          <w:sz w:val="28"/>
          <w:szCs w:val="28"/>
          <w:lang w:val="en-US" w:eastAsia="zh-CN" w:bidi="ar-SA"/>
        </w:rPr>
      </w:pPr>
    </w:p>
    <w:p>
      <w:pPr>
        <w:rPr>
          <w:rFonts w:hint="eastAsia" w:ascii="仿宋" w:hAnsi="仿宋" w:eastAsia="仿宋" w:cs="Times New Roman"/>
          <w:kern w:val="2"/>
          <w:sz w:val="28"/>
          <w:szCs w:val="28"/>
          <w:lang w:val="en-US" w:eastAsia="zh-CN" w:bidi="ar-SA"/>
        </w:rPr>
      </w:pPr>
    </w:p>
    <w:p>
      <w:pPr>
        <w:pStyle w:val="2"/>
        <w:rPr>
          <w:rFonts w:hint="eastAsia" w:ascii="仿宋" w:hAnsi="仿宋" w:eastAsia="仿宋" w:cs="Times New Roman"/>
          <w:kern w:val="2"/>
          <w:sz w:val="28"/>
          <w:szCs w:val="28"/>
          <w:lang w:val="en-US" w:eastAsia="zh-CN" w:bidi="ar-SA"/>
        </w:rPr>
      </w:pPr>
    </w:p>
    <w:p>
      <w:pPr>
        <w:rPr>
          <w:rFonts w:hint="eastAsia" w:ascii="仿宋" w:hAnsi="仿宋" w:eastAsia="仿宋" w:cs="Times New Roman"/>
          <w:kern w:val="2"/>
          <w:sz w:val="28"/>
          <w:szCs w:val="28"/>
          <w:lang w:val="en-US" w:eastAsia="zh-CN" w:bidi="ar-SA"/>
        </w:rPr>
      </w:pPr>
    </w:p>
    <w:p>
      <w:pPr>
        <w:pStyle w:val="2"/>
        <w:rPr>
          <w:rFonts w:hint="eastAsia" w:ascii="仿宋" w:hAnsi="仿宋" w:eastAsia="仿宋" w:cs="Times New Roman"/>
          <w:kern w:val="2"/>
          <w:sz w:val="28"/>
          <w:szCs w:val="28"/>
          <w:lang w:val="en-US" w:eastAsia="zh-CN" w:bidi="ar-SA"/>
        </w:rPr>
      </w:pPr>
    </w:p>
    <w:p>
      <w:pPr>
        <w:rPr>
          <w:rFonts w:hint="eastAsia" w:ascii="仿宋" w:hAnsi="仿宋" w:eastAsia="仿宋" w:cs="Times New Roman"/>
          <w:kern w:val="2"/>
          <w:sz w:val="28"/>
          <w:szCs w:val="28"/>
          <w:lang w:val="en-US" w:eastAsia="zh-CN" w:bidi="ar-SA"/>
        </w:rPr>
      </w:pPr>
    </w:p>
    <w:p>
      <w:pPr>
        <w:pStyle w:val="2"/>
        <w:rPr>
          <w:rFonts w:hint="eastAsia" w:ascii="仿宋" w:hAnsi="仿宋" w:eastAsia="仿宋" w:cs="Times New Roman"/>
          <w:kern w:val="2"/>
          <w:sz w:val="28"/>
          <w:szCs w:val="28"/>
          <w:lang w:val="en-US" w:eastAsia="zh-CN" w:bidi="ar-SA"/>
        </w:rPr>
      </w:pPr>
    </w:p>
    <w:p>
      <w:pPr>
        <w:rPr>
          <w:rFonts w:hint="eastAsia" w:ascii="仿宋" w:hAnsi="仿宋" w:eastAsia="仿宋" w:cs="Times New Roman"/>
          <w:kern w:val="2"/>
          <w:sz w:val="28"/>
          <w:szCs w:val="28"/>
          <w:lang w:val="en-US" w:eastAsia="zh-CN" w:bidi="ar-SA"/>
        </w:rPr>
      </w:pPr>
    </w:p>
    <w:p>
      <w:pPr>
        <w:pStyle w:val="2"/>
        <w:rPr>
          <w:rFonts w:hint="eastAsia" w:ascii="仿宋" w:hAnsi="仿宋" w:eastAsia="仿宋" w:cs="Times New Roman"/>
          <w:kern w:val="2"/>
          <w:sz w:val="28"/>
          <w:szCs w:val="28"/>
          <w:lang w:val="en-US" w:eastAsia="zh-CN" w:bidi="ar-SA"/>
        </w:rPr>
      </w:pPr>
    </w:p>
    <w:p>
      <w:pPr>
        <w:rPr>
          <w:rFonts w:hint="eastAsia" w:ascii="仿宋" w:hAnsi="仿宋" w:eastAsia="仿宋" w:cs="Times New Roman"/>
          <w:kern w:val="2"/>
          <w:sz w:val="28"/>
          <w:szCs w:val="28"/>
          <w:lang w:val="en-US" w:eastAsia="zh-CN" w:bidi="ar-SA"/>
        </w:rPr>
      </w:pPr>
    </w:p>
    <w:p>
      <w:pPr>
        <w:pStyle w:val="2"/>
        <w:rPr>
          <w:rFonts w:hint="eastAsia" w:ascii="仿宋" w:hAnsi="仿宋" w:eastAsia="仿宋" w:cs="Times New Roman"/>
          <w:kern w:val="2"/>
          <w:sz w:val="28"/>
          <w:szCs w:val="28"/>
          <w:lang w:val="en-US" w:eastAsia="zh-CN" w:bidi="ar-SA"/>
        </w:rPr>
      </w:pPr>
    </w:p>
    <w:p>
      <w:pPr>
        <w:rPr>
          <w:rFonts w:hint="eastAsia" w:ascii="仿宋" w:hAnsi="仿宋" w:eastAsia="仿宋" w:cs="Times New Roman"/>
          <w:kern w:val="2"/>
          <w:sz w:val="28"/>
          <w:szCs w:val="28"/>
          <w:lang w:val="en-US" w:eastAsia="zh-CN" w:bidi="ar-SA"/>
        </w:rPr>
      </w:pPr>
    </w:p>
    <w:p>
      <w:pPr>
        <w:pStyle w:val="2"/>
        <w:rPr>
          <w:rFonts w:hint="eastAsia" w:ascii="仿宋" w:hAnsi="仿宋" w:eastAsia="仿宋" w:cs="Times New Roman"/>
          <w:kern w:val="2"/>
          <w:sz w:val="28"/>
          <w:szCs w:val="28"/>
          <w:lang w:val="en-US" w:eastAsia="zh-CN" w:bidi="ar-SA"/>
        </w:rPr>
      </w:pPr>
    </w:p>
    <w:p>
      <w:pPr>
        <w:rPr>
          <w:rFonts w:hint="eastAsia"/>
          <w:lang w:val="en-US" w:eastAsia="zh-CN"/>
        </w:rPr>
      </w:pPr>
    </w:p>
    <w:p>
      <w:pPr>
        <w:pStyle w:val="2"/>
        <w:rPr>
          <w:rFonts w:hint="eastAsia" w:ascii="仿宋" w:hAnsi="仿宋" w:eastAsia="仿宋" w:cs="Times New Roman"/>
          <w:kern w:val="2"/>
          <w:sz w:val="28"/>
          <w:szCs w:val="28"/>
          <w:lang w:val="en-US" w:eastAsia="zh-CN" w:bidi="ar-SA"/>
        </w:rPr>
      </w:pPr>
    </w:p>
    <w:p>
      <w:pPr>
        <w:pStyle w:val="3"/>
        <w:jc w:val="center"/>
        <w:rPr>
          <w:rStyle w:val="28"/>
          <w:rFonts w:ascii="黑体" w:hAnsi="黑体" w:eastAsia="黑体"/>
          <w:b/>
          <w:bCs w:val="0"/>
        </w:rPr>
      </w:pPr>
      <w:r>
        <w:rPr>
          <w:rFonts w:hint="eastAsia" w:ascii="黑体" w:hAnsi="黑体" w:eastAsia="黑体"/>
          <w:b/>
          <w:bCs w:val="0"/>
        </w:rPr>
        <w:t xml:space="preserve">第一部分 </w:t>
      </w:r>
      <w:r>
        <w:rPr>
          <w:rStyle w:val="28"/>
          <w:rFonts w:hint="eastAsia" w:ascii="黑体" w:hAnsi="黑体" w:eastAsia="黑体"/>
          <w:b/>
          <w:bCs w:val="0"/>
        </w:rPr>
        <w:t>部门概况</w:t>
      </w:r>
      <w:bookmarkEnd w:id="14"/>
      <w:bookmarkEnd w:id="15"/>
    </w:p>
    <w:p>
      <w:pPr>
        <w:pStyle w:val="4"/>
        <w:rPr>
          <w:rFonts w:ascii="黑体" w:hAnsi="黑体" w:eastAsia="黑体"/>
          <w:b/>
          <w:bCs w:val="0"/>
        </w:rPr>
      </w:pPr>
      <w:r>
        <w:rPr>
          <w:rFonts w:hint="eastAsia" w:ascii="黑体" w:hAnsi="黑体" w:eastAsia="黑体"/>
          <w:b/>
          <w:bCs w:val="0"/>
        </w:rPr>
        <w:t>一、部门职责</w:t>
      </w:r>
      <w:bookmarkStart w:id="16" w:name="_Toc15377200"/>
      <w:bookmarkStart w:id="17" w:name="_Toc15396601"/>
    </w:p>
    <w:p>
      <w:pPr>
        <w:ind w:firstLine="800" w:firstLineChars="250"/>
        <w:rPr>
          <w:rFonts w:hint="eastAsia" w:ascii="仿宋" w:hAnsi="仿宋" w:eastAsia="仿宋"/>
          <w:color w:val="auto"/>
          <w:sz w:val="32"/>
          <w:szCs w:val="32"/>
        </w:rPr>
      </w:pPr>
      <w:r>
        <w:rPr>
          <w:rFonts w:hint="eastAsia" w:ascii="仿宋" w:hAnsi="仿宋" w:eastAsia="仿宋"/>
          <w:color w:val="auto"/>
          <w:sz w:val="32"/>
          <w:szCs w:val="32"/>
        </w:rPr>
        <w:t>（一）贯彻党的路线、方针、政策和上级党委的决议、指示，全面推进党的政治建设、思想建设、组织建设、作风建设、纪律建设，把制度建设贯穿其中;研究园区内重大经济社会发展问题;负责园区党的组织、思想、党风廉政、纪律检查、意识形态工作和领导班子建设;负责园区宣传和精神文明建设工作;负责园区机构编制、干部人事管理工作;负责园区工会、共青团、妇联等群团工作;完成区委交办的其他任务</w:t>
      </w:r>
    </w:p>
    <w:p>
      <w:pPr>
        <w:ind w:firstLine="800" w:firstLineChars="250"/>
        <w:rPr>
          <w:rFonts w:hint="eastAsia" w:ascii="仿宋" w:hAnsi="仿宋" w:eastAsia="仿宋"/>
          <w:color w:val="auto"/>
          <w:sz w:val="32"/>
          <w:szCs w:val="32"/>
        </w:rPr>
      </w:pPr>
      <w:r>
        <w:rPr>
          <w:rFonts w:hint="eastAsia" w:ascii="仿宋" w:hAnsi="仿宋" w:eastAsia="仿宋"/>
          <w:color w:val="auto"/>
          <w:sz w:val="32"/>
          <w:szCs w:val="32"/>
        </w:rPr>
        <w:t>（二）贯彻落实区委、区政府的重要决策和工作部署;负责园区内经济发展规划和区域发展规划的编制、经批准后组织实施;对固定资产投资项目进行审核;负责园区文旅项目包装储备和申报工作;负责招商引资、投资促进、对外开放及企业服务等工作; 负责园区旅游资源的开发利用、文旅品牌创建、宣传营销等工作，负责园区A级景区创建及复核工作;负责园区内环境保护、消防安全和安全生产监督管理工作;负责园区消费者权益保障、旅游市场秩序维护等工作;负责园区旅游统计工作;负责园区内财务管理，实施园区内财务预算、决算、国有资产管理和财务监督工作;负责区委和区政府交办的其他事项。</w:t>
      </w:r>
    </w:p>
    <w:p>
      <w:pPr>
        <w:ind w:firstLine="800" w:firstLineChars="250"/>
        <w:rPr>
          <w:rFonts w:hint="eastAsia" w:ascii="仿宋" w:hAnsi="仿宋" w:eastAsia="仿宋"/>
          <w:color w:val="auto"/>
          <w:sz w:val="32"/>
          <w:szCs w:val="32"/>
        </w:rPr>
      </w:pPr>
    </w:p>
    <w:p>
      <w:pPr>
        <w:ind w:firstLine="800" w:firstLineChars="250"/>
        <w:rPr>
          <w:rFonts w:hint="eastAsia" w:ascii="仿宋" w:hAnsi="仿宋" w:eastAsia="仿宋"/>
          <w:color w:val="auto"/>
          <w:sz w:val="32"/>
          <w:szCs w:val="32"/>
        </w:rPr>
      </w:pPr>
      <w:r>
        <w:rPr>
          <w:rFonts w:hint="eastAsia" w:ascii="仿宋" w:hAnsi="仿宋" w:eastAsia="仿宋"/>
          <w:color w:val="auto"/>
          <w:sz w:val="32"/>
          <w:szCs w:val="32"/>
        </w:rPr>
        <w:t>（三）有关职责分工负责园区农文旅产业融合建设发展规划编制、上报审批和组织实施;负责园区文化旅游项目基础设施、公共设施建设和管理;负责园区经济管理，审核或审批园区内企业和投资项目;负责园区文旅项目包装储备和申报工作;负责园区招商引资、项目引进、建设管理服务等工作;负责园区文旅资源开发利用、品牌创建、宣传营销等工作，负责园区A级景区创建及复核工作;负责园区环境保护等</w:t>
      </w:r>
    </w:p>
    <w:p>
      <w:pPr>
        <w:pStyle w:val="4"/>
        <w:rPr>
          <w:rStyle w:val="29"/>
          <w:b w:val="0"/>
          <w:bCs w:val="0"/>
          <w:color w:val="auto"/>
        </w:rPr>
      </w:pPr>
      <w:r>
        <w:rPr>
          <w:rFonts w:hint="eastAsia" w:ascii="黑体" w:eastAsia="黑体"/>
          <w:b w:val="0"/>
          <w:color w:val="auto"/>
        </w:rPr>
        <w:t>二、</w:t>
      </w:r>
      <w:r>
        <w:rPr>
          <w:rFonts w:hint="eastAsia" w:ascii="黑体" w:hAnsi="黑体" w:eastAsia="黑体"/>
          <w:b w:val="0"/>
          <w:color w:val="auto"/>
        </w:rPr>
        <w:t>机</w:t>
      </w:r>
      <w:r>
        <w:rPr>
          <w:rStyle w:val="29"/>
          <w:rFonts w:hint="eastAsia" w:ascii="黑体" w:hAnsi="黑体" w:eastAsia="黑体"/>
          <w:b w:val="0"/>
          <w:bCs w:val="0"/>
          <w:color w:val="auto"/>
        </w:rPr>
        <w:t>构设置</w:t>
      </w:r>
      <w:bookmarkEnd w:id="16"/>
      <w:bookmarkEnd w:id="17"/>
    </w:p>
    <w:p>
      <w:pPr>
        <w:ind w:firstLine="800" w:firstLineChars="250"/>
        <w:rPr>
          <w:rFonts w:hint="eastAsia" w:ascii="仿宋" w:hAnsi="仿宋" w:eastAsia="仿宋"/>
          <w:color w:val="auto"/>
          <w:sz w:val="32"/>
          <w:szCs w:val="32"/>
        </w:rPr>
      </w:pPr>
      <w:r>
        <w:rPr>
          <w:rFonts w:hint="eastAsia" w:ascii="仿宋" w:hAnsi="仿宋" w:eastAsia="仿宋"/>
          <w:color w:val="auto"/>
          <w:sz w:val="32"/>
          <w:szCs w:val="32"/>
        </w:rPr>
        <w:t>四川省遂宁市安居区遂宁市海龙凯歌文化旅游产业园区管理委员会下属二级单位2个，其中行政单位1个，参照公务员法管理的事业单位</w:t>
      </w:r>
      <w:r>
        <w:rPr>
          <w:rFonts w:hint="eastAsia" w:ascii="仿宋" w:hAnsi="仿宋" w:eastAsia="仿宋"/>
          <w:bCs/>
          <w:color w:val="auto"/>
          <w:sz w:val="32"/>
          <w:szCs w:val="32"/>
        </w:rPr>
        <w:t>0</w:t>
      </w:r>
      <w:r>
        <w:rPr>
          <w:rFonts w:hint="eastAsia" w:ascii="仿宋" w:hAnsi="仿宋" w:eastAsia="仿宋"/>
          <w:color w:val="auto"/>
          <w:sz w:val="32"/>
          <w:szCs w:val="32"/>
        </w:rPr>
        <w:t>个，其他事业单位1个。</w:t>
      </w:r>
    </w:p>
    <w:p>
      <w:pPr>
        <w:pStyle w:val="2"/>
        <w:rPr>
          <w:rFonts w:hint="eastAsia" w:ascii="仿宋" w:hAnsi="仿宋" w:eastAsia="仿宋"/>
          <w:color w:val="0000FF"/>
          <w:sz w:val="32"/>
          <w:szCs w:val="32"/>
        </w:rPr>
      </w:pPr>
    </w:p>
    <w:p>
      <w:pPr>
        <w:rPr>
          <w:rFonts w:hint="eastAsia"/>
        </w:rPr>
      </w:pPr>
    </w:p>
    <w:p>
      <w:pPr>
        <w:pStyle w:val="2"/>
      </w:pPr>
    </w:p>
    <w:p/>
    <w:p>
      <w:pPr>
        <w:pStyle w:val="2"/>
      </w:pPr>
    </w:p>
    <w:p/>
    <w:p>
      <w:pPr>
        <w:pStyle w:val="3"/>
        <w:ind w:right="440"/>
        <w:jc w:val="center"/>
        <w:rPr>
          <w:rStyle w:val="28"/>
          <w:rFonts w:ascii="黑体" w:hAnsi="黑体" w:eastAsia="黑体"/>
          <w:b w:val="0"/>
          <w:bCs w:val="0"/>
        </w:rPr>
      </w:pPr>
      <w:bookmarkStart w:id="18" w:name="_Toc15396602"/>
      <w:bookmarkStart w:id="19"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2022年度部门决算情况说明</w:t>
      </w:r>
      <w:bookmarkEnd w:id="18"/>
      <w:bookmarkEnd w:id="19"/>
    </w:p>
    <w:p/>
    <w:p>
      <w:pPr>
        <w:pStyle w:val="27"/>
        <w:numPr>
          <w:ilvl w:val="0"/>
          <w:numId w:val="2"/>
        </w:numPr>
        <w:spacing w:line="600" w:lineRule="exact"/>
        <w:ind w:firstLineChars="0"/>
        <w:outlineLvl w:val="1"/>
        <w:rPr>
          <w:rStyle w:val="29"/>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0"/>
      <w:bookmarkEnd w:id="21"/>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2022年度收、支总计7.19万元。与2021年相比，收、支总计各增加7.19万元，增加100</w:t>
      </w:r>
      <w:r>
        <w:rPr>
          <w:rFonts w:ascii="仿宋" w:hAnsi="仿宋" w:eastAsia="仿宋"/>
          <w:sz w:val="32"/>
          <w:szCs w:val="32"/>
        </w:rPr>
        <w:t>%</w:t>
      </w:r>
      <w:r>
        <w:rPr>
          <w:rFonts w:hint="eastAsia" w:ascii="仿宋" w:hAnsi="仿宋" w:eastAsia="仿宋"/>
          <w:sz w:val="32"/>
          <w:szCs w:val="32"/>
        </w:rPr>
        <w:t>。主要变动原因是增加了镇日常公用经费。</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5080000" cy="3810000"/>
            <wp:effectExtent l="4445" t="4445" r="571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p>
    <w:p>
      <w:pPr>
        <w:pStyle w:val="27"/>
        <w:numPr>
          <w:ilvl w:val="0"/>
          <w:numId w:val="2"/>
        </w:numPr>
        <w:spacing w:line="600" w:lineRule="exact"/>
        <w:ind w:firstLineChars="0"/>
        <w:outlineLvl w:val="1"/>
        <w:rPr>
          <w:rStyle w:val="29"/>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29"/>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2022年本年收入合计7.19万元，其中：</w:t>
      </w:r>
      <w:r>
        <w:rPr>
          <w:rFonts w:hint="eastAsia" w:ascii="仿宋_GB2312" w:hAnsi="仿宋" w:eastAsia="仿宋_GB2312"/>
          <w:sz w:val="32"/>
          <w:szCs w:val="32"/>
        </w:rPr>
        <w:t>文化体育与传媒</w:t>
      </w:r>
      <w:r>
        <w:rPr>
          <w:rFonts w:hint="eastAsia" w:ascii="仿宋" w:hAnsi="仿宋" w:eastAsia="仿宋"/>
          <w:sz w:val="32"/>
          <w:szCs w:val="32"/>
        </w:rPr>
        <w:t>预算财政拨款收入7.19万</w:t>
      </w:r>
      <w:r>
        <w:rPr>
          <w:rFonts w:hint="eastAsia" w:ascii="仿宋_GB2312" w:hAnsi="仿宋" w:eastAsia="仿宋_GB2312"/>
          <w:sz w:val="32"/>
          <w:szCs w:val="32"/>
        </w:rPr>
        <w:t>元</w:t>
      </w:r>
      <w:r>
        <w:rPr>
          <w:rFonts w:hint="eastAsia" w:ascii="仿宋" w:hAnsi="仿宋" w:eastAsia="仿宋"/>
          <w:sz w:val="32"/>
          <w:szCs w:val="32"/>
        </w:rPr>
        <w:t>，占100</w:t>
      </w:r>
      <w:r>
        <w:rPr>
          <w:rFonts w:ascii="仿宋" w:hAnsi="仿宋" w:eastAsia="仿宋"/>
          <w:sz w:val="32"/>
          <w:szCs w:val="32"/>
        </w:rPr>
        <w:t>%</w:t>
      </w:r>
      <w:r>
        <w:rPr>
          <w:rFonts w:hint="eastAsia" w:ascii="仿宋" w:hAnsi="仿宋" w:eastAsia="仿宋"/>
          <w:sz w:val="32"/>
          <w:szCs w:val="32"/>
        </w:rPr>
        <w:t>；</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5080000" cy="3810000"/>
            <wp:effectExtent l="4445" t="4445" r="5715" b="107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p>
    <w:p>
      <w:pPr>
        <w:pStyle w:val="27"/>
        <w:numPr>
          <w:ilvl w:val="0"/>
          <w:numId w:val="2"/>
        </w:numPr>
        <w:spacing w:line="600" w:lineRule="exact"/>
        <w:ind w:firstLineChars="0"/>
        <w:outlineLvl w:val="1"/>
        <w:rPr>
          <w:rStyle w:val="29"/>
          <w:rFonts w:ascii="黑体" w:hAnsi="黑体" w:eastAsia="黑体"/>
          <w:b w:val="0"/>
        </w:rPr>
      </w:pPr>
      <w:bookmarkStart w:id="24" w:name="_Toc15377207"/>
      <w:bookmarkStart w:id="25" w:name="_Toc15396605"/>
      <w:r>
        <w:rPr>
          <w:rFonts w:hint="eastAsia" w:ascii="黑体" w:hAnsi="黑体" w:eastAsia="黑体"/>
          <w:color w:val="000000"/>
          <w:sz w:val="32"/>
          <w:szCs w:val="32"/>
        </w:rPr>
        <w:t>支</w:t>
      </w:r>
      <w:r>
        <w:rPr>
          <w:rStyle w:val="29"/>
          <w:rFonts w:hint="eastAsia" w:ascii="黑体" w:hAnsi="黑体" w:eastAsia="黑体"/>
          <w:b w:val="0"/>
        </w:rPr>
        <w:t>出决算情况说明</w:t>
      </w:r>
      <w:bookmarkEnd w:id="24"/>
      <w:bookmarkEnd w:id="25"/>
    </w:p>
    <w:p>
      <w:pPr>
        <w:spacing w:line="600" w:lineRule="exact"/>
        <w:ind w:firstLine="640"/>
        <w:rPr>
          <w:rFonts w:ascii="仿宋" w:hAnsi="仿宋" w:eastAsia="仿宋"/>
          <w:sz w:val="32"/>
          <w:szCs w:val="32"/>
          <w:shd w:val="pct10" w:color="auto" w:fill="FFFFFF"/>
        </w:rPr>
      </w:pPr>
      <w:r>
        <w:rPr>
          <w:rFonts w:hint="eastAsia" w:ascii="仿宋" w:hAnsi="仿宋" w:eastAsia="仿宋"/>
          <w:sz w:val="32"/>
          <w:szCs w:val="32"/>
        </w:rPr>
        <w:t>2022年本年支出合计</w:t>
      </w:r>
      <w:r>
        <w:rPr>
          <w:rFonts w:hint="eastAsia" w:ascii="仿宋" w:hAnsi="仿宋" w:eastAsia="仿宋"/>
          <w:sz w:val="32"/>
          <w:szCs w:val="32"/>
          <w:lang w:val="en-US" w:eastAsia="zh-CN"/>
        </w:rPr>
        <w:t>7.19</w:t>
      </w:r>
      <w:r>
        <w:rPr>
          <w:rFonts w:hint="eastAsia" w:ascii="仿宋" w:hAnsi="仿宋" w:eastAsia="仿宋"/>
          <w:sz w:val="32"/>
          <w:szCs w:val="32"/>
        </w:rPr>
        <w:t>万元，其中：基本支出7.19万元，占100</w:t>
      </w:r>
      <w:r>
        <w:rPr>
          <w:rFonts w:ascii="仿宋" w:hAnsi="仿宋" w:eastAsia="仿宋"/>
          <w:sz w:val="32"/>
          <w:szCs w:val="32"/>
        </w:rPr>
        <w:t>%</w:t>
      </w:r>
      <w:r>
        <w:rPr>
          <w:rFonts w:hint="eastAsia" w:ascii="仿宋" w:hAnsi="仿宋" w:eastAsia="仿宋"/>
          <w:sz w:val="32"/>
          <w:szCs w:val="32"/>
        </w:rPr>
        <w:t>；项目支出0万元，占0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5080000" cy="3587115"/>
            <wp:effectExtent l="4445" t="4445" r="5715"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9"/>
          <w:rFonts w:ascii="黑体" w:hAnsi="黑体" w:eastAsia="黑体"/>
          <w:b w:val="0"/>
        </w:rPr>
      </w:pPr>
      <w:bookmarkStart w:id="26" w:name="_Toc15377208"/>
      <w:bookmarkStart w:id="27" w:name="_Toc15396606"/>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26"/>
      <w:bookmarkEnd w:id="27"/>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2022年财政拨款收、支总计7.19万元。与2021年相比，财政拨款收、支总计增加7.19万元，增长100</w:t>
      </w:r>
      <w:r>
        <w:rPr>
          <w:rFonts w:ascii="仿宋" w:hAnsi="仿宋" w:eastAsia="仿宋"/>
          <w:sz w:val="32"/>
          <w:szCs w:val="32"/>
        </w:rPr>
        <w:t>%</w:t>
      </w:r>
      <w:r>
        <w:rPr>
          <w:rFonts w:hint="eastAsia" w:ascii="仿宋" w:hAnsi="仿宋" w:eastAsia="仿宋"/>
          <w:sz w:val="32"/>
          <w:szCs w:val="32"/>
        </w:rPr>
        <w:t>。本单位是2022年新成立单位。</w:t>
      </w:r>
    </w:p>
    <w:p>
      <w:pPr>
        <w:spacing w:line="600" w:lineRule="exact"/>
        <w:ind w:firstLine="640" w:firstLineChars="200"/>
        <w:rPr>
          <w:rFonts w:ascii="仿宋" w:hAnsi="仿宋" w:eastAsia="仿宋"/>
          <w:sz w:val="32"/>
          <w:szCs w:val="32"/>
        </w:rPr>
      </w:pPr>
      <w:r>
        <w:rPr>
          <w:rFonts w:hint="eastAsia" w:ascii="仿宋" w:hAnsi="仿宋" w:eastAsia="仿宋"/>
          <w:color w:val="000000"/>
          <w:sz w:val="32"/>
          <w:szCs w:val="32"/>
        </w:rPr>
        <w:t>主要变动原因是增加人员经费，</w:t>
      </w:r>
      <w:r>
        <w:rPr>
          <w:rFonts w:hint="eastAsia" w:ascii="仿宋" w:hAnsi="仿宋" w:eastAsia="仿宋"/>
          <w:sz w:val="32"/>
          <w:szCs w:val="32"/>
        </w:rPr>
        <w:t>本单位是2022年新成立单位。</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360" w:lineRule="auto"/>
        <w:ind w:firstLine="640" w:firstLineChars="200"/>
        <w:outlineLvl w:val="1"/>
        <w:rPr>
          <w:rFonts w:ascii="黑体" w:hAnsi="黑体" w:eastAsia="黑体"/>
          <w:color w:val="000000"/>
          <w:sz w:val="32"/>
          <w:szCs w:val="32"/>
        </w:rPr>
      </w:pPr>
      <w:bookmarkStart w:id="28" w:name="_Toc15377209"/>
      <w:bookmarkStart w:id="29" w:name="_Toc15396607"/>
      <w:r>
        <w:rPr>
          <w:rFonts w:hint="eastAsia" w:ascii="仿宋" w:hAnsi="仿宋" w:eastAsia="仿宋"/>
          <w:color w:val="000000" w:themeColor="text1"/>
          <w:sz w:val="32"/>
          <w:szCs w:val="32"/>
          <w14:textFill>
            <w14:solidFill>
              <w14:schemeClr w14:val="tx1"/>
            </w14:solidFill>
          </w14:textFill>
        </w:rPr>
        <w:drawing>
          <wp:inline distT="0" distB="0" distL="114300" distR="114300">
            <wp:extent cx="5080000" cy="3032125"/>
            <wp:effectExtent l="4445" t="4445" r="5715" b="114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pPr>
    </w:p>
    <w:p/>
    <w:p>
      <w:pPr>
        <w:pStyle w:val="2"/>
      </w:pPr>
    </w:p>
    <w:p>
      <w:pPr>
        <w:spacing w:line="600" w:lineRule="exact"/>
        <w:ind w:firstLine="640" w:firstLineChars="200"/>
        <w:outlineLvl w:val="1"/>
        <w:rPr>
          <w:rStyle w:val="29"/>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ascii="仿宋" w:hAnsi="仿宋" w:eastAsia="仿宋"/>
          <w:color w:val="000000"/>
          <w:sz w:val="32"/>
          <w:szCs w:val="32"/>
        </w:rPr>
      </w:pPr>
      <w:r>
        <w:rPr>
          <w:rFonts w:hint="eastAsia" w:ascii="仿宋" w:hAnsi="仿宋" w:eastAsia="仿宋"/>
          <w:sz w:val="32"/>
          <w:szCs w:val="32"/>
        </w:rPr>
        <w:t>2022年一般公共预算财政拨款支出7.19万元，占本年支出合计的100</w:t>
      </w:r>
      <w:r>
        <w:rPr>
          <w:rFonts w:ascii="仿宋" w:hAnsi="仿宋" w:eastAsia="仿宋"/>
          <w:sz w:val="32"/>
          <w:szCs w:val="32"/>
        </w:rPr>
        <w:t>%</w:t>
      </w:r>
      <w:r>
        <w:rPr>
          <w:rFonts w:hint="eastAsia" w:ascii="仿宋" w:hAnsi="仿宋" w:eastAsia="仿宋"/>
          <w:sz w:val="32"/>
          <w:szCs w:val="32"/>
        </w:rPr>
        <w:t>。与2021年相比，财政拨款收、支总计增加7.19万元，增长100%。主要变动原因是人员经费增加。</w:t>
      </w:r>
    </w:p>
    <w:p>
      <w:pPr>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5080000" cy="3810000"/>
            <wp:effectExtent l="4445" t="4445" r="571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2022年本年支出合计7.19万元，其中：</w:t>
      </w:r>
      <w:r>
        <w:rPr>
          <w:rFonts w:hint="eastAsia" w:ascii="仿宋_GB2312" w:hAnsi="仿宋" w:eastAsia="仿宋_GB2312"/>
          <w:sz w:val="32"/>
          <w:szCs w:val="32"/>
        </w:rPr>
        <w:t>文化体育与传媒</w:t>
      </w:r>
      <w:r>
        <w:rPr>
          <w:rFonts w:hint="eastAsia" w:ascii="仿宋" w:hAnsi="仿宋" w:eastAsia="仿宋"/>
          <w:sz w:val="32"/>
          <w:szCs w:val="32"/>
        </w:rPr>
        <w:t>支出7.19万</w:t>
      </w:r>
      <w:r>
        <w:rPr>
          <w:rFonts w:hint="eastAsia" w:ascii="仿宋_GB2312" w:hAnsi="仿宋" w:eastAsia="仿宋_GB2312"/>
          <w:sz w:val="32"/>
          <w:szCs w:val="32"/>
        </w:rPr>
        <w:t>元</w:t>
      </w:r>
      <w:r>
        <w:rPr>
          <w:rFonts w:hint="eastAsia" w:ascii="仿宋" w:hAnsi="仿宋" w:eastAsia="仿宋"/>
          <w:sz w:val="32"/>
          <w:szCs w:val="32"/>
        </w:rPr>
        <w:t>，占100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5080000" cy="3810000"/>
            <wp:effectExtent l="4445" t="4445" r="5715" b="107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outlineLvl w:val="2"/>
        <w:rPr>
          <w:rFonts w:ascii="仿宋" w:hAnsi="仿宋" w:eastAsia="仿宋"/>
          <w:b/>
          <w:color w:val="000000"/>
          <w:sz w:val="32"/>
          <w:szCs w:val="32"/>
        </w:rPr>
      </w:pPr>
      <w:bookmarkStart w:id="32" w:name="_Toc15377212"/>
      <w:r>
        <w:rPr>
          <w:rFonts w:hint="eastAsia" w:ascii="仿宋" w:hAnsi="仿宋" w:eastAsia="仿宋"/>
          <w:b/>
          <w:color w:val="000000"/>
          <w:sz w:val="32"/>
          <w:szCs w:val="32"/>
        </w:rPr>
        <w:t>（三）一般公共预算财政拨款支出决算具体情况</w:t>
      </w:r>
      <w:bookmarkEnd w:id="32"/>
    </w:p>
    <w:p>
      <w:pPr>
        <w:spacing w:line="600" w:lineRule="exact"/>
        <w:ind w:firstLine="643" w:firstLineChars="200"/>
        <w:outlineLvl w:val="2"/>
        <w:rPr>
          <w:rStyle w:val="17"/>
          <w:rFonts w:ascii="仿宋" w:hAnsi="仿宋" w:eastAsia="仿宋"/>
          <w:bCs/>
          <w:color w:val="000000"/>
          <w:sz w:val="32"/>
          <w:szCs w:val="32"/>
        </w:rPr>
      </w:pPr>
      <w:bookmarkStart w:id="33" w:name="_Toc15377213"/>
      <w:bookmarkStart w:id="34" w:name="_Toc15377444"/>
      <w:bookmarkStart w:id="35" w:name="_Toc15378460"/>
      <w:r>
        <w:rPr>
          <w:rFonts w:hint="eastAsia" w:ascii="仿宋" w:hAnsi="仿宋" w:eastAsia="仿宋"/>
          <w:b/>
          <w:color w:val="000000" w:themeColor="text1"/>
          <w:sz w:val="32"/>
          <w:szCs w:val="32"/>
          <w14:textFill>
            <w14:solidFill>
              <w14:schemeClr w14:val="tx1"/>
            </w14:solidFill>
          </w14:textFill>
        </w:rPr>
        <w:t>2022年一般公共预算支出决算数为7.19万元</w:t>
      </w:r>
      <w:r>
        <w:rPr>
          <w:rFonts w:hint="eastAsia" w:ascii="仿宋" w:hAnsi="仿宋" w:eastAsia="仿宋"/>
          <w:color w:val="000000" w:themeColor="text1"/>
          <w:sz w:val="32"/>
          <w:szCs w:val="32"/>
          <w14:textFill>
            <w14:solidFill>
              <w14:schemeClr w14:val="tx1"/>
            </w14:solidFill>
          </w14:textFill>
        </w:rPr>
        <w:t>，</w:t>
      </w:r>
      <w:r>
        <w:rPr>
          <w:rStyle w:val="17"/>
          <w:rFonts w:hint="eastAsia" w:ascii="仿宋" w:hAnsi="仿宋" w:eastAsia="仿宋"/>
          <w:bCs/>
          <w:color w:val="000000" w:themeColor="text1"/>
          <w:sz w:val="32"/>
          <w:szCs w:val="32"/>
          <w14:textFill>
            <w14:solidFill>
              <w14:schemeClr w14:val="tx1"/>
            </w14:solidFill>
          </w14:textFill>
        </w:rPr>
        <w:t>完成</w:t>
      </w:r>
      <w:r>
        <w:rPr>
          <w:rStyle w:val="17"/>
          <w:rFonts w:hint="eastAsia" w:ascii="仿宋" w:hAnsi="仿宋" w:eastAsia="仿宋"/>
          <w:bCs/>
          <w:color w:val="000000"/>
          <w:sz w:val="32"/>
          <w:szCs w:val="32"/>
        </w:rPr>
        <w:t>预算100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3"/>
      <w:bookmarkEnd w:id="34"/>
      <w:bookmarkEnd w:id="35"/>
    </w:p>
    <w:p>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 w:val="0"/>
          <w:color w:val="000000"/>
          <w:sz w:val="32"/>
          <w:szCs w:val="32"/>
        </w:rPr>
        <w:t>1</w:t>
      </w:r>
      <w:r>
        <w:rPr>
          <w:rStyle w:val="17"/>
          <w:rFonts w:hint="eastAsia" w:ascii="仿宋" w:hAnsi="仿宋" w:eastAsia="仿宋"/>
          <w:bCs/>
          <w:color w:val="000000"/>
          <w:sz w:val="32"/>
          <w:szCs w:val="32"/>
        </w:rPr>
        <w:t xml:space="preserve">.文化体育与传媒支出（类）文化（款）群众文化（项）: </w:t>
      </w:r>
      <w:r>
        <w:rPr>
          <w:rStyle w:val="17"/>
          <w:rFonts w:hint="eastAsia" w:ascii="仿宋" w:hAnsi="仿宋" w:eastAsia="仿宋"/>
          <w:b w:val="0"/>
          <w:bCs/>
          <w:color w:val="000000"/>
          <w:sz w:val="32"/>
          <w:szCs w:val="32"/>
        </w:rPr>
        <w:t>支出决算为7.19万元，完成预算100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，决算数等于预算数的主要原因是严格按照财政规定支付群众文化经费。</w:t>
      </w:r>
    </w:p>
    <w:p>
      <w:pPr>
        <w:pStyle w:val="19"/>
        <w:rPr>
          <w:rFonts w:hint="default"/>
        </w:rPr>
      </w:pPr>
    </w:p>
    <w:p>
      <w:pPr>
        <w:tabs>
          <w:tab w:val="right" w:pos="8306"/>
        </w:tabs>
        <w:spacing w:line="600" w:lineRule="exact"/>
        <w:ind w:firstLine="640"/>
        <w:outlineLvl w:val="1"/>
        <w:rPr>
          <w:rStyle w:val="29"/>
        </w:rPr>
      </w:pPr>
      <w:bookmarkStart w:id="36" w:name="_Toc15396608"/>
      <w:bookmarkStart w:id="37"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36"/>
      <w:bookmarkEnd w:id="37"/>
      <w:r>
        <w:rPr>
          <w:rStyle w:val="29"/>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2022年一般公共预算财政拨款基本支出7.19万元，其中：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人员经费7.19万元，主要包括：基本工资、津贴补贴、奖金、等。</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　　公用经费0万元，因本单位是2022年10月新成立单位。</w:t>
      </w:r>
    </w:p>
    <w:p>
      <w:pPr>
        <w:spacing w:line="600" w:lineRule="exact"/>
        <w:ind w:firstLine="640"/>
        <w:outlineLvl w:val="1"/>
        <w:rPr>
          <w:rStyle w:val="29"/>
          <w:rFonts w:ascii="黑体" w:hAnsi="黑体" w:eastAsia="黑体"/>
          <w:b w:val="0"/>
        </w:rPr>
      </w:pPr>
      <w:bookmarkStart w:id="38" w:name="_Toc15396609"/>
      <w:bookmarkStart w:id="39" w:name="_Toc15377215"/>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38"/>
      <w:bookmarkEnd w:id="39"/>
    </w:p>
    <w:p>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2022年“三公”经费财政拨款支出决算为0万元，因本单位是2022年10月新成立单位。主</w:t>
      </w:r>
    </w:p>
    <w:p>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pPr>
        <w:spacing w:line="360" w:lineRule="auto"/>
        <w:ind w:firstLine="641"/>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080000" cy="3810000"/>
            <wp:effectExtent l="4445" t="4445"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3"/>
        </w:numPr>
        <w:spacing w:line="600" w:lineRule="exact"/>
        <w:ind w:firstLine="640"/>
        <w:rPr>
          <w:rFonts w:hint="eastAsia" w:ascii="仿宋" w:hAnsi="仿宋" w:eastAsia="仿宋" w:cs="仿宋"/>
          <w:b/>
          <w:color w:val="000000"/>
          <w:sz w:val="32"/>
          <w:szCs w:val="32"/>
        </w:rPr>
      </w:pPr>
      <w:r>
        <w:rPr>
          <w:rFonts w:hint="eastAsia" w:ascii="仿宋" w:hAnsi="仿宋" w:eastAsia="仿宋" w:cs="仿宋"/>
          <w:b/>
          <w:color w:val="000000"/>
          <w:sz w:val="32"/>
          <w:szCs w:val="32"/>
        </w:rPr>
        <w:t>因公出国（境）经费支出</w:t>
      </w:r>
      <w:r>
        <w:rPr>
          <w:rFonts w:hint="eastAsia" w:ascii="仿宋" w:hAnsi="仿宋" w:eastAsia="仿宋" w:cs="仿宋"/>
          <w:color w:val="000000"/>
          <w:sz w:val="32"/>
          <w:szCs w:val="32"/>
        </w:rPr>
        <w:t>0万元，因本单位是2022年10月新成立单位。</w:t>
      </w:r>
    </w:p>
    <w:p>
      <w:pPr>
        <w:numPr>
          <w:ilvl w:val="0"/>
          <w:numId w:val="3"/>
        </w:numPr>
        <w:spacing w:line="600" w:lineRule="exact"/>
        <w:ind w:firstLine="640"/>
        <w:rPr>
          <w:rFonts w:hint="eastAsia" w:ascii="仿宋" w:hAnsi="仿宋" w:eastAsia="仿宋" w:cs="仿宋"/>
          <w:b/>
          <w:color w:val="000000"/>
          <w:sz w:val="32"/>
          <w:szCs w:val="32"/>
        </w:rPr>
      </w:pPr>
      <w:r>
        <w:rPr>
          <w:rFonts w:hint="eastAsia" w:ascii="仿宋" w:hAnsi="仿宋" w:eastAsia="仿宋" w:cs="仿宋"/>
          <w:b/>
          <w:color w:val="000000"/>
          <w:sz w:val="32"/>
          <w:szCs w:val="32"/>
        </w:rPr>
        <w:t>公务用车购置及运行维护费支出</w:t>
      </w:r>
      <w:r>
        <w:rPr>
          <w:rFonts w:hint="eastAsia" w:ascii="仿宋" w:hAnsi="仿宋" w:eastAsia="仿宋" w:cs="仿宋"/>
          <w:color w:val="000000"/>
          <w:sz w:val="32"/>
          <w:szCs w:val="32"/>
        </w:rPr>
        <w:t>0万元,因本单位是2022年10月新成立单位</w:t>
      </w:r>
      <w:r>
        <w:rPr>
          <w:rStyle w:val="17"/>
          <w:rFonts w:hint="eastAsia" w:ascii="仿宋" w:hAnsi="仿宋" w:eastAsia="仿宋" w:cs="仿宋"/>
          <w:b w:val="0"/>
          <w:bCs/>
          <w:color w:val="000000"/>
          <w:sz w:val="32"/>
          <w:szCs w:val="32"/>
        </w:rPr>
        <w:t>。</w:t>
      </w:r>
    </w:p>
    <w:p>
      <w:pPr>
        <w:spacing w:line="600" w:lineRule="exact"/>
        <w:ind w:firstLine="640" w:firstLineChars="200"/>
        <w:rPr>
          <w:rFonts w:hint="eastAsia" w:ascii="仿宋" w:hAnsi="仿宋" w:eastAsia="仿宋" w:cs="仿宋"/>
          <w:b/>
          <w:sz w:val="32"/>
          <w:szCs w:val="32"/>
        </w:rPr>
      </w:pPr>
      <w:r>
        <w:rPr>
          <w:rFonts w:hint="eastAsia" w:ascii="仿宋" w:hAnsi="仿宋" w:eastAsia="仿宋" w:cs="仿宋"/>
          <w:color w:val="000000"/>
          <w:sz w:val="32"/>
          <w:szCs w:val="32"/>
        </w:rPr>
        <w:t>其中：</w:t>
      </w:r>
      <w:r>
        <w:rPr>
          <w:rFonts w:hint="eastAsia" w:ascii="仿宋" w:hAnsi="仿宋" w:eastAsia="仿宋" w:cs="仿宋"/>
          <w:b/>
          <w:color w:val="000000"/>
          <w:sz w:val="32"/>
          <w:szCs w:val="32"/>
        </w:rPr>
        <w:t>公务用车购置支出</w:t>
      </w:r>
      <w:r>
        <w:rPr>
          <w:rFonts w:hint="eastAsia" w:ascii="仿宋" w:hAnsi="仿宋" w:eastAsia="仿宋" w:cs="仿宋"/>
          <w:color w:val="000000"/>
          <w:sz w:val="32"/>
          <w:szCs w:val="32"/>
        </w:rPr>
        <w:t>0万元。全年按规定更新购置公务用车0辆，其中：轿车0辆、金额0万元，越野车0辆、金额0万元，载客汽车0辆、金额0万元。截至2020年12月底，单位共有公务用车0辆，其中：轿车0辆、越野车0辆、</w:t>
      </w:r>
      <w:r>
        <w:rPr>
          <w:rFonts w:hint="eastAsia" w:ascii="仿宋" w:hAnsi="仿宋" w:eastAsia="仿宋" w:cs="仿宋"/>
          <w:sz w:val="32"/>
          <w:szCs w:val="32"/>
        </w:rPr>
        <w:t>载客汽车0辆。</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公务用车运行维护费支出</w:t>
      </w:r>
      <w:r>
        <w:rPr>
          <w:rFonts w:hint="eastAsia" w:ascii="仿宋" w:hAnsi="仿宋" w:eastAsia="仿宋" w:cs="仿宋"/>
          <w:sz w:val="32"/>
          <w:szCs w:val="32"/>
        </w:rPr>
        <w:t>0万元。</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外事接待支出</w:t>
      </w:r>
      <w:r>
        <w:rPr>
          <w:rFonts w:hint="eastAsia" w:ascii="仿宋" w:hAnsi="仿宋" w:eastAsia="仿宋" w:cs="仿宋"/>
          <w:sz w:val="32"/>
          <w:szCs w:val="32"/>
        </w:rPr>
        <w:t>0万元，外事接待0批次，0人，共计支出0万元。</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其他国内公务接待支出</w:t>
      </w:r>
      <w:r>
        <w:rPr>
          <w:rFonts w:hint="eastAsia" w:ascii="仿宋" w:hAnsi="仿宋" w:eastAsia="仿宋" w:cs="仿宋"/>
          <w:sz w:val="32"/>
          <w:szCs w:val="32"/>
        </w:rPr>
        <w:t>0万元。</w:t>
      </w:r>
    </w:p>
    <w:p>
      <w:pPr>
        <w:spacing w:line="600" w:lineRule="exact"/>
        <w:ind w:firstLine="640"/>
        <w:outlineLvl w:val="1"/>
        <w:rPr>
          <w:rStyle w:val="29"/>
          <w:rFonts w:hint="eastAsia" w:ascii="仿宋" w:hAnsi="仿宋" w:eastAsia="仿宋" w:cs="仿宋"/>
        </w:rPr>
      </w:pPr>
      <w:bookmarkStart w:id="42" w:name="_Toc15377218"/>
      <w:bookmarkStart w:id="43" w:name="_Toc15396610"/>
      <w:r>
        <w:rPr>
          <w:rFonts w:hint="eastAsia" w:ascii="仿宋" w:hAnsi="仿宋" w:eastAsia="仿宋" w:cs="仿宋"/>
          <w:sz w:val="32"/>
          <w:szCs w:val="32"/>
        </w:rPr>
        <w:t>八、</w:t>
      </w:r>
      <w:r>
        <w:rPr>
          <w:rStyle w:val="29"/>
          <w:rFonts w:hint="eastAsia" w:ascii="仿宋" w:hAnsi="仿宋" w:eastAsia="仿宋" w:cs="仿宋"/>
          <w:b w:val="0"/>
        </w:rPr>
        <w:t>政府性基金预算支出决算情况说明</w:t>
      </w:r>
      <w:bookmarkEnd w:id="42"/>
      <w:bookmarkEnd w:id="43"/>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2022年政府性基金预算拨款支出0万元。</w:t>
      </w:r>
    </w:p>
    <w:p>
      <w:pPr>
        <w:numPr>
          <w:ilvl w:val="0"/>
          <w:numId w:val="4"/>
        </w:numPr>
        <w:spacing w:line="600" w:lineRule="exact"/>
        <w:ind w:firstLine="640"/>
        <w:outlineLvl w:val="1"/>
        <w:rPr>
          <w:rStyle w:val="29"/>
          <w:rFonts w:hint="eastAsia" w:ascii="仿宋" w:hAnsi="仿宋" w:eastAsia="仿宋" w:cs="仿宋"/>
          <w:b w:val="0"/>
        </w:rPr>
      </w:pPr>
      <w:bookmarkStart w:id="44" w:name="_Toc15396611"/>
      <w:bookmarkStart w:id="45" w:name="_Toc15377219"/>
      <w:r>
        <w:rPr>
          <w:rStyle w:val="29"/>
          <w:rFonts w:hint="eastAsia" w:ascii="仿宋" w:hAnsi="仿宋" w:eastAsia="仿宋" w:cs="仿宋"/>
          <w:b w:val="0"/>
        </w:rPr>
        <w:t>国有资本经营预算支出决算情况说明</w:t>
      </w:r>
      <w:bookmarkEnd w:id="44"/>
      <w:bookmarkEnd w:id="45"/>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2022年国有资本经营预算拨款支出0万元。</w:t>
      </w:r>
    </w:p>
    <w:p>
      <w:pPr>
        <w:spacing w:line="600" w:lineRule="exact"/>
        <w:ind w:firstLine="640" w:firstLineChars="200"/>
        <w:outlineLvl w:val="1"/>
        <w:rPr>
          <w:rStyle w:val="29"/>
          <w:rFonts w:hint="eastAsia" w:ascii="仿宋" w:hAnsi="仿宋" w:eastAsia="仿宋" w:cs="仿宋"/>
        </w:rPr>
      </w:pPr>
      <w:r>
        <w:rPr>
          <w:rFonts w:hint="eastAsia" w:ascii="仿宋" w:hAnsi="仿宋" w:eastAsia="仿宋" w:cs="仿宋"/>
          <w:sz w:val="32"/>
          <w:szCs w:val="32"/>
        </w:rPr>
        <w:t>十</w:t>
      </w:r>
      <w:r>
        <w:rPr>
          <w:rStyle w:val="29"/>
          <w:rFonts w:hint="eastAsia" w:ascii="仿宋" w:hAnsi="仿宋" w:eastAsia="仿宋" w:cs="仿宋"/>
        </w:rPr>
        <w:t>、</w:t>
      </w:r>
      <w:r>
        <w:rPr>
          <w:rStyle w:val="29"/>
          <w:rFonts w:hint="eastAsia" w:ascii="仿宋" w:hAnsi="仿宋" w:eastAsia="仿宋" w:cs="仿宋"/>
          <w:b w:val="0"/>
        </w:rPr>
        <w:t>其他重要事项的情况说明</w:t>
      </w:r>
    </w:p>
    <w:p>
      <w:pPr>
        <w:spacing w:line="600" w:lineRule="exact"/>
        <w:ind w:firstLine="643" w:firstLineChars="200"/>
        <w:outlineLvl w:val="2"/>
        <w:rPr>
          <w:rFonts w:hint="eastAsia" w:ascii="仿宋" w:hAnsi="仿宋" w:eastAsia="仿宋" w:cs="仿宋"/>
          <w:sz w:val="32"/>
          <w:szCs w:val="32"/>
        </w:rPr>
      </w:pPr>
      <w:r>
        <w:rPr>
          <w:rFonts w:hint="eastAsia" w:ascii="仿宋" w:hAnsi="仿宋" w:eastAsia="仿宋" w:cs="仿宋"/>
          <w:b/>
          <w:sz w:val="32"/>
          <w:szCs w:val="32"/>
        </w:rPr>
        <w:t>（一）机关运行经费支出情况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2022年，遂宁市安居区遂宁市海龙凯歌文化旅游产业园区管理委员人民政府机关运行经费财政拨款预算为0万元.本单位是2022年10月新成立单位。</w:t>
      </w:r>
    </w:p>
    <w:p>
      <w:pPr>
        <w:autoSpaceDE w:val="0"/>
        <w:autoSpaceDN w:val="0"/>
        <w:adjustRightInd w:val="0"/>
        <w:spacing w:line="600" w:lineRule="exact"/>
        <w:ind w:firstLine="643" w:firstLineChars="200"/>
        <w:jc w:val="left"/>
        <w:outlineLvl w:val="2"/>
        <w:rPr>
          <w:rFonts w:hint="eastAsia" w:ascii="仿宋" w:hAnsi="仿宋" w:eastAsia="仿宋" w:cs="仿宋"/>
          <w:b/>
          <w:sz w:val="32"/>
          <w:szCs w:val="32"/>
        </w:rPr>
      </w:pPr>
      <w:bookmarkStart w:id="46" w:name="_Toc15377223"/>
      <w:r>
        <w:rPr>
          <w:rFonts w:hint="eastAsia" w:ascii="仿宋" w:hAnsi="仿宋" w:eastAsia="仿宋" w:cs="仿宋"/>
          <w:b/>
          <w:sz w:val="32"/>
          <w:szCs w:val="32"/>
        </w:rPr>
        <w:t>（二）政府采购支出情况</w:t>
      </w:r>
      <w:bookmarkEnd w:id="46"/>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2022年，遂宁市安居区遂宁市安居区遂宁市海龙凯歌文化旅游产业园区管理委员人民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580" w:lineRule="exact"/>
        <w:ind w:firstLine="640" w:firstLineChars="200"/>
        <w:rPr>
          <w:rFonts w:hint="eastAsia" w:ascii="仿宋" w:hAnsi="仿宋" w:eastAsia="仿宋" w:cs="仿宋"/>
          <w:sz w:val="32"/>
          <w:szCs w:val="32"/>
        </w:rPr>
      </w:pPr>
    </w:p>
    <w:p>
      <w:pPr>
        <w:autoSpaceDE w:val="0"/>
        <w:autoSpaceDN w:val="0"/>
        <w:adjustRightInd w:val="0"/>
        <w:spacing w:line="600" w:lineRule="exact"/>
        <w:ind w:firstLine="643" w:firstLineChars="200"/>
        <w:jc w:val="left"/>
        <w:outlineLvl w:val="2"/>
        <w:rPr>
          <w:rFonts w:hint="eastAsia" w:ascii="仿宋" w:hAnsi="仿宋" w:eastAsia="仿宋" w:cs="仿宋"/>
          <w:b/>
          <w:sz w:val="32"/>
          <w:szCs w:val="32"/>
        </w:rPr>
      </w:pPr>
      <w:bookmarkStart w:id="47" w:name="_Toc15377224"/>
      <w:r>
        <w:rPr>
          <w:rFonts w:hint="eastAsia" w:ascii="仿宋" w:hAnsi="仿宋" w:eastAsia="仿宋" w:cs="仿宋"/>
          <w:b/>
          <w:sz w:val="32"/>
          <w:szCs w:val="32"/>
        </w:rPr>
        <w:t>（三）国有资产占有使用情况</w:t>
      </w:r>
      <w:bookmarkEnd w:id="47"/>
    </w:p>
    <w:p>
      <w:pPr>
        <w:pStyle w:val="2"/>
        <w:ind w:left="420" w:leftChars="200"/>
        <w:rPr>
          <w:rFonts w:hint="eastAsia" w:ascii="仿宋" w:hAnsi="仿宋" w:eastAsia="仿宋" w:cs="仿宋"/>
        </w:rPr>
      </w:pPr>
    </w:p>
    <w:p>
      <w:pPr>
        <w:pStyle w:val="2"/>
        <w:ind w:left="420" w:leftChars="200" w:firstLine="640" w:firstLineChars="200"/>
        <w:rPr>
          <w:rFonts w:hint="eastAsia" w:ascii="仿宋" w:hAnsi="仿宋" w:eastAsia="仿宋" w:cs="仿宋"/>
          <w:sz w:val="32"/>
          <w:szCs w:val="32"/>
        </w:rPr>
      </w:pPr>
      <w:r>
        <w:rPr>
          <w:rFonts w:hint="eastAsia" w:ascii="仿宋" w:hAnsi="仿宋" w:eastAsia="仿宋" w:cs="仿宋"/>
          <w:sz w:val="32"/>
          <w:szCs w:val="32"/>
        </w:rPr>
        <w:t>截至2022年12月31日，遂宁市安居区遂宁市安居区遂宁市海龙凯歌文化旅游产业园区管理委员人民政府共有车辆0辆，其中：部级领导干部用车0辆、一般公务用车0辆、一般执法执勤用车0辆、特种专业技术用车0辆、其他用车0辆。单价100万元以上专用设备0台。</w:t>
      </w:r>
    </w:p>
    <w:p>
      <w:pPr>
        <w:autoSpaceDE w:val="0"/>
        <w:autoSpaceDN w:val="0"/>
        <w:adjustRightInd w:val="0"/>
        <w:spacing w:line="600" w:lineRule="exact"/>
        <w:ind w:firstLine="643" w:firstLineChars="200"/>
        <w:jc w:val="left"/>
        <w:outlineLvl w:val="2"/>
        <w:rPr>
          <w:rFonts w:hint="eastAsia" w:ascii="仿宋" w:hAnsi="仿宋" w:eastAsia="仿宋" w:cs="仿宋"/>
          <w:b/>
          <w:sz w:val="32"/>
          <w:szCs w:val="32"/>
        </w:rPr>
      </w:pPr>
      <w:r>
        <w:rPr>
          <w:rFonts w:hint="eastAsia" w:ascii="仿宋" w:hAnsi="仿宋" w:eastAsia="仿宋" w:cs="仿宋"/>
          <w:b/>
          <w:sz w:val="32"/>
          <w:szCs w:val="32"/>
        </w:rPr>
        <w:t>（四）预算绩效管理情况</w:t>
      </w:r>
    </w:p>
    <w:p>
      <w:pPr>
        <w:pStyle w:val="7"/>
        <w:spacing w:before="93"/>
        <w:ind w:firstLine="640" w:firstLineChars="200"/>
        <w:rPr>
          <w:rFonts w:hint="eastAsia" w:ascii="仿宋" w:hAnsi="仿宋" w:eastAsia="仿宋" w:cs="仿宋"/>
          <w:highlight w:val="yellow"/>
        </w:rPr>
      </w:pPr>
      <w:r>
        <w:rPr>
          <w:rFonts w:hint="eastAsia" w:ascii="仿宋" w:hAnsi="仿宋" w:eastAsia="仿宋" w:cs="仿宋"/>
          <w:sz w:val="32"/>
          <w:szCs w:val="32"/>
        </w:rPr>
        <w:t>根据预算绩效管理要求，本单位是2022年度10月新成立单位。无项目预算编制.</w:t>
      </w:r>
    </w:p>
    <w:p>
      <w:pPr>
        <w:spacing w:line="600" w:lineRule="exact"/>
        <w:jc w:val="center"/>
        <w:outlineLvl w:val="0"/>
        <w:rPr>
          <w:rFonts w:ascii="黑体" w:hAnsi="黑体" w:eastAsia="黑体"/>
          <w:sz w:val="44"/>
          <w:szCs w:val="44"/>
        </w:rPr>
      </w:pPr>
    </w:p>
    <w:p>
      <w:pPr>
        <w:spacing w:line="600" w:lineRule="exact"/>
        <w:jc w:val="center"/>
        <w:outlineLvl w:val="0"/>
        <w:rPr>
          <w:rStyle w:val="28"/>
          <w:rFonts w:ascii="黑体" w:hAnsi="黑体" w:eastAsia="黑体"/>
          <w:b w:val="0"/>
        </w:rPr>
      </w:pPr>
      <w:r>
        <w:rPr>
          <w:rFonts w:hint="eastAsia" w:ascii="黑体" w:hAnsi="黑体" w:eastAsia="黑体"/>
          <w:sz w:val="44"/>
          <w:szCs w:val="44"/>
        </w:rPr>
        <w:t>第三</w:t>
      </w:r>
      <w:r>
        <w:rPr>
          <w:rStyle w:val="28"/>
          <w:rFonts w:hint="eastAsia" w:ascii="黑体" w:hAnsi="黑体" w:eastAsia="黑体"/>
          <w:b w:val="0"/>
        </w:rPr>
        <w:t>部分 名词解释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4.其他收入：指单位取得的除上述收入以外的各项收入。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6.年初结转和结余：指以前年度尚未完成、结转到本年按有关规定继续使用的资金。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7.结余分配：指事业单位按照事业单位会计制度的规定从非财政补助结余中分配的事业基金和职工福利基金等。</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8、年末结转和结余：指单位按有关规定结转到下年或以后年度继续使用的资金。</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 文化体育与传媒支出（类）文化和旅游支出（款）行政运行（项），主要用于：行政人员基本工资、津贴补贴、绩效目标、福利费、办公费、手续费、差旅费、电费、邮电费等。</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 文化体育与传媒支出（类）其他文化和旅游支出（款）事业运行（项），主要用于：事业人员基本工资、津贴补贴、绩效目标、福利费、办公费、手续费、差旅费、电费、邮电费等。</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 社会保障和就业支出（类）其他社会保障和就业支出（款）其他社会保障和就业支出（项），主要用于：其他社会保障和就业支出。</w:t>
      </w:r>
    </w:p>
    <w:p>
      <w:pPr>
        <w:pStyle w:val="26"/>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w:t>
      </w:r>
      <w:r>
        <w:rPr>
          <w:rFonts w:hint="eastAsia" w:hAnsi="仿宋" w:cs="仿宋"/>
          <w:sz w:val="32"/>
          <w:szCs w:val="32"/>
          <w:lang w:val="en-US" w:eastAsia="zh-CN"/>
        </w:rPr>
        <w:t>卫生健康支出</w:t>
      </w:r>
      <w:r>
        <w:rPr>
          <w:rFonts w:hint="eastAsia" w:ascii="仿宋" w:hAnsi="仿宋" w:eastAsia="仿宋" w:cs="仿宋"/>
          <w:sz w:val="32"/>
          <w:szCs w:val="32"/>
        </w:rPr>
        <w:t>（类）行政事业单位医疗（款）行政单位医疗（项），主要用于：基本医疗保险缴费、其他社会保障缴费。</w:t>
      </w:r>
    </w:p>
    <w:p>
      <w:pPr>
        <w:pStyle w:val="26"/>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13. </w:t>
      </w:r>
      <w:r>
        <w:rPr>
          <w:rFonts w:hint="eastAsia" w:hAnsi="仿宋" w:cs="仿宋"/>
          <w:sz w:val="32"/>
          <w:szCs w:val="32"/>
          <w:lang w:val="en-US" w:eastAsia="zh-CN"/>
        </w:rPr>
        <w:t>卫生健康支出</w:t>
      </w:r>
      <w:r>
        <w:rPr>
          <w:rFonts w:hint="eastAsia" w:ascii="仿宋" w:hAnsi="仿宋" w:eastAsia="仿宋" w:cs="仿宋"/>
          <w:sz w:val="32"/>
          <w:szCs w:val="32"/>
        </w:rPr>
        <w:t>（类）行政事业单位医疗（款）公务员医疗补助（项），主要用于：公务员医疗补助缴费。</w:t>
      </w:r>
    </w:p>
    <w:p>
      <w:p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14.住房保障支出（类）住房改革支出（款）住房公积金（项），主要用于：缴纳住房公积金。</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15.基本支出：指为保障机构正常运转、完成日常工作任务而发生的人员支出和公用支出。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16.项目支出：指在基本支出之外为完成特定行政任务和事业发展目标所发生的支出。 </w:t>
      </w:r>
    </w:p>
    <w:p>
      <w:pPr>
        <w:pStyle w:val="26"/>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rPr>
          <w:rFonts w:hint="eastAsia" w:ascii="仿宋" w:hAnsi="仿宋" w:eastAsia="仿宋" w:cs="仿宋"/>
        </w:rPr>
      </w:pPr>
    </w:p>
    <w:p>
      <w:pPr>
        <w:rPr>
          <w:rFonts w:hint="eastAsia" w:ascii="仿宋" w:hAnsi="仿宋" w:eastAsia="仿宋" w:cs="仿宋"/>
        </w:rPr>
      </w:pPr>
    </w:p>
    <w:p>
      <w:pPr>
        <w:pStyle w:val="2"/>
      </w:pPr>
    </w:p>
    <w:p/>
    <w:p>
      <w:pPr>
        <w:pStyle w:val="2"/>
      </w:pPr>
    </w:p>
    <w:p/>
    <w:p>
      <w:pPr>
        <w:pStyle w:val="2"/>
      </w:pPr>
    </w:p>
    <w:p/>
    <w:p>
      <w:pPr>
        <w:pStyle w:val="2"/>
      </w:pPr>
    </w:p>
    <w:p>
      <w:pPr>
        <w:pStyle w:val="2"/>
      </w:pPr>
    </w:p>
    <w:p>
      <w:pPr>
        <w:numPr>
          <w:ilvl w:val="0"/>
          <w:numId w:val="5"/>
        </w:numPr>
        <w:spacing w:line="600" w:lineRule="exact"/>
        <w:jc w:val="center"/>
        <w:outlineLvl w:val="0"/>
        <w:rPr>
          <w:rStyle w:val="28"/>
          <w:rFonts w:hint="eastAsia" w:ascii="黑体" w:hAnsi="黑体" w:eastAsia="黑体"/>
        </w:rPr>
      </w:pPr>
      <w:bookmarkStart w:id="48" w:name="_Toc15396616"/>
      <w:r>
        <w:rPr>
          <w:rStyle w:val="28"/>
          <w:rFonts w:hint="eastAsia" w:ascii="黑体" w:hAnsi="黑体" w:eastAsia="黑体"/>
        </w:rPr>
        <w:t>附件</w:t>
      </w:r>
    </w:p>
    <w:p>
      <w:pPr>
        <w:pStyle w:val="2"/>
        <w:widowControl w:val="0"/>
        <w:numPr>
          <w:ilvl w:val="0"/>
          <w:numId w:val="0"/>
        </w:numPr>
        <w:jc w:val="both"/>
      </w:pPr>
    </w:p>
    <w:p/>
    <w:p>
      <w:pPr>
        <w:pStyle w:val="2"/>
      </w:pPr>
    </w:p>
    <w:p>
      <w:pPr>
        <w:pStyle w:val="2"/>
        <w:jc w:val="center"/>
      </w:pPr>
      <w:r>
        <w:rPr>
          <w:rFonts w:hint="eastAsia"/>
          <w:sz w:val="30"/>
          <w:szCs w:val="30"/>
          <w:lang w:val="en-US" w:eastAsia="zh-CN"/>
        </w:rPr>
        <w:t>本单位是2022年10月新成立单位，无项目</w:t>
      </w:r>
    </w:p>
    <w:p>
      <w:pPr>
        <w:rPr>
          <w:rFonts w:hint="eastAsia"/>
        </w:rPr>
      </w:pPr>
    </w:p>
    <w:bookmarkEnd w:id="48"/>
    <w:p>
      <w:pPr>
        <w:spacing w:line="600" w:lineRule="exact"/>
        <w:ind w:firstLine="2640" w:firstLineChars="600"/>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Start w:id="49"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49"/>
    </w:p>
    <w:p>
      <w:pPr>
        <w:pStyle w:val="4"/>
        <w:rPr>
          <w:rFonts w:ascii="仿宋" w:hAnsi="仿宋" w:eastAsia="仿宋"/>
        </w:rPr>
      </w:pPr>
      <w:bookmarkStart w:id="50" w:name="_Toc15396620"/>
      <w:r>
        <w:rPr>
          <w:rFonts w:hint="eastAsia" w:ascii="仿宋" w:hAnsi="仿宋" w:eastAsia="仿宋"/>
          <w:b w:val="0"/>
        </w:rPr>
        <w:t>二、收</w:t>
      </w:r>
      <w:r>
        <w:rPr>
          <w:rStyle w:val="29"/>
          <w:rFonts w:hint="eastAsia" w:ascii="仿宋" w:hAnsi="仿宋" w:eastAsia="仿宋"/>
          <w:b w:val="0"/>
          <w:bCs w:val="0"/>
        </w:rPr>
        <w:t>入决算表</w:t>
      </w:r>
      <w:bookmarkEnd w:id="50"/>
    </w:p>
    <w:p>
      <w:pPr>
        <w:pStyle w:val="4"/>
        <w:rPr>
          <w:rFonts w:ascii="仿宋" w:hAnsi="仿宋" w:eastAsia="仿宋"/>
        </w:rPr>
      </w:pPr>
      <w:bookmarkStart w:id="51"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1"/>
    </w:p>
    <w:p>
      <w:pPr>
        <w:pStyle w:val="4"/>
        <w:rPr>
          <w:rFonts w:ascii="仿宋" w:hAnsi="仿宋" w:eastAsia="仿宋"/>
          <w:b w:val="0"/>
        </w:rPr>
      </w:pPr>
      <w:bookmarkStart w:id="52"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2"/>
    </w:p>
    <w:p>
      <w:pPr>
        <w:pStyle w:val="4"/>
        <w:rPr>
          <w:rStyle w:val="29"/>
          <w:rFonts w:ascii="仿宋" w:hAnsi="仿宋" w:eastAsia="仿宋"/>
          <w:b w:val="0"/>
          <w:bCs w:val="0"/>
        </w:rPr>
      </w:pPr>
      <w:bookmarkStart w:id="53"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3"/>
      <w:bookmarkStart w:id="54"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4"/>
    </w:p>
    <w:p>
      <w:pPr>
        <w:pStyle w:val="4"/>
        <w:rPr>
          <w:rFonts w:ascii="仿宋" w:hAnsi="仿宋" w:eastAsia="仿宋"/>
        </w:rPr>
      </w:pPr>
      <w:bookmarkStart w:id="55"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55"/>
    </w:p>
    <w:p>
      <w:pPr>
        <w:pStyle w:val="4"/>
        <w:rPr>
          <w:rFonts w:ascii="仿宋" w:hAnsi="仿宋" w:eastAsia="仿宋"/>
        </w:rPr>
      </w:pPr>
      <w:bookmarkStart w:id="56"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56"/>
    </w:p>
    <w:p>
      <w:pPr>
        <w:pStyle w:val="4"/>
        <w:rPr>
          <w:rFonts w:ascii="仿宋" w:hAnsi="仿宋" w:eastAsia="仿宋"/>
        </w:rPr>
      </w:pPr>
      <w:bookmarkStart w:id="57"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57"/>
    </w:p>
    <w:p>
      <w:pPr>
        <w:pStyle w:val="4"/>
        <w:rPr>
          <w:rFonts w:ascii="仿宋" w:hAnsi="仿宋" w:eastAsia="仿宋"/>
        </w:rPr>
      </w:pPr>
      <w:bookmarkStart w:id="58" w:name="_Toc15396628"/>
      <w:r>
        <w:rPr>
          <w:rStyle w:val="29"/>
          <w:rFonts w:hint="eastAsia" w:ascii="仿宋" w:hAnsi="仿宋" w:eastAsia="仿宋"/>
          <w:b w:val="0"/>
          <w:bCs w:val="0"/>
        </w:rPr>
        <w:t>十、</w:t>
      </w:r>
      <w:bookmarkEnd w:id="58"/>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59" w:name="_Toc15396629"/>
      <w:r>
        <w:rPr>
          <w:rStyle w:val="29"/>
          <w:rFonts w:hint="eastAsia" w:ascii="仿宋" w:hAnsi="仿宋" w:eastAsia="仿宋"/>
          <w:b w:val="0"/>
          <w:bCs w:val="0"/>
        </w:rPr>
        <w:t>十一、</w:t>
      </w:r>
      <w:bookmarkEnd w:id="59"/>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0" w:name="_Toc15396630"/>
      <w:r>
        <w:rPr>
          <w:rStyle w:val="29"/>
          <w:rFonts w:hint="eastAsia" w:ascii="仿宋" w:hAnsi="仿宋" w:eastAsia="仿宋"/>
          <w:b w:val="0"/>
          <w:bCs w:val="0"/>
        </w:rPr>
        <w:t>十二、</w:t>
      </w:r>
      <w:bookmarkEnd w:id="60"/>
      <w:r>
        <w:rPr>
          <w:rStyle w:val="29"/>
          <w:rFonts w:hint="eastAsia" w:ascii="仿宋" w:hAnsi="仿宋" w:eastAsia="仿宋"/>
          <w:b w:val="0"/>
          <w:bCs w:val="0"/>
        </w:rPr>
        <w:t>国有资本经营预算财政拨款支出决算表</w:t>
      </w:r>
    </w:p>
    <w:p>
      <w:pPr>
        <w:pStyle w:val="4"/>
        <w:rPr>
          <w:rFonts w:eastAsia="仿宋"/>
        </w:rPr>
      </w:pPr>
      <w:bookmarkStart w:id="61" w:name="_Toc15396631"/>
      <w:r>
        <w:rPr>
          <w:rStyle w:val="29"/>
          <w:rFonts w:hint="eastAsia" w:ascii="仿宋" w:hAnsi="仿宋" w:eastAsia="仿宋"/>
          <w:b w:val="0"/>
          <w:bCs w:val="0"/>
        </w:rPr>
        <w:t>十三、</w:t>
      </w:r>
      <w:bookmarkEnd w:id="61"/>
      <w:r>
        <w:rPr>
          <w:rStyle w:val="29"/>
          <w:rFonts w:hint="eastAsia" w:ascii="仿宋" w:hAnsi="仿宋" w:eastAsia="仿宋"/>
          <w:b w:val="0"/>
          <w:bCs w:val="0"/>
        </w:rPr>
        <w:t>财政拨款“三公”经费支出决算表</w:t>
      </w:r>
    </w:p>
    <w:p>
      <w:pPr>
        <w:ind w:firstLine="960" w:firstLineChars="300"/>
        <w:rPr>
          <w:rFonts w:ascii="楷体_GB2312" w:eastAsia="楷体_GB2312"/>
          <w:sz w:val="32"/>
          <w:szCs w:val="32"/>
        </w:rPr>
      </w:pPr>
    </w:p>
    <w:p>
      <w:pPr>
        <w:pStyle w:val="6"/>
        <w:numPr>
          <w:ilvl w:val="0"/>
          <w:numId w:val="0"/>
        </w:numPr>
        <w:rPr>
          <w:rFonts w:ascii="楷体_GB2312" w:eastAsia="楷体_GB2312"/>
          <w:sz w:val="32"/>
          <w:szCs w:val="32"/>
        </w:rPr>
        <w:sectPr>
          <w:headerReference r:id="rId3" w:type="default"/>
          <w:footerReference r:id="rId4" w:type="default"/>
          <w:pgSz w:w="11906" w:h="16838"/>
          <w:pgMar w:top="1440" w:right="1134" w:bottom="1440" w:left="1417" w:header="851" w:footer="992" w:gutter="0"/>
          <w:pgNumType w:start="1"/>
          <w:cols w:space="425" w:num="1"/>
          <w:titlePg/>
          <w:docGrid w:type="lines" w:linePitch="312" w:charSpace="0"/>
        </w:sectPr>
      </w:pPr>
    </w:p>
    <w:p>
      <w:pPr>
        <w:pStyle w:val="6"/>
        <w:numPr>
          <w:ilvl w:val="0"/>
          <w:numId w:val="0"/>
        </w:numPr>
        <w:rPr>
          <w:rFonts w:ascii="楷体_GB2312" w:eastAsia="楷体_GB2312"/>
          <w:sz w:val="32"/>
          <w:szCs w:val="32"/>
        </w:rPr>
      </w:pPr>
    </w:p>
    <w:p>
      <w:pPr>
        <w:pStyle w:val="6"/>
        <w:numPr>
          <w:ilvl w:val="0"/>
          <w:numId w:val="0"/>
        </w:numPr>
        <w:rPr>
          <w:rFonts w:ascii="楷体_GB2312" w:eastAsia="楷体_GB2312"/>
          <w:sz w:val="32"/>
          <w:szCs w:val="32"/>
        </w:rPr>
      </w:pPr>
    </w:p>
    <w:p>
      <w:pPr>
        <w:pStyle w:val="6"/>
        <w:numPr>
          <w:ilvl w:val="0"/>
          <w:numId w:val="0"/>
        </w:numPr>
        <w:rPr>
          <w:rFonts w:ascii="楷体_GB2312" w:eastAsia="楷体_GB2312"/>
          <w:sz w:val="32"/>
          <w:szCs w:val="32"/>
        </w:rPr>
      </w:pPr>
    </w:p>
    <w:p>
      <w:pPr>
        <w:pStyle w:val="6"/>
        <w:numPr>
          <w:ilvl w:val="0"/>
          <w:numId w:val="0"/>
        </w:numPr>
        <w:rPr>
          <w:rFonts w:ascii="楷体_GB2312" w:eastAsia="楷体_GB2312"/>
          <w:sz w:val="32"/>
          <w:szCs w:val="32"/>
        </w:rPr>
      </w:pPr>
    </w:p>
    <w:p>
      <w:pPr>
        <w:pStyle w:val="6"/>
        <w:numPr>
          <w:ilvl w:val="0"/>
          <w:numId w:val="0"/>
        </w:numPr>
        <w:rPr>
          <w:rFonts w:ascii="楷体_GB2312" w:eastAsia="楷体_GB2312"/>
          <w:sz w:val="32"/>
          <w:szCs w:val="32"/>
        </w:rPr>
      </w:pPr>
    </w:p>
    <w:p>
      <w:pPr>
        <w:pStyle w:val="6"/>
        <w:numPr>
          <w:ilvl w:val="0"/>
          <w:numId w:val="0"/>
        </w:numPr>
        <w:rPr>
          <w:rFonts w:ascii="楷体_GB2312" w:eastAsia="楷体_GB2312"/>
          <w:sz w:val="32"/>
          <w:szCs w:val="32"/>
        </w:rPr>
      </w:pPr>
    </w:p>
    <w:p>
      <w:pPr>
        <w:pStyle w:val="6"/>
        <w:numPr>
          <w:ilvl w:val="0"/>
          <w:numId w:val="0"/>
        </w:numPr>
        <w:rPr>
          <w:rFonts w:ascii="楷体_GB2312" w:eastAsia="楷体_GB2312"/>
          <w:sz w:val="32"/>
          <w:szCs w:val="32"/>
        </w:rPr>
      </w:pPr>
    </w:p>
    <w:bookmarkEnd w:id="6"/>
    <w:bookmarkEnd w:id="7"/>
    <w:p>
      <w:pPr>
        <w:rPr>
          <w:rFonts w:ascii="楷体_GB2312" w:eastAsia="楷体_GB2312"/>
          <w:sz w:val="32"/>
          <w:szCs w:val="32"/>
        </w:rPr>
      </w:pPr>
    </w:p>
    <w:p/>
    <w:p/>
    <w:p/>
    <w:p/>
    <w:p/>
    <w:p/>
    <w:p/>
    <w:p/>
    <w:p/>
    <w:p/>
    <w:p/>
    <w:p/>
    <w:p/>
    <w:p/>
    <w:p/>
    <w:p/>
    <w:p/>
    <w:p/>
    <w:p/>
    <w:p/>
    <w:p/>
    <w:p/>
    <w:p/>
    <w:p/>
    <w:p/>
    <w:p/>
    <w:p/>
    <w:p>
      <w:pPr>
        <w:tabs>
          <w:tab w:val="left" w:pos="7729"/>
        </w:tabs>
        <w:jc w:val="left"/>
      </w:pPr>
      <w:r>
        <w:rPr>
          <w:rFonts w:hint="eastAsia"/>
        </w:rPr>
        <w:tab/>
      </w:r>
    </w:p>
    <w:bookmarkEnd w:id="62"/>
    <w:sectPr>
      <w:footerReference r:id="rId6" w:type="first"/>
      <w:footerReference r:id="rId5" w:type="default"/>
      <w:pgSz w:w="11906" w:h="16838"/>
      <w:pgMar w:top="1440" w:right="1134" w:bottom="1440" w:left="141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18</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1CD5"/>
    <w:multiLevelType w:val="singleLevel"/>
    <w:tmpl w:val="997F1CD5"/>
    <w:lvl w:ilvl="0" w:tentative="0">
      <w:start w:val="4"/>
      <w:numFmt w:val="chineseCounting"/>
      <w:suff w:val="space"/>
      <w:lvlText w:val="第%1部分"/>
      <w:lvlJc w:val="left"/>
      <w:rPr>
        <w:rFonts w:hint="eastAsia"/>
      </w:rPr>
    </w:lvl>
  </w:abstractNum>
  <w:abstractNum w:abstractNumId="1">
    <w:nsid w:val="CA125603"/>
    <w:multiLevelType w:val="singleLevel"/>
    <w:tmpl w:val="CA125603"/>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6BC91BC"/>
    <w:multiLevelType w:val="singleLevel"/>
    <w:tmpl w:val="76BC91BC"/>
    <w:lvl w:ilvl="0" w:tentative="0">
      <w:start w:val="1"/>
      <w:numFmt w:val="decimal"/>
      <w:pStyle w:val="6"/>
      <w:lvlText w:val="%1."/>
      <w:lvlJc w:val="left"/>
      <w:pPr>
        <w:tabs>
          <w:tab w:val="left" w:pos="360"/>
        </w:tabs>
        <w:ind w:left="36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MzBhNTM2ZWY1ZWZkYmQyMTIwYjlkZWViZjc2NzAifQ=="/>
  </w:docVars>
  <w:rsids>
    <w:rsidRoot w:val="00F1361C"/>
    <w:rsid w:val="000222C6"/>
    <w:rsid w:val="0002549F"/>
    <w:rsid w:val="00042D00"/>
    <w:rsid w:val="0006487A"/>
    <w:rsid w:val="00065F8F"/>
    <w:rsid w:val="0007317A"/>
    <w:rsid w:val="000768F2"/>
    <w:rsid w:val="0009184B"/>
    <w:rsid w:val="0009593C"/>
    <w:rsid w:val="000B047F"/>
    <w:rsid w:val="000B5923"/>
    <w:rsid w:val="000B5A48"/>
    <w:rsid w:val="000B6FF3"/>
    <w:rsid w:val="000C3467"/>
    <w:rsid w:val="000C3CA6"/>
    <w:rsid w:val="000C60DA"/>
    <w:rsid w:val="000D1267"/>
    <w:rsid w:val="000D1D50"/>
    <w:rsid w:val="000D5782"/>
    <w:rsid w:val="000E6613"/>
    <w:rsid w:val="000E6F52"/>
    <w:rsid w:val="000E7119"/>
    <w:rsid w:val="00114E9B"/>
    <w:rsid w:val="00134EF0"/>
    <w:rsid w:val="0014729F"/>
    <w:rsid w:val="00157BAB"/>
    <w:rsid w:val="001654D1"/>
    <w:rsid w:val="0018106D"/>
    <w:rsid w:val="001877A7"/>
    <w:rsid w:val="00191536"/>
    <w:rsid w:val="00196687"/>
    <w:rsid w:val="001A7833"/>
    <w:rsid w:val="001C0962"/>
    <w:rsid w:val="001D3BFE"/>
    <w:rsid w:val="001D7531"/>
    <w:rsid w:val="001E737D"/>
    <w:rsid w:val="001F0592"/>
    <w:rsid w:val="001F7506"/>
    <w:rsid w:val="002006CD"/>
    <w:rsid w:val="00202B36"/>
    <w:rsid w:val="00204B7A"/>
    <w:rsid w:val="0020672B"/>
    <w:rsid w:val="0021101A"/>
    <w:rsid w:val="00220536"/>
    <w:rsid w:val="0023172C"/>
    <w:rsid w:val="00235629"/>
    <w:rsid w:val="002545C1"/>
    <w:rsid w:val="00260C38"/>
    <w:rsid w:val="002616C0"/>
    <w:rsid w:val="002662AA"/>
    <w:rsid w:val="00280496"/>
    <w:rsid w:val="00295495"/>
    <w:rsid w:val="002A3225"/>
    <w:rsid w:val="002B2613"/>
    <w:rsid w:val="002F1818"/>
    <w:rsid w:val="002F567B"/>
    <w:rsid w:val="003216A9"/>
    <w:rsid w:val="0037013F"/>
    <w:rsid w:val="00376923"/>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01D4"/>
    <w:rsid w:val="00496DA9"/>
    <w:rsid w:val="004A22F1"/>
    <w:rsid w:val="004A711F"/>
    <w:rsid w:val="004B199D"/>
    <w:rsid w:val="004B4690"/>
    <w:rsid w:val="004E0A2D"/>
    <w:rsid w:val="004E206B"/>
    <w:rsid w:val="004E6DF7"/>
    <w:rsid w:val="004F0FBD"/>
    <w:rsid w:val="00505A47"/>
    <w:rsid w:val="00512FDA"/>
    <w:rsid w:val="00520DA0"/>
    <w:rsid w:val="00560720"/>
    <w:rsid w:val="005664BB"/>
    <w:rsid w:val="0057481D"/>
    <w:rsid w:val="0058486E"/>
    <w:rsid w:val="005D0B76"/>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E021D"/>
    <w:rsid w:val="006E40E2"/>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317A"/>
    <w:rsid w:val="008253BB"/>
    <w:rsid w:val="0083706E"/>
    <w:rsid w:val="008423A5"/>
    <w:rsid w:val="00850625"/>
    <w:rsid w:val="00853718"/>
    <w:rsid w:val="00855221"/>
    <w:rsid w:val="00860645"/>
    <w:rsid w:val="00871F71"/>
    <w:rsid w:val="00885AF4"/>
    <w:rsid w:val="008939CD"/>
    <w:rsid w:val="008B768C"/>
    <w:rsid w:val="008C26C1"/>
    <w:rsid w:val="008C4DB1"/>
    <w:rsid w:val="008C4EAF"/>
    <w:rsid w:val="008C5176"/>
    <w:rsid w:val="008C7FD0"/>
    <w:rsid w:val="008E1DE7"/>
    <w:rsid w:val="008E707C"/>
    <w:rsid w:val="0090086C"/>
    <w:rsid w:val="00900B08"/>
    <w:rsid w:val="00901080"/>
    <w:rsid w:val="00902155"/>
    <w:rsid w:val="00902FA3"/>
    <w:rsid w:val="00921B5D"/>
    <w:rsid w:val="00923564"/>
    <w:rsid w:val="0092392E"/>
    <w:rsid w:val="009315F9"/>
    <w:rsid w:val="00946945"/>
    <w:rsid w:val="00951248"/>
    <w:rsid w:val="0095152F"/>
    <w:rsid w:val="00954C49"/>
    <w:rsid w:val="0097099F"/>
    <w:rsid w:val="00971997"/>
    <w:rsid w:val="00971FFC"/>
    <w:rsid w:val="0098660A"/>
    <w:rsid w:val="009931C3"/>
    <w:rsid w:val="009B2330"/>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30DD0"/>
    <w:rsid w:val="00A40A00"/>
    <w:rsid w:val="00A4142F"/>
    <w:rsid w:val="00A56DF2"/>
    <w:rsid w:val="00A67AB5"/>
    <w:rsid w:val="00A91760"/>
    <w:rsid w:val="00A93B00"/>
    <w:rsid w:val="00A93C21"/>
    <w:rsid w:val="00AC3C6A"/>
    <w:rsid w:val="00AD5620"/>
    <w:rsid w:val="00AD7C1B"/>
    <w:rsid w:val="00AE16BA"/>
    <w:rsid w:val="00AE1EBE"/>
    <w:rsid w:val="00AF754D"/>
    <w:rsid w:val="00B03C9D"/>
    <w:rsid w:val="00B060AE"/>
    <w:rsid w:val="00B10517"/>
    <w:rsid w:val="00B14E76"/>
    <w:rsid w:val="00B161B8"/>
    <w:rsid w:val="00B2048C"/>
    <w:rsid w:val="00B30DBC"/>
    <w:rsid w:val="00B310B9"/>
    <w:rsid w:val="00B35F3F"/>
    <w:rsid w:val="00B36CBB"/>
    <w:rsid w:val="00B425E0"/>
    <w:rsid w:val="00B440AA"/>
    <w:rsid w:val="00B44B70"/>
    <w:rsid w:val="00B53C56"/>
    <w:rsid w:val="00B77EA6"/>
    <w:rsid w:val="00B81598"/>
    <w:rsid w:val="00B841F1"/>
    <w:rsid w:val="00B944D6"/>
    <w:rsid w:val="00BB4DF0"/>
    <w:rsid w:val="00BB678F"/>
    <w:rsid w:val="00BC289F"/>
    <w:rsid w:val="00BC5361"/>
    <w:rsid w:val="00BC5460"/>
    <w:rsid w:val="00BC6B50"/>
    <w:rsid w:val="00BD0E25"/>
    <w:rsid w:val="00BF5BD6"/>
    <w:rsid w:val="00C034E1"/>
    <w:rsid w:val="00C03E31"/>
    <w:rsid w:val="00C33E72"/>
    <w:rsid w:val="00C354B2"/>
    <w:rsid w:val="00C35554"/>
    <w:rsid w:val="00C42709"/>
    <w:rsid w:val="00C43F2D"/>
    <w:rsid w:val="00C533CC"/>
    <w:rsid w:val="00C55D76"/>
    <w:rsid w:val="00C5751C"/>
    <w:rsid w:val="00C57657"/>
    <w:rsid w:val="00C61BFC"/>
    <w:rsid w:val="00C62B85"/>
    <w:rsid w:val="00C65438"/>
    <w:rsid w:val="00C72989"/>
    <w:rsid w:val="00C73382"/>
    <w:rsid w:val="00C91CBB"/>
    <w:rsid w:val="00CC09B6"/>
    <w:rsid w:val="00CC666F"/>
    <w:rsid w:val="00CD1E3F"/>
    <w:rsid w:val="00CE44F6"/>
    <w:rsid w:val="00CE49DA"/>
    <w:rsid w:val="00CE7B61"/>
    <w:rsid w:val="00CF7A48"/>
    <w:rsid w:val="00D00095"/>
    <w:rsid w:val="00D01EE9"/>
    <w:rsid w:val="00D20620"/>
    <w:rsid w:val="00D26091"/>
    <w:rsid w:val="00D34E7C"/>
    <w:rsid w:val="00D35489"/>
    <w:rsid w:val="00D51276"/>
    <w:rsid w:val="00D7035F"/>
    <w:rsid w:val="00D94589"/>
    <w:rsid w:val="00DA65AC"/>
    <w:rsid w:val="00DB1913"/>
    <w:rsid w:val="00DC410D"/>
    <w:rsid w:val="00DC68CA"/>
    <w:rsid w:val="00DC7CBA"/>
    <w:rsid w:val="00DD611C"/>
    <w:rsid w:val="00DD73B7"/>
    <w:rsid w:val="00DF28BC"/>
    <w:rsid w:val="00DF34B9"/>
    <w:rsid w:val="00E01053"/>
    <w:rsid w:val="00E07ACF"/>
    <w:rsid w:val="00E331A1"/>
    <w:rsid w:val="00E33202"/>
    <w:rsid w:val="00E336A9"/>
    <w:rsid w:val="00E50624"/>
    <w:rsid w:val="00E568DF"/>
    <w:rsid w:val="00E64269"/>
    <w:rsid w:val="00E6793A"/>
    <w:rsid w:val="00E71EC2"/>
    <w:rsid w:val="00E82267"/>
    <w:rsid w:val="00EA010F"/>
    <w:rsid w:val="00EC1508"/>
    <w:rsid w:val="00ED1B63"/>
    <w:rsid w:val="00ED3C1F"/>
    <w:rsid w:val="00ED4085"/>
    <w:rsid w:val="00ED420E"/>
    <w:rsid w:val="00EE25B4"/>
    <w:rsid w:val="00EE2F57"/>
    <w:rsid w:val="00EF4C34"/>
    <w:rsid w:val="00EF77C6"/>
    <w:rsid w:val="00F05438"/>
    <w:rsid w:val="00F1361C"/>
    <w:rsid w:val="00F160C7"/>
    <w:rsid w:val="00F36D8F"/>
    <w:rsid w:val="00F417B1"/>
    <w:rsid w:val="00F602DF"/>
    <w:rsid w:val="00F81FD9"/>
    <w:rsid w:val="00F841AA"/>
    <w:rsid w:val="00FA23E8"/>
    <w:rsid w:val="00FB7ACA"/>
    <w:rsid w:val="00FD3CC1"/>
    <w:rsid w:val="00FF1E02"/>
    <w:rsid w:val="00FF30B4"/>
    <w:rsid w:val="01372323"/>
    <w:rsid w:val="018B6369"/>
    <w:rsid w:val="01936A02"/>
    <w:rsid w:val="0198587D"/>
    <w:rsid w:val="01A61282"/>
    <w:rsid w:val="02347682"/>
    <w:rsid w:val="024B505A"/>
    <w:rsid w:val="028D5673"/>
    <w:rsid w:val="037A63A2"/>
    <w:rsid w:val="03E001ED"/>
    <w:rsid w:val="040333C4"/>
    <w:rsid w:val="04185F6B"/>
    <w:rsid w:val="0441308B"/>
    <w:rsid w:val="04461F7D"/>
    <w:rsid w:val="04AF13C9"/>
    <w:rsid w:val="04DB3E3D"/>
    <w:rsid w:val="04FF037E"/>
    <w:rsid w:val="052136C5"/>
    <w:rsid w:val="054A01C5"/>
    <w:rsid w:val="055B3806"/>
    <w:rsid w:val="057E6BBA"/>
    <w:rsid w:val="05AA193F"/>
    <w:rsid w:val="05C42179"/>
    <w:rsid w:val="06540DA8"/>
    <w:rsid w:val="06562AE5"/>
    <w:rsid w:val="069B3ACF"/>
    <w:rsid w:val="07344328"/>
    <w:rsid w:val="07507D43"/>
    <w:rsid w:val="07941430"/>
    <w:rsid w:val="08181475"/>
    <w:rsid w:val="08206641"/>
    <w:rsid w:val="08323C43"/>
    <w:rsid w:val="0841191C"/>
    <w:rsid w:val="0876260D"/>
    <w:rsid w:val="087F2C26"/>
    <w:rsid w:val="08BB45BC"/>
    <w:rsid w:val="090441B5"/>
    <w:rsid w:val="09465142"/>
    <w:rsid w:val="0992531D"/>
    <w:rsid w:val="0A8438E2"/>
    <w:rsid w:val="0ABA1821"/>
    <w:rsid w:val="0B180A1F"/>
    <w:rsid w:val="0B1D50BA"/>
    <w:rsid w:val="0B2C375A"/>
    <w:rsid w:val="0B6E03CB"/>
    <w:rsid w:val="0BC458DB"/>
    <w:rsid w:val="0C2947BC"/>
    <w:rsid w:val="0C436C39"/>
    <w:rsid w:val="0C623A17"/>
    <w:rsid w:val="0C985340"/>
    <w:rsid w:val="0C9F142C"/>
    <w:rsid w:val="0D3054C3"/>
    <w:rsid w:val="0D9762BB"/>
    <w:rsid w:val="0DBA567A"/>
    <w:rsid w:val="0E186D0D"/>
    <w:rsid w:val="0E2E324F"/>
    <w:rsid w:val="0E614C23"/>
    <w:rsid w:val="0EDB1514"/>
    <w:rsid w:val="0EE2323D"/>
    <w:rsid w:val="0EE526EA"/>
    <w:rsid w:val="0F0236B0"/>
    <w:rsid w:val="0F0F5E83"/>
    <w:rsid w:val="0F752A44"/>
    <w:rsid w:val="0F7D0B61"/>
    <w:rsid w:val="0FB53557"/>
    <w:rsid w:val="10425654"/>
    <w:rsid w:val="10C055FF"/>
    <w:rsid w:val="10E46825"/>
    <w:rsid w:val="10E96DF4"/>
    <w:rsid w:val="10EE728C"/>
    <w:rsid w:val="11160D6C"/>
    <w:rsid w:val="112027B1"/>
    <w:rsid w:val="1143693A"/>
    <w:rsid w:val="11576F21"/>
    <w:rsid w:val="117479FE"/>
    <w:rsid w:val="11E155E3"/>
    <w:rsid w:val="12185284"/>
    <w:rsid w:val="12217B86"/>
    <w:rsid w:val="12352BEA"/>
    <w:rsid w:val="126F39E8"/>
    <w:rsid w:val="12832B06"/>
    <w:rsid w:val="12A02307"/>
    <w:rsid w:val="12B34F44"/>
    <w:rsid w:val="12FE64DD"/>
    <w:rsid w:val="1350242C"/>
    <w:rsid w:val="13A97E33"/>
    <w:rsid w:val="1427548C"/>
    <w:rsid w:val="142C0307"/>
    <w:rsid w:val="1459432B"/>
    <w:rsid w:val="146A1E01"/>
    <w:rsid w:val="149438EE"/>
    <w:rsid w:val="14982E7D"/>
    <w:rsid w:val="14BB1B4E"/>
    <w:rsid w:val="14D56A06"/>
    <w:rsid w:val="15585F9B"/>
    <w:rsid w:val="158B2E33"/>
    <w:rsid w:val="15B813A4"/>
    <w:rsid w:val="15C50828"/>
    <w:rsid w:val="15E058EE"/>
    <w:rsid w:val="15ED227C"/>
    <w:rsid w:val="16003EE7"/>
    <w:rsid w:val="16077FC8"/>
    <w:rsid w:val="160D48E0"/>
    <w:rsid w:val="16571A99"/>
    <w:rsid w:val="16730E77"/>
    <w:rsid w:val="16BB723D"/>
    <w:rsid w:val="16C31E29"/>
    <w:rsid w:val="16EF4171"/>
    <w:rsid w:val="17964DF6"/>
    <w:rsid w:val="17E3061E"/>
    <w:rsid w:val="18622F95"/>
    <w:rsid w:val="18AE6838"/>
    <w:rsid w:val="18EA12A6"/>
    <w:rsid w:val="18EB61BE"/>
    <w:rsid w:val="18F6471E"/>
    <w:rsid w:val="190459E4"/>
    <w:rsid w:val="19063631"/>
    <w:rsid w:val="19144D19"/>
    <w:rsid w:val="19350653"/>
    <w:rsid w:val="194427E8"/>
    <w:rsid w:val="19720745"/>
    <w:rsid w:val="1A3B20FD"/>
    <w:rsid w:val="1A8567D8"/>
    <w:rsid w:val="1B0A527B"/>
    <w:rsid w:val="1B456347"/>
    <w:rsid w:val="1B4F54AC"/>
    <w:rsid w:val="1B805EED"/>
    <w:rsid w:val="1BCB180E"/>
    <w:rsid w:val="1BD7751C"/>
    <w:rsid w:val="1C4630E0"/>
    <w:rsid w:val="1C4E4299"/>
    <w:rsid w:val="1C5F19D6"/>
    <w:rsid w:val="1C672639"/>
    <w:rsid w:val="1C8E1370"/>
    <w:rsid w:val="1D426418"/>
    <w:rsid w:val="1DA65540"/>
    <w:rsid w:val="1DC75A85"/>
    <w:rsid w:val="1E3D05D9"/>
    <w:rsid w:val="1E95099F"/>
    <w:rsid w:val="1ED33D2F"/>
    <w:rsid w:val="1EE9068F"/>
    <w:rsid w:val="1F1D2E05"/>
    <w:rsid w:val="1F972093"/>
    <w:rsid w:val="205963E5"/>
    <w:rsid w:val="208323B0"/>
    <w:rsid w:val="20895274"/>
    <w:rsid w:val="20DA0A71"/>
    <w:rsid w:val="21385595"/>
    <w:rsid w:val="219F2875"/>
    <w:rsid w:val="21D966CE"/>
    <w:rsid w:val="21FE197F"/>
    <w:rsid w:val="222A1053"/>
    <w:rsid w:val="223960B1"/>
    <w:rsid w:val="226905E7"/>
    <w:rsid w:val="228B7B4C"/>
    <w:rsid w:val="22C73CA1"/>
    <w:rsid w:val="22E30C4F"/>
    <w:rsid w:val="230128B1"/>
    <w:rsid w:val="235E52BF"/>
    <w:rsid w:val="23CA52D6"/>
    <w:rsid w:val="23D93670"/>
    <w:rsid w:val="23F538E4"/>
    <w:rsid w:val="240371BF"/>
    <w:rsid w:val="241A2891"/>
    <w:rsid w:val="242F69A3"/>
    <w:rsid w:val="246612E9"/>
    <w:rsid w:val="247E2E8E"/>
    <w:rsid w:val="248E0275"/>
    <w:rsid w:val="249D3030"/>
    <w:rsid w:val="24C26FA6"/>
    <w:rsid w:val="24CC6F10"/>
    <w:rsid w:val="24F506AF"/>
    <w:rsid w:val="25044C48"/>
    <w:rsid w:val="253D3678"/>
    <w:rsid w:val="257F3371"/>
    <w:rsid w:val="259F4BF2"/>
    <w:rsid w:val="26C47DDC"/>
    <w:rsid w:val="26CC5EBA"/>
    <w:rsid w:val="26DB434F"/>
    <w:rsid w:val="271E7DEC"/>
    <w:rsid w:val="272F01F7"/>
    <w:rsid w:val="27D66E7A"/>
    <w:rsid w:val="28700AC7"/>
    <w:rsid w:val="287C708A"/>
    <w:rsid w:val="288D0CE6"/>
    <w:rsid w:val="28A41280"/>
    <w:rsid w:val="29062EB9"/>
    <w:rsid w:val="29B361B4"/>
    <w:rsid w:val="29F106E0"/>
    <w:rsid w:val="29FD04D3"/>
    <w:rsid w:val="2A043BBD"/>
    <w:rsid w:val="2A0C2A72"/>
    <w:rsid w:val="2A107F74"/>
    <w:rsid w:val="2A303B17"/>
    <w:rsid w:val="2A566BA5"/>
    <w:rsid w:val="2A6D3AE5"/>
    <w:rsid w:val="2A7379D6"/>
    <w:rsid w:val="2AC6406E"/>
    <w:rsid w:val="2AFA3507"/>
    <w:rsid w:val="2B08148B"/>
    <w:rsid w:val="2B5B62B2"/>
    <w:rsid w:val="2B6658FC"/>
    <w:rsid w:val="2BE37D65"/>
    <w:rsid w:val="2C6B2D25"/>
    <w:rsid w:val="2C720488"/>
    <w:rsid w:val="2C88736B"/>
    <w:rsid w:val="2C8F4334"/>
    <w:rsid w:val="2CDC37A3"/>
    <w:rsid w:val="2D047A30"/>
    <w:rsid w:val="2D1905F2"/>
    <w:rsid w:val="2D8363D0"/>
    <w:rsid w:val="2D9E1C33"/>
    <w:rsid w:val="2E4427DA"/>
    <w:rsid w:val="2E7D3AD5"/>
    <w:rsid w:val="2EBA2261"/>
    <w:rsid w:val="2ED93001"/>
    <w:rsid w:val="2F467ADC"/>
    <w:rsid w:val="2F760120"/>
    <w:rsid w:val="2FC763B4"/>
    <w:rsid w:val="30354AD0"/>
    <w:rsid w:val="30515C27"/>
    <w:rsid w:val="3069477A"/>
    <w:rsid w:val="309C4B4F"/>
    <w:rsid w:val="30AF5DF7"/>
    <w:rsid w:val="30F3375D"/>
    <w:rsid w:val="30FA1876"/>
    <w:rsid w:val="310B2313"/>
    <w:rsid w:val="314E65C2"/>
    <w:rsid w:val="31971C15"/>
    <w:rsid w:val="31996026"/>
    <w:rsid w:val="319F7F4E"/>
    <w:rsid w:val="31D1096D"/>
    <w:rsid w:val="32122118"/>
    <w:rsid w:val="325D20BC"/>
    <w:rsid w:val="3317670F"/>
    <w:rsid w:val="337C11F3"/>
    <w:rsid w:val="33B87464"/>
    <w:rsid w:val="33D67AFA"/>
    <w:rsid w:val="33F541D5"/>
    <w:rsid w:val="341472E4"/>
    <w:rsid w:val="34CD0256"/>
    <w:rsid w:val="34DC01CF"/>
    <w:rsid w:val="354421E9"/>
    <w:rsid w:val="357A3CA7"/>
    <w:rsid w:val="35A81DE2"/>
    <w:rsid w:val="35B37503"/>
    <w:rsid w:val="35FB2318"/>
    <w:rsid w:val="36330222"/>
    <w:rsid w:val="36527A5E"/>
    <w:rsid w:val="36571524"/>
    <w:rsid w:val="366D189D"/>
    <w:rsid w:val="372E5533"/>
    <w:rsid w:val="373165B0"/>
    <w:rsid w:val="37593BA1"/>
    <w:rsid w:val="37600606"/>
    <w:rsid w:val="37AB4489"/>
    <w:rsid w:val="37B502A5"/>
    <w:rsid w:val="37D56B99"/>
    <w:rsid w:val="382471D8"/>
    <w:rsid w:val="38500809"/>
    <w:rsid w:val="387D1A86"/>
    <w:rsid w:val="387E6334"/>
    <w:rsid w:val="3880428F"/>
    <w:rsid w:val="38C56C0D"/>
    <w:rsid w:val="38E0550C"/>
    <w:rsid w:val="392B75FF"/>
    <w:rsid w:val="395F0017"/>
    <w:rsid w:val="396C0181"/>
    <w:rsid w:val="399C472B"/>
    <w:rsid w:val="3A1A0893"/>
    <w:rsid w:val="3A252AB1"/>
    <w:rsid w:val="3A4C1AFC"/>
    <w:rsid w:val="3A6D30B9"/>
    <w:rsid w:val="3A720BEE"/>
    <w:rsid w:val="3A8054C4"/>
    <w:rsid w:val="3B0A4DAB"/>
    <w:rsid w:val="3B1D3F71"/>
    <w:rsid w:val="3B65138C"/>
    <w:rsid w:val="3B9C1EA7"/>
    <w:rsid w:val="3BE4055E"/>
    <w:rsid w:val="3C321FC6"/>
    <w:rsid w:val="3C325206"/>
    <w:rsid w:val="3C337A30"/>
    <w:rsid w:val="3C933C18"/>
    <w:rsid w:val="3D1A36B2"/>
    <w:rsid w:val="3D2C61BE"/>
    <w:rsid w:val="3E017148"/>
    <w:rsid w:val="3E7978B4"/>
    <w:rsid w:val="3F157DE5"/>
    <w:rsid w:val="3F1D03FE"/>
    <w:rsid w:val="3F3E5454"/>
    <w:rsid w:val="3FA52EF5"/>
    <w:rsid w:val="3FDB2873"/>
    <w:rsid w:val="40007212"/>
    <w:rsid w:val="40123390"/>
    <w:rsid w:val="402D6810"/>
    <w:rsid w:val="40A504A7"/>
    <w:rsid w:val="40AF3345"/>
    <w:rsid w:val="40E554EF"/>
    <w:rsid w:val="40EA4655"/>
    <w:rsid w:val="41D57EC1"/>
    <w:rsid w:val="42532A33"/>
    <w:rsid w:val="427C24E1"/>
    <w:rsid w:val="42B13B71"/>
    <w:rsid w:val="42C4406E"/>
    <w:rsid w:val="43070205"/>
    <w:rsid w:val="43394480"/>
    <w:rsid w:val="435A677F"/>
    <w:rsid w:val="43F9776B"/>
    <w:rsid w:val="44626F67"/>
    <w:rsid w:val="44AD6B1E"/>
    <w:rsid w:val="45ED68FD"/>
    <w:rsid w:val="46081C5D"/>
    <w:rsid w:val="46346EA6"/>
    <w:rsid w:val="46485133"/>
    <w:rsid w:val="46652972"/>
    <w:rsid w:val="4670445C"/>
    <w:rsid w:val="46A07F0F"/>
    <w:rsid w:val="46E73CB4"/>
    <w:rsid w:val="470D5149"/>
    <w:rsid w:val="48524222"/>
    <w:rsid w:val="486149F0"/>
    <w:rsid w:val="487E0519"/>
    <w:rsid w:val="4893018E"/>
    <w:rsid w:val="48C60564"/>
    <w:rsid w:val="48F7696F"/>
    <w:rsid w:val="48FF4AAA"/>
    <w:rsid w:val="491230DD"/>
    <w:rsid w:val="4952185C"/>
    <w:rsid w:val="495E69EE"/>
    <w:rsid w:val="496E1A1B"/>
    <w:rsid w:val="499D3DA6"/>
    <w:rsid w:val="4A08201A"/>
    <w:rsid w:val="4A436FF1"/>
    <w:rsid w:val="4AF9070D"/>
    <w:rsid w:val="4B4F4CE6"/>
    <w:rsid w:val="4B862B49"/>
    <w:rsid w:val="4B940289"/>
    <w:rsid w:val="4BE62177"/>
    <w:rsid w:val="4C0849EF"/>
    <w:rsid w:val="4C171BFB"/>
    <w:rsid w:val="4C6C31D0"/>
    <w:rsid w:val="4C792879"/>
    <w:rsid w:val="4CA65A91"/>
    <w:rsid w:val="4CBB672C"/>
    <w:rsid w:val="4D135D42"/>
    <w:rsid w:val="4D374464"/>
    <w:rsid w:val="4D6A2335"/>
    <w:rsid w:val="4D780280"/>
    <w:rsid w:val="4DC540A1"/>
    <w:rsid w:val="4DCB77B3"/>
    <w:rsid w:val="4DEC2A80"/>
    <w:rsid w:val="4E5E1682"/>
    <w:rsid w:val="4E764940"/>
    <w:rsid w:val="4F2024E8"/>
    <w:rsid w:val="4F435AAB"/>
    <w:rsid w:val="4F475C45"/>
    <w:rsid w:val="4F541A58"/>
    <w:rsid w:val="4F875B23"/>
    <w:rsid w:val="4FC71344"/>
    <w:rsid w:val="4FE14544"/>
    <w:rsid w:val="50347D02"/>
    <w:rsid w:val="50485B88"/>
    <w:rsid w:val="50734785"/>
    <w:rsid w:val="507840EC"/>
    <w:rsid w:val="507C1C17"/>
    <w:rsid w:val="50A17A6E"/>
    <w:rsid w:val="51A53CEE"/>
    <w:rsid w:val="51E26CB5"/>
    <w:rsid w:val="51E47F7B"/>
    <w:rsid w:val="525743CB"/>
    <w:rsid w:val="526003A1"/>
    <w:rsid w:val="526D5C04"/>
    <w:rsid w:val="52B81FBE"/>
    <w:rsid w:val="535B479F"/>
    <w:rsid w:val="538F0D7F"/>
    <w:rsid w:val="539741EF"/>
    <w:rsid w:val="53BE3A4E"/>
    <w:rsid w:val="53E671BA"/>
    <w:rsid w:val="54803E05"/>
    <w:rsid w:val="54A828BF"/>
    <w:rsid w:val="54D41A0F"/>
    <w:rsid w:val="550D2661"/>
    <w:rsid w:val="55174DBD"/>
    <w:rsid w:val="552F2E48"/>
    <w:rsid w:val="55365700"/>
    <w:rsid w:val="55626A0C"/>
    <w:rsid w:val="556C47F5"/>
    <w:rsid w:val="55981E45"/>
    <w:rsid w:val="55B773AB"/>
    <w:rsid w:val="55BE07DD"/>
    <w:rsid w:val="55E96A3A"/>
    <w:rsid w:val="56081A51"/>
    <w:rsid w:val="56365FAA"/>
    <w:rsid w:val="5674365D"/>
    <w:rsid w:val="568E0ABB"/>
    <w:rsid w:val="56971BE9"/>
    <w:rsid w:val="56A156AF"/>
    <w:rsid w:val="56A16762"/>
    <w:rsid w:val="56B65760"/>
    <w:rsid w:val="571701DC"/>
    <w:rsid w:val="571844CB"/>
    <w:rsid w:val="571E71F4"/>
    <w:rsid w:val="572A6162"/>
    <w:rsid w:val="574662D9"/>
    <w:rsid w:val="577E025B"/>
    <w:rsid w:val="578C4726"/>
    <w:rsid w:val="57E411DB"/>
    <w:rsid w:val="582E1C82"/>
    <w:rsid w:val="588C2079"/>
    <w:rsid w:val="58C433D3"/>
    <w:rsid w:val="58C7642D"/>
    <w:rsid w:val="58DE5456"/>
    <w:rsid w:val="59114C9C"/>
    <w:rsid w:val="593B0A22"/>
    <w:rsid w:val="59413C36"/>
    <w:rsid w:val="59500C86"/>
    <w:rsid w:val="59BD150F"/>
    <w:rsid w:val="59C81AD1"/>
    <w:rsid w:val="59CA248B"/>
    <w:rsid w:val="59F1199A"/>
    <w:rsid w:val="5A4B1DC3"/>
    <w:rsid w:val="5A5B72E5"/>
    <w:rsid w:val="5A646463"/>
    <w:rsid w:val="5AC111EA"/>
    <w:rsid w:val="5AD308BE"/>
    <w:rsid w:val="5B0942E0"/>
    <w:rsid w:val="5B7D79B0"/>
    <w:rsid w:val="5B992A9D"/>
    <w:rsid w:val="5BC325E3"/>
    <w:rsid w:val="5C1476F5"/>
    <w:rsid w:val="5C351D6C"/>
    <w:rsid w:val="5C9D73D6"/>
    <w:rsid w:val="5CA86647"/>
    <w:rsid w:val="5CB07109"/>
    <w:rsid w:val="5CDC6F31"/>
    <w:rsid w:val="5CEE29A8"/>
    <w:rsid w:val="5CF03E38"/>
    <w:rsid w:val="5D8A2160"/>
    <w:rsid w:val="5DAB2230"/>
    <w:rsid w:val="5E0857C0"/>
    <w:rsid w:val="5EE06497"/>
    <w:rsid w:val="5F463D55"/>
    <w:rsid w:val="5F6D7FCB"/>
    <w:rsid w:val="5F842877"/>
    <w:rsid w:val="5F8D25F1"/>
    <w:rsid w:val="5FBA6DCA"/>
    <w:rsid w:val="60280797"/>
    <w:rsid w:val="604A30F2"/>
    <w:rsid w:val="604B408B"/>
    <w:rsid w:val="607B4B12"/>
    <w:rsid w:val="608E6BD3"/>
    <w:rsid w:val="6092190E"/>
    <w:rsid w:val="60E5331F"/>
    <w:rsid w:val="60EB43D1"/>
    <w:rsid w:val="61E84DE1"/>
    <w:rsid w:val="61F25ACE"/>
    <w:rsid w:val="624D2357"/>
    <w:rsid w:val="62853336"/>
    <w:rsid w:val="62E418BB"/>
    <w:rsid w:val="63016E98"/>
    <w:rsid w:val="630A38B9"/>
    <w:rsid w:val="631D3C48"/>
    <w:rsid w:val="63212B20"/>
    <w:rsid w:val="63711318"/>
    <w:rsid w:val="637B747D"/>
    <w:rsid w:val="638149DD"/>
    <w:rsid w:val="63886CD4"/>
    <w:rsid w:val="63CA75F7"/>
    <w:rsid w:val="63E74E45"/>
    <w:rsid w:val="64132AA7"/>
    <w:rsid w:val="6419731B"/>
    <w:rsid w:val="6446024F"/>
    <w:rsid w:val="644B1898"/>
    <w:rsid w:val="64540CC2"/>
    <w:rsid w:val="64892826"/>
    <w:rsid w:val="64C47668"/>
    <w:rsid w:val="64C57861"/>
    <w:rsid w:val="64CC2177"/>
    <w:rsid w:val="64EA3C4C"/>
    <w:rsid w:val="650107CC"/>
    <w:rsid w:val="65114489"/>
    <w:rsid w:val="65997D9E"/>
    <w:rsid w:val="65D87EDC"/>
    <w:rsid w:val="661C7228"/>
    <w:rsid w:val="662446C4"/>
    <w:rsid w:val="66447577"/>
    <w:rsid w:val="664A008B"/>
    <w:rsid w:val="666D1BC7"/>
    <w:rsid w:val="66966C74"/>
    <w:rsid w:val="66BC4768"/>
    <w:rsid w:val="66F75934"/>
    <w:rsid w:val="67183FE6"/>
    <w:rsid w:val="672A58BC"/>
    <w:rsid w:val="677E6BDE"/>
    <w:rsid w:val="67CA7051"/>
    <w:rsid w:val="6856444C"/>
    <w:rsid w:val="685B2023"/>
    <w:rsid w:val="687436E1"/>
    <w:rsid w:val="69170F6E"/>
    <w:rsid w:val="693F133B"/>
    <w:rsid w:val="696D2018"/>
    <w:rsid w:val="697119CE"/>
    <w:rsid w:val="69D514E6"/>
    <w:rsid w:val="69E814A3"/>
    <w:rsid w:val="6A234995"/>
    <w:rsid w:val="6A510A4B"/>
    <w:rsid w:val="6A861EB5"/>
    <w:rsid w:val="6AB51F79"/>
    <w:rsid w:val="6AF67290"/>
    <w:rsid w:val="6B204DC6"/>
    <w:rsid w:val="6C1A634D"/>
    <w:rsid w:val="6C72739D"/>
    <w:rsid w:val="6CB30550"/>
    <w:rsid w:val="6CCF1E61"/>
    <w:rsid w:val="6CFE1653"/>
    <w:rsid w:val="6D0D4104"/>
    <w:rsid w:val="6D197479"/>
    <w:rsid w:val="6D4F4D28"/>
    <w:rsid w:val="6E002CD0"/>
    <w:rsid w:val="6E26547D"/>
    <w:rsid w:val="6E58107A"/>
    <w:rsid w:val="6F405CB1"/>
    <w:rsid w:val="6F411E43"/>
    <w:rsid w:val="6F575304"/>
    <w:rsid w:val="6F585B10"/>
    <w:rsid w:val="6F7B36D0"/>
    <w:rsid w:val="6F7E71C4"/>
    <w:rsid w:val="6F9E4144"/>
    <w:rsid w:val="704D2DF7"/>
    <w:rsid w:val="710E5DCB"/>
    <w:rsid w:val="71437FF0"/>
    <w:rsid w:val="71B86F70"/>
    <w:rsid w:val="71C34F12"/>
    <w:rsid w:val="71EB7655"/>
    <w:rsid w:val="72324F33"/>
    <w:rsid w:val="723922CE"/>
    <w:rsid w:val="72767A5F"/>
    <w:rsid w:val="728170B1"/>
    <w:rsid w:val="72E11363"/>
    <w:rsid w:val="739C53B6"/>
    <w:rsid w:val="73CE5B38"/>
    <w:rsid w:val="73CF1E02"/>
    <w:rsid w:val="74115AF7"/>
    <w:rsid w:val="74143A77"/>
    <w:rsid w:val="744B64ED"/>
    <w:rsid w:val="750C629B"/>
    <w:rsid w:val="75262EE3"/>
    <w:rsid w:val="75324707"/>
    <w:rsid w:val="753C5586"/>
    <w:rsid w:val="757907EE"/>
    <w:rsid w:val="757A1FAF"/>
    <w:rsid w:val="75872335"/>
    <w:rsid w:val="763C1BDE"/>
    <w:rsid w:val="76A52DAB"/>
    <w:rsid w:val="77011AA1"/>
    <w:rsid w:val="77396308"/>
    <w:rsid w:val="776A2E53"/>
    <w:rsid w:val="778112FB"/>
    <w:rsid w:val="78976F0C"/>
    <w:rsid w:val="789B5C31"/>
    <w:rsid w:val="789D129D"/>
    <w:rsid w:val="78DB41CB"/>
    <w:rsid w:val="791505C8"/>
    <w:rsid w:val="79767427"/>
    <w:rsid w:val="7993773F"/>
    <w:rsid w:val="79991713"/>
    <w:rsid w:val="79EC7EEF"/>
    <w:rsid w:val="7A036672"/>
    <w:rsid w:val="7A4B6990"/>
    <w:rsid w:val="7A6F1F5A"/>
    <w:rsid w:val="7AA31D42"/>
    <w:rsid w:val="7AEE2F60"/>
    <w:rsid w:val="7B1135CA"/>
    <w:rsid w:val="7B264158"/>
    <w:rsid w:val="7B8A1FFF"/>
    <w:rsid w:val="7C0C49DC"/>
    <w:rsid w:val="7C1B0A60"/>
    <w:rsid w:val="7C533906"/>
    <w:rsid w:val="7C672E3A"/>
    <w:rsid w:val="7C8D4919"/>
    <w:rsid w:val="7CB40242"/>
    <w:rsid w:val="7D1D2B0E"/>
    <w:rsid w:val="7D2517DF"/>
    <w:rsid w:val="7D252BD6"/>
    <w:rsid w:val="7D3E1B77"/>
    <w:rsid w:val="7D62054B"/>
    <w:rsid w:val="7D913F95"/>
    <w:rsid w:val="7DA55367"/>
    <w:rsid w:val="7DA8331F"/>
    <w:rsid w:val="7EAA2BA5"/>
    <w:rsid w:val="7EBB1AD8"/>
    <w:rsid w:val="7F0268C4"/>
    <w:rsid w:val="7F0B4083"/>
    <w:rsid w:val="7F2A478F"/>
    <w:rsid w:val="7F54153E"/>
    <w:rsid w:val="7F8042C1"/>
    <w:rsid w:val="7FB6068D"/>
    <w:rsid w:val="7FC339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table of figures"/>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6">
    <w:name w:val="List Number"/>
    <w:basedOn w:val="1"/>
    <w:semiHidden/>
    <w:unhideWhenUsed/>
    <w:qFormat/>
    <w:uiPriority w:val="99"/>
    <w:pPr>
      <w:numPr>
        <w:ilvl w:val="0"/>
        <w:numId w:val="1"/>
      </w:numPr>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99"/>
    <w:pPr>
      <w:spacing w:before="100" w:beforeAutospacing="1" w:after="100" w:afterAutospacing="1"/>
      <w:jc w:val="left"/>
    </w:pPr>
    <w:rPr>
      <w:rFonts w:ascii="Calibri" w:hAnsi="Calibri"/>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正文2"/>
    <w:basedOn w:val="1"/>
    <w:next w:val="1"/>
    <w:unhideWhenUsed/>
    <w:qFormat/>
    <w:uiPriority w:val="99"/>
    <w:rPr>
      <w:rFonts w:hint="eastAsi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常用样式（方正仿宋简）"/>
    <w:basedOn w:val="1"/>
    <w:qFormat/>
    <w:uiPriority w:val="99"/>
    <w:pPr>
      <w:spacing w:line="560" w:lineRule="exact"/>
      <w:ind w:firstLine="640" w:firstLineChars="200"/>
    </w:pPr>
    <w:rPr>
      <w:rFonts w:ascii="Calibri" w:hAnsi="Calibri"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345"/>
          <c:y val="0.127"/>
          <c:w val="0.8938"/>
          <c:h val="0.7169"/>
        </c:manualLayout>
      </c:layout>
      <c:barChart>
        <c:barDir val="col"/>
        <c:grouping val="clustered"/>
        <c:varyColors val="0"/>
        <c:ser>
          <c:idx val="0"/>
          <c:order val="0"/>
          <c:tx>
            <c:strRef>
              <c:f>Sheet1!$B$1</c:f>
              <c:strCache>
                <c:ptCount val="1"/>
                <c:pt idx="0">
                  <c:v>收、支决算总计变动情况图</c:v>
                </c:pt>
              </c:strCache>
            </c:strRef>
          </c:tx>
          <c:spPr>
            <a:solidFill>
              <a:schemeClr val="accent1"/>
            </a:solidFill>
            <a:ln>
              <a:noFill/>
            </a:ln>
            <a:effectLst/>
          </c:spPr>
          <c:invertIfNegative val="0"/>
          <c:dLbls>
            <c:delete val="1"/>
          </c:dLbls>
          <c:cat>
            <c:strRef>
              <c:f>Sheet1!$A$2:$A$5</c:f>
              <c:strCache>
                <c:ptCount val="4"/>
                <c:pt idx="0">
                  <c:v>2022年收支总计</c:v>
                </c:pt>
                <c:pt idx="1">
                  <c:v>2021年收支总计</c:v>
                </c:pt>
                <c:pt idx="2">
                  <c:v>类别 3</c:v>
                </c:pt>
                <c:pt idx="3">
                  <c:v>类别 4</c:v>
                </c:pt>
              </c:strCache>
            </c:strRef>
          </c:cat>
          <c:val>
            <c:numRef>
              <c:f>Sheet1!$B$2:$B$3</c:f>
              <c:numCache>
                <c:formatCode>General</c:formatCode>
                <c:ptCount val="2"/>
                <c:pt idx="0">
                  <c:v>7.19</c:v>
                </c:pt>
                <c:pt idx="1">
                  <c:v>0</c:v>
                </c:pt>
              </c:numCache>
            </c:numRef>
          </c:val>
        </c:ser>
        <c:dLbls>
          <c:showLegendKey val="0"/>
          <c:showVal val="0"/>
          <c:showCatName val="0"/>
          <c:showSerName val="0"/>
          <c:showPercent val="0"/>
          <c:showBubbleSize val="0"/>
        </c:dLbls>
        <c:gapWidth val="219"/>
        <c:overlap val="-27"/>
        <c:axId val="41416576"/>
        <c:axId val="43688320"/>
      </c:barChart>
      <c:catAx>
        <c:axId val="414165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688320"/>
        <c:crosses val="autoZero"/>
        <c:auto val="1"/>
        <c:lblAlgn val="ctr"/>
        <c:lblOffset val="100"/>
        <c:noMultiLvlLbl val="0"/>
      </c:catAx>
      <c:valAx>
        <c:axId val="43688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165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Lbls>
            <c:delete val="1"/>
          </c:dLbls>
          <c:cat>
            <c:strRef>
              <c:f>Sheet1!$A$2:$A$12</c:f>
              <c:strCache>
                <c:ptCount val="11"/>
                <c:pt idx="0">
                  <c:v>文化体育与传媒</c:v>
                </c:pt>
              </c:strCache>
            </c:strRef>
          </c:cat>
          <c:val>
            <c:numRef>
              <c:f>Sheet1!$B$2:$B$12</c:f>
              <c:numCache>
                <c:formatCode>0.00%</c:formatCode>
                <c:ptCount val="1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100</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345"/>
          <c:y val="0.127"/>
          <c:w val="0.8938"/>
          <c:h val="0.7169"/>
        </c:manualLayout>
      </c:layout>
      <c:barChart>
        <c:barDir val="col"/>
        <c:grouping val="clustered"/>
        <c:varyColors val="0"/>
        <c:ser>
          <c:idx val="0"/>
          <c:order val="0"/>
          <c:tx>
            <c:strRef>
              <c:f>Sheet1!$B$1</c:f>
              <c:strCache>
                <c:ptCount val="1"/>
                <c:pt idx="0">
                  <c:v>财政拨款收、支决算总计变动情况图</c:v>
                </c:pt>
              </c:strCache>
            </c:strRef>
          </c:tx>
          <c:spPr>
            <a:solidFill>
              <a:schemeClr val="accent1"/>
            </a:solidFill>
            <a:ln>
              <a:noFill/>
            </a:ln>
            <a:effectLst/>
          </c:spPr>
          <c:invertIfNegative val="0"/>
          <c:dLbls>
            <c:delete val="1"/>
          </c:dLbls>
          <c:cat>
            <c:strRef>
              <c:f>Sheet1!$A$2:$A$5</c:f>
              <c:strCache>
                <c:ptCount val="4"/>
                <c:pt idx="0">
                  <c:v>2022年财政拨款收支总计</c:v>
                </c:pt>
                <c:pt idx="1">
                  <c:v>2021年财政拨款收支总计</c:v>
                </c:pt>
                <c:pt idx="2">
                  <c:v>类别 3</c:v>
                </c:pt>
                <c:pt idx="3">
                  <c:v>类别 4</c:v>
                </c:pt>
              </c:strCache>
            </c:strRef>
          </c:cat>
          <c:val>
            <c:numRef>
              <c:f>Sheet1!$B$2:$B$3</c:f>
              <c:numCache>
                <c:formatCode>General</c:formatCode>
                <c:ptCount val="2"/>
                <c:pt idx="0">
                  <c:v>7.19</c:v>
                </c:pt>
                <c:pt idx="1">
                  <c:v>0</c:v>
                </c:pt>
              </c:numCache>
            </c:numRef>
          </c:val>
        </c:ser>
        <c:dLbls>
          <c:showLegendKey val="0"/>
          <c:showVal val="0"/>
          <c:showCatName val="0"/>
          <c:showSerName val="0"/>
          <c:showPercent val="0"/>
          <c:showBubbleSize val="0"/>
        </c:dLbls>
        <c:gapWidth val="219"/>
        <c:overlap val="-27"/>
        <c:axId val="76372608"/>
        <c:axId val="54447104"/>
      </c:barChart>
      <c:catAx>
        <c:axId val="763726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47104"/>
        <c:crosses val="autoZero"/>
        <c:auto val="1"/>
        <c:lblAlgn val="ctr"/>
        <c:lblOffset val="100"/>
        <c:noMultiLvlLbl val="0"/>
      </c:catAx>
      <c:valAx>
        <c:axId val="54447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372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一般公共预算财政拨款支出决算变动情况图</c:v>
                </c:pt>
              </c:strCache>
            </c:strRef>
          </c:tx>
          <c:spPr>
            <a:solidFill>
              <a:schemeClr val="accent1"/>
            </a:solidFill>
            <a:ln>
              <a:noFill/>
            </a:ln>
            <a:effectLst/>
          </c:spPr>
          <c:invertIfNegative val="0"/>
          <c:dLbls>
            <c:delete val="1"/>
          </c:dLbls>
          <c:cat>
            <c:strRef>
              <c:f>Sheet1!$A$2:$A$3</c:f>
              <c:strCache>
                <c:ptCount val="2"/>
                <c:pt idx="0">
                  <c:v>2022年一般公共预算财政拨款决算支出</c:v>
                </c:pt>
                <c:pt idx="1">
                  <c:v>2021年一般公共预算财政拨款决算支出</c:v>
                </c:pt>
              </c:strCache>
            </c:strRef>
          </c:cat>
          <c:val>
            <c:numRef>
              <c:f>Sheet1!$B$2:$B$3</c:f>
              <c:numCache>
                <c:formatCode>General</c:formatCode>
                <c:ptCount val="2"/>
                <c:pt idx="0">
                  <c:v>7.19</c:v>
                </c:pt>
                <c:pt idx="1">
                  <c:v>0</c:v>
                </c:pt>
              </c:numCache>
            </c:numRef>
          </c:val>
        </c:ser>
        <c:dLbls>
          <c:showLegendKey val="0"/>
          <c:showVal val="0"/>
          <c:showCatName val="0"/>
          <c:showSerName val="0"/>
          <c:showPercent val="0"/>
          <c:showBubbleSize val="0"/>
        </c:dLbls>
        <c:gapWidth val="150"/>
        <c:overlap val="100"/>
        <c:axId val="54471296"/>
        <c:axId val="54493568"/>
      </c:barChart>
      <c:catAx>
        <c:axId val="544712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93568"/>
        <c:crosses val="autoZero"/>
        <c:auto val="1"/>
        <c:lblAlgn val="ctr"/>
        <c:lblOffset val="100"/>
        <c:noMultiLvlLbl val="0"/>
      </c:catAx>
      <c:valAx>
        <c:axId val="54493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71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elete val="1"/>
          </c:dLbls>
          <c:cat>
            <c:strRef>
              <c:f>Sheet1!$A$2:$A$10</c:f>
              <c:strCache>
                <c:ptCount val="9"/>
                <c:pt idx="2">
                  <c:v>文化旅游体育与传媒支出</c:v>
                </c:pt>
              </c:strCache>
            </c:strRef>
          </c:cat>
          <c:val>
            <c:numRef>
              <c:f>Sheet1!$B$2:$B$10</c:f>
              <c:numCache>
                <c:formatCode>General</c:formatCode>
                <c:ptCount val="9"/>
                <c:pt idx="2" c:formatCode="0.0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公务接待费</c:v>
                </c:pt>
                <c:pt idx="1">
                  <c:v>因公出国（境）费用</c:v>
                </c:pt>
                <c:pt idx="2">
                  <c:v>公务用车购置及运行维护费</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61375"/>
          <c:y val="0.92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B4560-8719-4C0F-964D-5C45FF98A23D}">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4298</Words>
  <Characters>4538</Characters>
  <Lines>34</Lines>
  <Paragraphs>9</Paragraphs>
  <TotalTime>7</TotalTime>
  <ScaleCrop>false</ScaleCrop>
  <LinksUpToDate>false</LinksUpToDate>
  <CharactersWithSpaces>4592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2023-08-18T07:17:00Z</dcterms:created>
  <dc:creator>张彬茜</dc:creator>
  <cp:lastModifiedBy>User</cp:lastModifiedBy>
  <cp:lastPrinted>2021-10-09T02:31:00Z</cp:lastPrinted>
  <dcterms:modified xsi:type="dcterms:W3CDTF">2023-08-25T03:29:46Z</dcterms:modified>
  <dc:title>四川省***</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1AC1B35CD4A8484FA9F788CCF928E300_13</vt:lpwstr>
  </property>
</Properties>
</file>